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5E892" w14:textId="0C3BB0AD" w:rsidR="00503907" w:rsidRPr="001414E4" w:rsidRDefault="009C400A" w:rsidP="005417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03907" w:rsidRPr="001414E4">
        <w:rPr>
          <w:rFonts w:ascii="Times New Roman" w:hAnsi="Times New Roman" w:cs="Times New Roman"/>
          <w:sz w:val="24"/>
          <w:szCs w:val="24"/>
        </w:rPr>
        <w:t>Name:  Athoul Chowdhury</w:t>
      </w:r>
    </w:p>
    <w:p w14:paraId="3F280F17" w14:textId="77777777" w:rsidR="00503907" w:rsidRPr="001414E4" w:rsidRDefault="00503907" w:rsidP="0054175C">
      <w:pPr>
        <w:spacing w:line="360" w:lineRule="auto"/>
        <w:jc w:val="both"/>
        <w:rPr>
          <w:rFonts w:ascii="Times New Roman" w:hAnsi="Times New Roman" w:cs="Times New Roman"/>
          <w:sz w:val="24"/>
          <w:szCs w:val="24"/>
        </w:rPr>
      </w:pPr>
      <w:r w:rsidRPr="001414E4">
        <w:rPr>
          <w:rFonts w:ascii="Times New Roman" w:hAnsi="Times New Roman" w:cs="Times New Roman"/>
          <w:sz w:val="24"/>
          <w:szCs w:val="24"/>
        </w:rPr>
        <w:t>Student ID:2508845</w:t>
      </w:r>
    </w:p>
    <w:p w14:paraId="7ED7CE54" w14:textId="77777777" w:rsidR="00503907" w:rsidRPr="001414E4" w:rsidRDefault="00503907" w:rsidP="0054175C">
      <w:pPr>
        <w:spacing w:line="360" w:lineRule="auto"/>
        <w:jc w:val="both"/>
        <w:rPr>
          <w:rFonts w:ascii="Times New Roman" w:hAnsi="Times New Roman" w:cs="Times New Roman"/>
          <w:sz w:val="24"/>
          <w:szCs w:val="24"/>
        </w:rPr>
      </w:pPr>
      <w:r w:rsidRPr="001414E4">
        <w:rPr>
          <w:rFonts w:ascii="Times New Roman" w:hAnsi="Times New Roman" w:cs="Times New Roman"/>
          <w:sz w:val="24"/>
          <w:szCs w:val="24"/>
        </w:rPr>
        <w:t>LLB Law – Level 4 / Foundation Year</w:t>
      </w:r>
    </w:p>
    <w:p w14:paraId="381358B6" w14:textId="0D46EBFA" w:rsidR="00503907" w:rsidRPr="001414E4" w:rsidRDefault="00503907" w:rsidP="0054175C">
      <w:pPr>
        <w:spacing w:line="360" w:lineRule="auto"/>
        <w:jc w:val="both"/>
        <w:rPr>
          <w:rFonts w:ascii="Times New Roman" w:hAnsi="Times New Roman" w:cs="Times New Roman"/>
          <w:sz w:val="24"/>
          <w:szCs w:val="24"/>
        </w:rPr>
      </w:pPr>
      <w:r w:rsidRPr="001414E4">
        <w:rPr>
          <w:rFonts w:ascii="Times New Roman" w:hAnsi="Times New Roman" w:cs="Times New Roman"/>
          <w:sz w:val="24"/>
          <w:szCs w:val="24"/>
        </w:rPr>
        <w:t xml:space="preserve">Assignment Title: </w:t>
      </w:r>
      <w:proofErr w:type="gramStart"/>
      <w:r w:rsidR="00F40DDD" w:rsidRPr="001414E4">
        <w:rPr>
          <w:rFonts w:ascii="Times New Roman" w:hAnsi="Times New Roman" w:cs="Times New Roman"/>
          <w:sz w:val="24"/>
          <w:szCs w:val="24"/>
        </w:rPr>
        <w:t>essay  tort</w:t>
      </w:r>
      <w:proofErr w:type="gramEnd"/>
      <w:r w:rsidRPr="001414E4">
        <w:rPr>
          <w:rFonts w:ascii="Times New Roman" w:hAnsi="Times New Roman" w:cs="Times New Roman"/>
          <w:sz w:val="24"/>
          <w:szCs w:val="24"/>
        </w:rPr>
        <w:t xml:space="preserve"> Law</w:t>
      </w:r>
    </w:p>
    <w:p w14:paraId="593F230B" w14:textId="309D96E6" w:rsidR="00503907" w:rsidRPr="001414E4" w:rsidRDefault="00503907" w:rsidP="0054175C">
      <w:pPr>
        <w:spacing w:line="360" w:lineRule="auto"/>
        <w:jc w:val="both"/>
        <w:rPr>
          <w:rFonts w:ascii="Times New Roman" w:hAnsi="Times New Roman" w:cs="Times New Roman"/>
          <w:sz w:val="24"/>
          <w:szCs w:val="24"/>
        </w:rPr>
      </w:pPr>
      <w:r w:rsidRPr="001414E4">
        <w:rPr>
          <w:rFonts w:ascii="Times New Roman" w:hAnsi="Times New Roman" w:cs="Times New Roman"/>
          <w:sz w:val="24"/>
          <w:szCs w:val="24"/>
        </w:rPr>
        <w:t xml:space="preserve">Module: </w:t>
      </w:r>
      <w:r w:rsidR="00A7766B" w:rsidRPr="001414E4">
        <w:rPr>
          <w:rFonts w:ascii="Times New Roman" w:hAnsi="Times New Roman" w:cs="Times New Roman"/>
          <w:sz w:val="24"/>
          <w:szCs w:val="24"/>
        </w:rPr>
        <w:t>Tort</w:t>
      </w:r>
      <w:r w:rsidRPr="001414E4">
        <w:rPr>
          <w:rFonts w:ascii="Times New Roman" w:hAnsi="Times New Roman" w:cs="Times New Roman"/>
          <w:sz w:val="24"/>
          <w:szCs w:val="24"/>
        </w:rPr>
        <w:t xml:space="preserve"> Law (BMLC400</w:t>
      </w:r>
      <w:r w:rsidR="004D6097" w:rsidRPr="001414E4">
        <w:rPr>
          <w:rFonts w:ascii="Times New Roman" w:hAnsi="Times New Roman" w:cs="Times New Roman"/>
          <w:sz w:val="24"/>
          <w:szCs w:val="24"/>
        </w:rPr>
        <w:t>9</w:t>
      </w:r>
      <w:r w:rsidRPr="001414E4">
        <w:rPr>
          <w:rFonts w:ascii="Times New Roman" w:hAnsi="Times New Roman" w:cs="Times New Roman"/>
          <w:sz w:val="24"/>
          <w:szCs w:val="24"/>
        </w:rPr>
        <w:t>)</w:t>
      </w:r>
    </w:p>
    <w:p w14:paraId="3D88ED4A" w14:textId="31F0ACF6" w:rsidR="00F56682" w:rsidRPr="001414E4" w:rsidRDefault="00F56682" w:rsidP="0054175C">
      <w:pPr>
        <w:spacing w:line="360" w:lineRule="auto"/>
        <w:jc w:val="both"/>
        <w:rPr>
          <w:rFonts w:ascii="Times New Roman" w:hAnsi="Times New Roman" w:cs="Times New Roman"/>
          <w:b/>
          <w:bCs/>
          <w:sz w:val="24"/>
          <w:szCs w:val="24"/>
        </w:rPr>
      </w:pPr>
    </w:p>
    <w:p w14:paraId="646C9231" w14:textId="77777777" w:rsidR="0061499D" w:rsidRPr="001414E4" w:rsidRDefault="0061499D" w:rsidP="0054175C">
      <w:pPr>
        <w:spacing w:line="360" w:lineRule="auto"/>
        <w:jc w:val="both"/>
        <w:rPr>
          <w:rFonts w:ascii="Times New Roman" w:hAnsi="Times New Roman" w:cs="Times New Roman"/>
          <w:b/>
          <w:bCs/>
          <w:sz w:val="24"/>
          <w:szCs w:val="24"/>
        </w:rPr>
      </w:pPr>
    </w:p>
    <w:p w14:paraId="600351A9" w14:textId="77777777" w:rsidR="0061499D" w:rsidRPr="001414E4" w:rsidRDefault="0061499D" w:rsidP="0054175C">
      <w:pPr>
        <w:spacing w:line="360" w:lineRule="auto"/>
        <w:jc w:val="both"/>
        <w:rPr>
          <w:rFonts w:ascii="Times New Roman" w:hAnsi="Times New Roman" w:cs="Times New Roman"/>
          <w:b/>
          <w:bCs/>
          <w:sz w:val="24"/>
          <w:szCs w:val="24"/>
        </w:rPr>
      </w:pPr>
    </w:p>
    <w:p w14:paraId="6BDDC9DB" w14:textId="77777777" w:rsidR="0061499D" w:rsidRPr="001414E4" w:rsidRDefault="0061499D" w:rsidP="0054175C">
      <w:pPr>
        <w:spacing w:line="360" w:lineRule="auto"/>
        <w:jc w:val="both"/>
        <w:rPr>
          <w:rFonts w:ascii="Times New Roman" w:hAnsi="Times New Roman" w:cs="Times New Roman"/>
          <w:b/>
          <w:bCs/>
          <w:sz w:val="24"/>
          <w:szCs w:val="24"/>
        </w:rPr>
      </w:pPr>
    </w:p>
    <w:p w14:paraId="2C31D60A" w14:textId="77777777" w:rsidR="0061499D" w:rsidRPr="001414E4" w:rsidRDefault="0061499D" w:rsidP="0054175C">
      <w:pPr>
        <w:spacing w:line="360" w:lineRule="auto"/>
        <w:jc w:val="both"/>
        <w:rPr>
          <w:rFonts w:ascii="Times New Roman" w:hAnsi="Times New Roman" w:cs="Times New Roman"/>
          <w:b/>
          <w:bCs/>
          <w:sz w:val="24"/>
          <w:szCs w:val="24"/>
        </w:rPr>
      </w:pPr>
    </w:p>
    <w:p w14:paraId="34E19A36" w14:textId="77777777" w:rsidR="0061499D" w:rsidRPr="001414E4" w:rsidRDefault="0061499D" w:rsidP="0054175C">
      <w:pPr>
        <w:spacing w:line="360" w:lineRule="auto"/>
        <w:jc w:val="both"/>
        <w:rPr>
          <w:rFonts w:ascii="Times New Roman" w:hAnsi="Times New Roman" w:cs="Times New Roman"/>
          <w:b/>
          <w:bCs/>
          <w:sz w:val="24"/>
          <w:szCs w:val="24"/>
        </w:rPr>
      </w:pPr>
    </w:p>
    <w:p w14:paraId="086AA4A3" w14:textId="77777777" w:rsidR="0061499D" w:rsidRPr="001414E4" w:rsidRDefault="0061499D" w:rsidP="0054175C">
      <w:pPr>
        <w:spacing w:line="360" w:lineRule="auto"/>
        <w:jc w:val="both"/>
        <w:rPr>
          <w:rFonts w:ascii="Times New Roman" w:hAnsi="Times New Roman" w:cs="Times New Roman"/>
          <w:b/>
          <w:bCs/>
          <w:sz w:val="24"/>
          <w:szCs w:val="24"/>
        </w:rPr>
      </w:pPr>
    </w:p>
    <w:p w14:paraId="2AB7788E" w14:textId="77777777" w:rsidR="0061499D" w:rsidRPr="001414E4" w:rsidRDefault="0061499D" w:rsidP="0054175C">
      <w:pPr>
        <w:spacing w:line="360" w:lineRule="auto"/>
        <w:jc w:val="both"/>
        <w:rPr>
          <w:rFonts w:ascii="Times New Roman" w:hAnsi="Times New Roman" w:cs="Times New Roman"/>
          <w:b/>
          <w:bCs/>
          <w:sz w:val="24"/>
          <w:szCs w:val="24"/>
        </w:rPr>
      </w:pPr>
    </w:p>
    <w:p w14:paraId="0B81AE1F" w14:textId="77777777" w:rsidR="0061499D" w:rsidRPr="001414E4" w:rsidRDefault="0061499D" w:rsidP="0054175C">
      <w:pPr>
        <w:spacing w:line="360" w:lineRule="auto"/>
        <w:jc w:val="both"/>
        <w:rPr>
          <w:rFonts w:ascii="Times New Roman" w:hAnsi="Times New Roman" w:cs="Times New Roman"/>
          <w:b/>
          <w:bCs/>
          <w:sz w:val="24"/>
          <w:szCs w:val="24"/>
        </w:rPr>
      </w:pPr>
    </w:p>
    <w:p w14:paraId="1AB9C6C0" w14:textId="77777777" w:rsidR="0061499D" w:rsidRPr="001414E4" w:rsidRDefault="0061499D" w:rsidP="0054175C">
      <w:pPr>
        <w:spacing w:line="360" w:lineRule="auto"/>
        <w:jc w:val="both"/>
        <w:rPr>
          <w:rFonts w:ascii="Times New Roman" w:hAnsi="Times New Roman" w:cs="Times New Roman"/>
          <w:b/>
          <w:bCs/>
          <w:sz w:val="24"/>
          <w:szCs w:val="24"/>
        </w:rPr>
      </w:pPr>
    </w:p>
    <w:p w14:paraId="7FE199D3" w14:textId="77777777" w:rsidR="0061499D" w:rsidRPr="001414E4" w:rsidRDefault="0061499D" w:rsidP="0054175C">
      <w:pPr>
        <w:spacing w:line="360" w:lineRule="auto"/>
        <w:jc w:val="both"/>
        <w:rPr>
          <w:rFonts w:ascii="Times New Roman" w:hAnsi="Times New Roman" w:cs="Times New Roman"/>
          <w:b/>
          <w:bCs/>
          <w:sz w:val="24"/>
          <w:szCs w:val="24"/>
        </w:rPr>
      </w:pPr>
    </w:p>
    <w:p w14:paraId="33BCCF09" w14:textId="77777777" w:rsidR="0061499D" w:rsidRPr="001414E4" w:rsidRDefault="0061499D" w:rsidP="0054175C">
      <w:pPr>
        <w:spacing w:line="360" w:lineRule="auto"/>
        <w:jc w:val="both"/>
        <w:rPr>
          <w:rFonts w:ascii="Times New Roman" w:hAnsi="Times New Roman" w:cs="Times New Roman"/>
          <w:b/>
          <w:bCs/>
          <w:sz w:val="24"/>
          <w:szCs w:val="24"/>
        </w:rPr>
      </w:pPr>
    </w:p>
    <w:p w14:paraId="7E02C72E" w14:textId="77777777" w:rsidR="0061499D" w:rsidRPr="001414E4" w:rsidRDefault="0061499D" w:rsidP="0054175C">
      <w:pPr>
        <w:spacing w:line="360" w:lineRule="auto"/>
        <w:jc w:val="both"/>
        <w:rPr>
          <w:rFonts w:ascii="Times New Roman" w:hAnsi="Times New Roman" w:cs="Times New Roman"/>
          <w:b/>
          <w:bCs/>
          <w:sz w:val="24"/>
          <w:szCs w:val="24"/>
        </w:rPr>
      </w:pPr>
    </w:p>
    <w:p w14:paraId="59B748A3" w14:textId="77777777" w:rsidR="0061499D" w:rsidRPr="001414E4" w:rsidRDefault="0061499D" w:rsidP="0054175C">
      <w:pPr>
        <w:spacing w:line="360" w:lineRule="auto"/>
        <w:jc w:val="both"/>
        <w:rPr>
          <w:rFonts w:ascii="Times New Roman" w:hAnsi="Times New Roman" w:cs="Times New Roman"/>
          <w:b/>
          <w:bCs/>
          <w:sz w:val="24"/>
          <w:szCs w:val="24"/>
        </w:rPr>
      </w:pPr>
    </w:p>
    <w:p w14:paraId="785BA774" w14:textId="77777777" w:rsidR="0061499D" w:rsidRPr="001414E4" w:rsidRDefault="0061499D" w:rsidP="0054175C">
      <w:pPr>
        <w:spacing w:line="360" w:lineRule="auto"/>
        <w:jc w:val="both"/>
        <w:rPr>
          <w:rFonts w:ascii="Times New Roman" w:hAnsi="Times New Roman" w:cs="Times New Roman"/>
          <w:b/>
          <w:bCs/>
          <w:sz w:val="24"/>
          <w:szCs w:val="24"/>
        </w:rPr>
      </w:pPr>
    </w:p>
    <w:p w14:paraId="3B32D7D1" w14:textId="77777777" w:rsidR="0061499D" w:rsidRPr="001414E4" w:rsidRDefault="0061499D" w:rsidP="0054175C">
      <w:pPr>
        <w:spacing w:line="360" w:lineRule="auto"/>
        <w:jc w:val="both"/>
        <w:rPr>
          <w:rFonts w:ascii="Times New Roman" w:hAnsi="Times New Roman" w:cs="Times New Roman"/>
          <w:b/>
          <w:bCs/>
          <w:sz w:val="24"/>
          <w:szCs w:val="24"/>
        </w:rPr>
      </w:pPr>
    </w:p>
    <w:p w14:paraId="749126A2" w14:textId="77777777" w:rsidR="0061499D" w:rsidRPr="001414E4" w:rsidRDefault="0061499D" w:rsidP="0054175C">
      <w:pPr>
        <w:spacing w:line="360" w:lineRule="auto"/>
        <w:jc w:val="both"/>
        <w:rPr>
          <w:rFonts w:ascii="Times New Roman" w:hAnsi="Times New Roman" w:cs="Times New Roman"/>
          <w:b/>
          <w:bCs/>
          <w:sz w:val="24"/>
          <w:szCs w:val="24"/>
        </w:rPr>
      </w:pPr>
    </w:p>
    <w:p w14:paraId="05E6F157" w14:textId="77777777" w:rsidR="0061499D" w:rsidRPr="001414E4" w:rsidRDefault="0061499D" w:rsidP="0054175C">
      <w:pPr>
        <w:spacing w:line="360" w:lineRule="auto"/>
        <w:jc w:val="both"/>
        <w:rPr>
          <w:rFonts w:ascii="Times New Roman" w:hAnsi="Times New Roman" w:cs="Times New Roman"/>
          <w:b/>
          <w:bCs/>
          <w:sz w:val="24"/>
          <w:szCs w:val="24"/>
        </w:rPr>
      </w:pPr>
    </w:p>
    <w:p w14:paraId="20A2AF09" w14:textId="0386C46A" w:rsidR="001621FF" w:rsidRDefault="007334C5" w:rsidP="0054175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Word count</w:t>
      </w:r>
      <w:r w:rsidR="009B135F">
        <w:rPr>
          <w:rFonts w:ascii="Times New Roman" w:hAnsi="Times New Roman" w:cs="Times New Roman"/>
          <w:b/>
          <w:bCs/>
          <w:sz w:val="24"/>
          <w:szCs w:val="24"/>
        </w:rPr>
        <w:t xml:space="preserve"> - 807</w:t>
      </w:r>
    </w:p>
    <w:p w14:paraId="484D82AC" w14:textId="18D1F7B6" w:rsidR="0026755D" w:rsidRPr="00F95165" w:rsidRDefault="0026755D" w:rsidP="00E4313E">
      <w:r w:rsidRPr="00F95165">
        <w:lastRenderedPageBreak/>
        <w:t xml:space="preserve"> </w:t>
      </w:r>
    </w:p>
    <w:p w14:paraId="137F5E9C" w14:textId="69F7D954" w:rsidR="00B12F99" w:rsidRPr="00FC3C49" w:rsidRDefault="0096198E" w:rsidP="008057F4">
      <w:pPr>
        <w:jc w:val="both"/>
      </w:pPr>
      <w:r>
        <w:t>Here</w:t>
      </w:r>
      <w:r w:rsidR="00644830" w:rsidRPr="00F95165">
        <w:t xml:space="preserve"> for</w:t>
      </w:r>
      <w:r>
        <w:t xml:space="preserve"> school</w:t>
      </w:r>
      <w:r w:rsidR="006D105A">
        <w:t xml:space="preserve"> to</w:t>
      </w:r>
      <w:r w:rsidR="00644830" w:rsidRPr="00F95165">
        <w:t xml:space="preserve"> </w:t>
      </w:r>
      <w:r w:rsidR="00137C96" w:rsidRPr="00F95165">
        <w:t>advice two</w:t>
      </w:r>
      <w:r w:rsidR="00644830" w:rsidRPr="00F95165">
        <w:t xml:space="preserve"> incidents. One boy called Bodhi got burned by hot gravy in the canteen. Another boy called Elijah fell into a pond and hurt his head. </w:t>
      </w:r>
      <w:r w:rsidR="005263DC" w:rsidRPr="005263DC">
        <w:t>“In my view, the school is likely responsible for Elijah’s injuries”</w:t>
      </w:r>
    </w:p>
    <w:p w14:paraId="32A957D7" w14:textId="4D5A0443" w:rsidR="00B12F99" w:rsidRPr="00B12F99" w:rsidRDefault="00414CDA" w:rsidP="008057F4">
      <w:pPr>
        <w:jc w:val="both"/>
      </w:pPr>
      <w:proofErr w:type="gramStart"/>
      <w:r>
        <w:t>1 .</w:t>
      </w:r>
      <w:proofErr w:type="gramEnd"/>
      <w:r w:rsidR="00FB47B6">
        <w:t xml:space="preserve"> </w:t>
      </w:r>
      <w:r w:rsidR="00742A97" w:rsidRPr="00742A97">
        <w:t xml:space="preserve">Duty of care means you have a legal responsibility to keep others safe, </w:t>
      </w:r>
      <w:r>
        <w:t>(</w:t>
      </w:r>
      <w:r w:rsidRPr="00742A97">
        <w:t>Donoghue</w:t>
      </w:r>
      <w:r w:rsidR="00742A97" w:rsidRPr="00742A97">
        <w:t xml:space="preserve"> v Stevenson [1932] AC </w:t>
      </w:r>
      <w:r w:rsidR="00AC532B" w:rsidRPr="00742A97">
        <w:t>562</w:t>
      </w:r>
      <w:r w:rsidR="00AC532B">
        <w:t>, p</w:t>
      </w:r>
      <w:r w:rsidR="00E90AEB">
        <w:t xml:space="preserve"> .45</w:t>
      </w:r>
      <w:r w:rsidR="00B67A9C">
        <w:t>)</w:t>
      </w:r>
      <w:r w:rsidR="00742A97" w:rsidRPr="00742A97">
        <w:t>. In the canteen, Bodhi was a pupil. Schools must look after their pupils. This is called in loco parentis, which means “in the place of a parent” (</w:t>
      </w:r>
      <w:r w:rsidR="00A20900" w:rsidRPr="00A20900">
        <w:t>Gower v London Borough of Bromley [1999] ELR 356, p.</w:t>
      </w:r>
      <w:r w:rsidR="00C61C0B">
        <w:t>1</w:t>
      </w:r>
      <w:r w:rsidR="007D751E">
        <w:t>1</w:t>
      </w:r>
      <w:r w:rsidR="00A20900" w:rsidRPr="00A20900">
        <w:t>8</w:t>
      </w:r>
      <w:r w:rsidR="00742A97" w:rsidRPr="00742A97">
        <w:t xml:space="preserve">). The school must take reasonable care of students. Bodhi was a pupil at the school, so a duty of care was owed to Bodhi. The school also owed a duty to Elijah. He was visiting the school (Caparo Industries plc v Dickman [1990] 2 AC </w:t>
      </w:r>
      <w:r w:rsidRPr="00742A97">
        <w:t>605</w:t>
      </w:r>
      <w:r>
        <w:t>, p.</w:t>
      </w:r>
      <w:r w:rsidR="0088179A">
        <w:t>62</w:t>
      </w:r>
      <w:r w:rsidR="00742A97" w:rsidRPr="00742A97">
        <w:t>). The headmistress invited him into the garden. Duty is owed to people who might reasonably be at risk. Elijah was a young child on school premises, so a duty was owed to him.</w:t>
      </w:r>
    </w:p>
    <w:p w14:paraId="5AB9947F" w14:textId="2BEE68E4" w:rsidR="00B12F99" w:rsidRPr="00B12F99" w:rsidRDefault="00E344A0" w:rsidP="008057F4">
      <w:pPr>
        <w:jc w:val="both"/>
      </w:pPr>
      <w:r>
        <w:t xml:space="preserve"> </w:t>
      </w:r>
      <w:r w:rsidR="003B7CB5" w:rsidRPr="003B7CB5">
        <w:t>2. Breach of duty means someone did not do what a reasonable person would do (Blyth v Birmingham Waterworks [1856], p.</w:t>
      </w:r>
      <w:r w:rsidR="0050214E">
        <w:t>112</w:t>
      </w:r>
      <w:r w:rsidR="003B7CB5" w:rsidRPr="003B7CB5">
        <w:t xml:space="preserve">).  the dinner lady was not careful when she </w:t>
      </w:r>
      <w:r w:rsidR="00584A90">
        <w:t>serving</w:t>
      </w:r>
      <w:r w:rsidR="003B7CB5" w:rsidRPr="003B7CB5">
        <w:t xml:space="preserve"> to Bodhi. It looks like a breach of duty. If the spill was just accident, there might be no breach. But here, it is clearer that she was not careful.</w:t>
      </w:r>
      <w:r w:rsidR="001A506A">
        <w:t xml:space="preserve"> Other </w:t>
      </w:r>
      <w:r w:rsidR="003C000B">
        <w:t xml:space="preserve">hand </w:t>
      </w:r>
      <w:r w:rsidR="00414CDA" w:rsidRPr="003B7CB5">
        <w:t>the</w:t>
      </w:r>
      <w:r w:rsidR="003B7CB5" w:rsidRPr="003B7CB5">
        <w:t xml:space="preserve"> school </w:t>
      </w:r>
      <w:r w:rsidR="00414CDA" w:rsidRPr="003B7CB5">
        <w:t>pond does not have</w:t>
      </w:r>
      <w:r w:rsidR="003B7CB5" w:rsidRPr="003B7CB5">
        <w:t xml:space="preserve"> a fence.  only a sign that said, “Keep away.” Elijah is 6 </w:t>
      </w:r>
      <w:r w:rsidR="008B671D">
        <w:t>years</w:t>
      </w:r>
      <w:r w:rsidR="003B7CB5" w:rsidRPr="003B7CB5">
        <w:t xml:space="preserve"> may not be able to read. Schools must protect children from dangers they can see (Jolley v Sutton London Borough Council [2000], p.</w:t>
      </w:r>
      <w:r w:rsidR="002A1D31">
        <w:t>98</w:t>
      </w:r>
      <w:r w:rsidR="003B7CB5" w:rsidRPr="003B7CB5">
        <w:t xml:space="preserve">). A sign is not enough for young children. The school </w:t>
      </w:r>
      <w:r w:rsidR="003C000B" w:rsidRPr="003B7CB5">
        <w:t>should put</w:t>
      </w:r>
      <w:r w:rsidR="003B7CB5" w:rsidRPr="003B7CB5">
        <w:t xml:space="preserve"> up a fence. This </w:t>
      </w:r>
      <w:r w:rsidR="00131158">
        <w:t>is</w:t>
      </w:r>
      <w:r w:rsidR="003B7CB5" w:rsidRPr="003B7CB5">
        <w:t xml:space="preserve"> a breach of duty.</w:t>
      </w:r>
    </w:p>
    <w:p w14:paraId="078782C2" w14:textId="5FC9EDF2" w:rsidR="00C220F0" w:rsidRDefault="00FF313A" w:rsidP="00A55886">
      <w:pPr>
        <w:jc w:val="both"/>
      </w:pPr>
      <w:r>
        <w:t xml:space="preserve"> </w:t>
      </w:r>
      <w:r w:rsidR="00A55886">
        <w:t xml:space="preserve">3. Factual causation. The “but for” test comes </w:t>
      </w:r>
      <w:r w:rsidR="00414CDA">
        <w:t>from (</w:t>
      </w:r>
      <w:r w:rsidR="003630BF">
        <w:t>Barnett</w:t>
      </w:r>
      <w:r w:rsidR="00A55886">
        <w:t xml:space="preserve"> v Chelsea &amp; Kensington Hospital [1969] 1 QB 428, p.</w:t>
      </w:r>
      <w:r w:rsidR="002A1D31">
        <w:t>178</w:t>
      </w:r>
      <w:r w:rsidR="005D3477">
        <w:t>)</w:t>
      </w:r>
      <w:r w:rsidR="00A55886">
        <w:t xml:space="preserve">. The question is but for the school’s actions, would the child still have been hurt? For </w:t>
      </w:r>
      <w:r w:rsidR="003630BF">
        <w:t>Bodhi but</w:t>
      </w:r>
      <w:r w:rsidR="00A55886">
        <w:t xml:space="preserve"> for the dinner lady being careless, would Bodhi have been burned? No. If she had been careful, the burn would not have happened. </w:t>
      </w:r>
      <w:r w:rsidR="003630BF">
        <w:t>So,</w:t>
      </w:r>
      <w:r w:rsidR="00A55886">
        <w:t xml:space="preserve"> the school caused the injury. Here, for the missing fence, would Elijah have fallen in? No. If there had been a fence, he could not have reached the pond. </w:t>
      </w:r>
      <w:r w:rsidR="003630BF">
        <w:t>So,</w:t>
      </w:r>
      <w:r w:rsidR="00A55886">
        <w:t xml:space="preserve"> the school’s failure caused the accident.</w:t>
      </w:r>
      <w:r w:rsidR="00493427">
        <w:t xml:space="preserve">  </w:t>
      </w:r>
      <w:r w:rsidR="00A55886">
        <w:t xml:space="preserve">Legal causation. Nothing broke the chain of causation. Jade was looking at flowers for a parent (McKew v Holland &amp; Hannen &amp; </w:t>
      </w:r>
      <w:r w:rsidR="003630BF">
        <w:t>Cubitt’s</w:t>
      </w:r>
      <w:r w:rsidR="00A55886">
        <w:t xml:space="preserve"> [1969]</w:t>
      </w:r>
      <w:r w:rsidR="00D411D1">
        <w:t xml:space="preserve"> </w:t>
      </w:r>
      <w:r w:rsidR="000F5EB4">
        <w:t>p,185</w:t>
      </w:r>
      <w:r w:rsidR="00A55886">
        <w:t xml:space="preserve">). Elijah leaned over the pond. But young children do not understand danger </w:t>
      </w:r>
      <w:proofErr w:type="gramStart"/>
      <w:r w:rsidR="00A55886">
        <w:t>(</w:t>
      </w:r>
      <w:r w:rsidR="00017443">
        <w:t xml:space="preserve"> </w:t>
      </w:r>
      <w:proofErr w:type="spellStart"/>
      <w:r w:rsidR="00A55886">
        <w:t>Yachuk</w:t>
      </w:r>
      <w:proofErr w:type="spellEnd"/>
      <w:proofErr w:type="gramEnd"/>
      <w:r w:rsidR="00A55886">
        <w:t xml:space="preserve"> v Oliver Blais Co Ltd [1949</w:t>
      </w:r>
      <w:r w:rsidR="00017443">
        <w:t>], p</w:t>
      </w:r>
      <w:r w:rsidR="009F2103">
        <w:t xml:space="preserve"> .208</w:t>
      </w:r>
      <w:r w:rsidR="00A55886">
        <w:t xml:space="preserve">). </w:t>
      </w:r>
      <w:r w:rsidR="003630BF">
        <w:t>So,</w:t>
      </w:r>
      <w:r w:rsidR="00A55886">
        <w:t xml:space="preserve"> the chain of causation is not broken.</w:t>
      </w:r>
    </w:p>
    <w:p w14:paraId="3428B5F1" w14:textId="25A6905D" w:rsidR="00B12F99" w:rsidRPr="00B12F99" w:rsidRDefault="00B12F99" w:rsidP="00FF313A">
      <w:pPr>
        <w:jc w:val="both"/>
      </w:pPr>
      <w:r w:rsidRPr="00B12F99">
        <w:t>4.</w:t>
      </w:r>
      <w:r w:rsidR="00693D39" w:rsidRPr="00693D39">
        <w:t xml:space="preserve"> </w:t>
      </w:r>
      <w:r w:rsidR="001B5E57">
        <w:t>“</w:t>
      </w:r>
      <w:r w:rsidR="00693D39" w:rsidRPr="00693D39">
        <w:t xml:space="preserve">Remoteness </w:t>
      </w:r>
      <w:r w:rsidR="002B1954">
        <w:t>as</w:t>
      </w:r>
      <w:r w:rsidR="001B5E57">
        <w:t>ks</w:t>
      </w:r>
      <w:r w:rsidR="00693D39" w:rsidRPr="00693D39">
        <w:t xml:space="preserve"> is the injury too unlikely to </w:t>
      </w:r>
      <w:r w:rsidR="001B5E57">
        <w:t>occur</w:t>
      </w:r>
      <w:r w:rsidR="00DE3AF9">
        <w:t>”</w:t>
      </w:r>
      <w:r w:rsidR="003630BF" w:rsidRPr="00693D39">
        <w:t>.</w:t>
      </w:r>
      <w:r w:rsidR="00693D39" w:rsidRPr="00693D39">
        <w:t xml:space="preserve">  </w:t>
      </w:r>
      <w:r w:rsidR="00A5247B">
        <w:t>(</w:t>
      </w:r>
      <w:r w:rsidR="00693D39" w:rsidRPr="00693D39">
        <w:t xml:space="preserve">The Wagon Mound (No 1) [1961], p. </w:t>
      </w:r>
      <w:r w:rsidR="003B09E7">
        <w:t>1</w:t>
      </w:r>
      <w:r w:rsidR="004940CF">
        <w:t>90</w:t>
      </w:r>
      <w:r w:rsidR="003630BF">
        <w:t>)</w:t>
      </w:r>
      <w:r w:rsidR="003630BF" w:rsidRPr="00693D39">
        <w:t>.</w:t>
      </w:r>
      <w:r w:rsidR="003630BF">
        <w:t xml:space="preserve"> </w:t>
      </w:r>
      <w:proofErr w:type="gramStart"/>
      <w:r w:rsidR="003630BF">
        <w:t>Is</w:t>
      </w:r>
      <w:proofErr w:type="gramEnd"/>
      <w:r w:rsidR="00693D39" w:rsidRPr="00693D39">
        <w:t xml:space="preserve"> the school reasonably expect this type of injury? Burns from hot food </w:t>
      </w:r>
      <w:r w:rsidR="006602C3" w:rsidRPr="00693D39">
        <w:t>can expect</w:t>
      </w:r>
      <w:r w:rsidR="00693D39" w:rsidRPr="00693D39">
        <w:t xml:space="preserve"> with Bodhi. This is not too remote. When a child falls into a pond and hurts his </w:t>
      </w:r>
      <w:r w:rsidR="003630BF" w:rsidRPr="00693D39">
        <w:t>head, is</w:t>
      </w:r>
      <w:r w:rsidR="00693D39" w:rsidRPr="00693D39">
        <w:t xml:space="preserve"> easy to expect. But damage to his new expensive jumper is probably too remote. The school can expect personal </w:t>
      </w:r>
      <w:r w:rsidR="003630BF" w:rsidRPr="00693D39">
        <w:t>injury but</w:t>
      </w:r>
      <w:r w:rsidR="00693D39" w:rsidRPr="00693D39">
        <w:t xml:space="preserve"> not damage to a special </w:t>
      </w:r>
      <w:r w:rsidR="006602C3" w:rsidRPr="00693D39">
        <w:t>jumper.</w:t>
      </w:r>
    </w:p>
    <w:p w14:paraId="47515C00" w14:textId="058FF5F2" w:rsidR="00B12F99" w:rsidRPr="00B12F99" w:rsidRDefault="00B12F99" w:rsidP="008057F4">
      <w:pPr>
        <w:jc w:val="both"/>
      </w:pPr>
      <w:r w:rsidRPr="00B12F99">
        <w:t>5</w:t>
      </w:r>
      <w:r w:rsidR="00C44F55">
        <w:t xml:space="preserve"> </w:t>
      </w:r>
      <w:r w:rsidR="00C44F55" w:rsidRPr="00C44F55">
        <w:t xml:space="preserve">Contributory negligence means the injured person was partly to blame. Bodhi cannot be blamed for not understanding danger. The court said a young child cannot be contributorily negligent (Gough v Thorne [1966], p. </w:t>
      </w:r>
      <w:r w:rsidR="00BC7FC5">
        <w:t>2</w:t>
      </w:r>
      <w:r w:rsidR="00C44F55" w:rsidRPr="00C44F55">
        <w:t xml:space="preserve">15). Bodhi is 7, so this defence does not work. Elijah also cannot be blamed. Some might say Jade should have watched him. But the school’s duty is to the child, not the parent (Voli v Inglewood Shire Council). </w:t>
      </w:r>
      <w:r w:rsidR="000227D8">
        <w:t>“</w:t>
      </w:r>
      <w:r w:rsidR="003630BF" w:rsidRPr="00C44F55">
        <w:t>Volanti</w:t>
      </w:r>
      <w:r w:rsidR="00C44F55" w:rsidRPr="00C44F55">
        <w:t xml:space="preserve"> non fit injuria</w:t>
      </w:r>
      <w:r w:rsidR="000227D8">
        <w:t>”</w:t>
      </w:r>
      <w:r w:rsidR="00C44F55" w:rsidRPr="00C44F55">
        <w:t xml:space="preserve"> means someone agreed to take the risk. Jade was not told about the pond, so she did not agree to any risk (Smith v Baker &amp; Sons [1891], p. </w:t>
      </w:r>
      <w:r w:rsidR="00E057ED">
        <w:t>220</w:t>
      </w:r>
      <w:r w:rsidR="00C44F55" w:rsidRPr="00C44F55">
        <w:t>). This defence fails.</w:t>
      </w:r>
    </w:p>
    <w:p w14:paraId="0834B94D" w14:textId="33116E21" w:rsidR="00B12F99" w:rsidRPr="00B12F99" w:rsidRDefault="00B12F99" w:rsidP="008057F4">
      <w:pPr>
        <w:jc w:val="both"/>
      </w:pPr>
    </w:p>
    <w:p w14:paraId="69B57F7C" w14:textId="77777777" w:rsidR="00B12F99" w:rsidRPr="00B12F99" w:rsidRDefault="00B12F99" w:rsidP="008057F4">
      <w:pPr>
        <w:jc w:val="both"/>
      </w:pPr>
    </w:p>
    <w:p w14:paraId="166F3953" w14:textId="47D955BA" w:rsidR="00541435" w:rsidRDefault="00B12F99" w:rsidP="003155F2">
      <w:pPr>
        <w:jc w:val="both"/>
      </w:pPr>
      <w:r w:rsidRPr="00B12F99">
        <w:lastRenderedPageBreak/>
        <w:t xml:space="preserve">6. </w:t>
      </w:r>
      <w:r w:rsidR="00811499">
        <w:t>My opinion</w:t>
      </w:r>
      <w:r w:rsidR="003155F2">
        <w:t xml:space="preserve"> </w:t>
      </w:r>
      <w:r w:rsidR="00F05983">
        <w:t>here</w:t>
      </w:r>
      <w:r w:rsidR="003155F2">
        <w:t xml:space="preserve"> established that both children are entitled to receive damages.</w:t>
      </w:r>
      <w:r w:rsidR="00426782" w:rsidRPr="00426782">
        <w:t xml:space="preserve"> </w:t>
      </w:r>
      <w:r w:rsidR="00426782">
        <w:t xml:space="preserve"> Judicial College (2022</w:t>
      </w:r>
      <w:r w:rsidR="003630BF">
        <w:t>), explain</w:t>
      </w:r>
      <w:r w:rsidR="008C2198">
        <w:t xml:space="preserve"> </w:t>
      </w:r>
      <w:r w:rsidR="00DD1357">
        <w:t>guideline</w:t>
      </w:r>
      <w:r w:rsidR="008C2198">
        <w:t xml:space="preserve"> compensation</w:t>
      </w:r>
      <w:r w:rsidR="003155F2">
        <w:t xml:space="preserve"> Bodhi is entitled to compensation for his burn injuries, including pain and suffering, as </w:t>
      </w:r>
      <w:r w:rsidR="00DD1357">
        <w:t>well as</w:t>
      </w:r>
      <w:r w:rsidR="003155F2">
        <w:t xml:space="preserve"> any medical care he needs. Elijah has a case to make for his concussion and his agony, and his mother can claim for the jacket as property damage. Damages can be claimed as general or special (Spartan Steel &amp; Alloys Ltd v Martin &amp; Co [1973], p. </w:t>
      </w:r>
      <w:r w:rsidR="006954C6">
        <w:t>245</w:t>
      </w:r>
      <w:r w:rsidR="003155F2">
        <w:t xml:space="preserve">). </w:t>
      </w:r>
      <w:r w:rsidR="00A82E65">
        <w:t>Both receive</w:t>
      </w:r>
      <w:r w:rsidR="003155F2">
        <w:t xml:space="preserve"> compensation, but Elijah’s amount will be lower.</w:t>
      </w:r>
    </w:p>
    <w:p w14:paraId="1F7EF3E3" w14:textId="687C3042" w:rsidR="003155F2" w:rsidRDefault="00C63795" w:rsidP="003155F2">
      <w:pPr>
        <w:jc w:val="both"/>
      </w:pPr>
      <w:r>
        <w:t xml:space="preserve"> </w:t>
      </w:r>
      <w:r w:rsidR="003155F2">
        <w:t xml:space="preserve">The school </w:t>
      </w:r>
      <w:r w:rsidR="00084260">
        <w:t>seems</w:t>
      </w:r>
      <w:r w:rsidR="003155F2">
        <w:t xml:space="preserve"> responsible for Elijah’s injuries. The </w:t>
      </w:r>
      <w:r w:rsidR="000F5892">
        <w:t>pond dangerous</w:t>
      </w:r>
      <w:r w:rsidR="003155F2">
        <w:t xml:space="preserve"> </w:t>
      </w:r>
      <w:r w:rsidR="00B373D9">
        <w:t>because not</w:t>
      </w:r>
      <w:r w:rsidR="003155F2">
        <w:t xml:space="preserve"> have been fenced. The school </w:t>
      </w:r>
      <w:r w:rsidR="00A82E65">
        <w:t>should pay</w:t>
      </w:r>
      <w:r w:rsidR="003155F2">
        <w:t xml:space="preserve"> his claim quickly.  </w:t>
      </w:r>
      <w:r w:rsidR="00DD1357">
        <w:t>Bodhi depends</w:t>
      </w:r>
      <w:r w:rsidR="003155F2">
        <w:t xml:space="preserve"> on whether the dinner lady was careless. The school should check what happened in the canteen.</w:t>
      </w:r>
    </w:p>
    <w:p w14:paraId="13243D35" w14:textId="645EFFB0" w:rsidR="00B12F99" w:rsidRPr="00B12F99" w:rsidRDefault="003155F2" w:rsidP="003155F2">
      <w:pPr>
        <w:jc w:val="both"/>
      </w:pPr>
      <w:r>
        <w:t>Recommendation – Put a proper fence around the pond now. Check how staff serve hot food to young children. Look for any other dangers at the school.</w:t>
      </w:r>
    </w:p>
    <w:p w14:paraId="28827FB9" w14:textId="3D8E0288" w:rsidR="00B12F99" w:rsidRPr="00B12F99" w:rsidRDefault="00B12F99" w:rsidP="000A0E74">
      <w:pPr>
        <w:pStyle w:val="NoSpacing"/>
      </w:pPr>
    </w:p>
    <w:p w14:paraId="316AB5AC" w14:textId="77777777" w:rsidR="00B12F99" w:rsidRPr="00B12F99" w:rsidRDefault="00B12F99" w:rsidP="000A0E74">
      <w:pPr>
        <w:pStyle w:val="NoSpacing"/>
      </w:pPr>
    </w:p>
    <w:p w14:paraId="5A40F15B" w14:textId="77777777" w:rsidR="00904777" w:rsidRDefault="00904777" w:rsidP="00904777">
      <w:pPr>
        <w:pStyle w:val="NoSpacing"/>
      </w:pPr>
      <w:r>
        <w:t>Book:</w:t>
      </w:r>
    </w:p>
    <w:p w14:paraId="0B375AB1" w14:textId="4FAE4B76" w:rsidR="00934AF1" w:rsidRDefault="005D3707" w:rsidP="00904777">
      <w:pPr>
        <w:pStyle w:val="NoSpacing"/>
      </w:pPr>
      <w:r w:rsidRPr="005D3707">
        <w:t xml:space="preserve"> Horsey, K and Rackley, E (2023)</w:t>
      </w:r>
      <w:r w:rsidR="00904777">
        <w:t xml:space="preserve"> Tort Law. 8th </w:t>
      </w:r>
      <w:r w:rsidR="0003447F">
        <w:t>Edition</w:t>
      </w:r>
      <w:r w:rsidR="00904777">
        <w:t xml:space="preserve">. </w:t>
      </w:r>
      <w:r w:rsidR="000428CC">
        <w:t>Oxford,</w:t>
      </w:r>
      <w:r w:rsidR="00904777">
        <w:t xml:space="preserve"> Oxford University </w:t>
      </w:r>
      <w:r w:rsidR="00032173">
        <w:t>Press.</w:t>
      </w:r>
    </w:p>
    <w:p w14:paraId="490C1B21" w14:textId="52032DB5" w:rsidR="008422FB" w:rsidRDefault="00032173" w:rsidP="00904777">
      <w:pPr>
        <w:pStyle w:val="NoSpacing"/>
      </w:pPr>
      <w:r>
        <w:t xml:space="preserve"> </w:t>
      </w:r>
      <w:r w:rsidR="003630BF">
        <w:t>Judicial College</w:t>
      </w:r>
      <w:r w:rsidR="008422FB">
        <w:t xml:space="preserve"> (2022) Guidelines for the Assessment of General Damages in Personal Injury Cases. 16th</w:t>
      </w:r>
      <w:r w:rsidR="000428CC" w:rsidRPr="000428CC">
        <w:t xml:space="preserve"> </w:t>
      </w:r>
      <w:r w:rsidR="000428CC">
        <w:t>Edition</w:t>
      </w:r>
      <w:r w:rsidR="008422FB">
        <w:t>. Oxford University Press.</w:t>
      </w:r>
    </w:p>
    <w:p w14:paraId="7DD544A6" w14:textId="3BE33E18" w:rsidR="000772C7" w:rsidRDefault="000772C7" w:rsidP="00273F30">
      <w:pPr>
        <w:pStyle w:val="NoSpacing"/>
      </w:pPr>
      <w:r w:rsidRPr="000772C7">
        <w:t xml:space="preserve">Quinn, F. (2020) Elliott &amp; Quinn’s Tort Law. 12th </w:t>
      </w:r>
      <w:r w:rsidR="000428CC">
        <w:t>Edition</w:t>
      </w:r>
      <w:r w:rsidRPr="000772C7">
        <w:t>. Harlow Pearson.</w:t>
      </w:r>
    </w:p>
    <w:p w14:paraId="4C9D3AD2" w14:textId="46A33D4E" w:rsidR="00905E9C" w:rsidRDefault="00905E9C" w:rsidP="000A0E74">
      <w:pPr>
        <w:pStyle w:val="NoSpacing"/>
      </w:pPr>
      <w:r w:rsidRPr="00905E9C">
        <w:t xml:space="preserve">Brennan, C. (2020) Tort Law. 8th </w:t>
      </w:r>
      <w:r w:rsidR="003630BF" w:rsidRPr="00905E9C">
        <w:t>end</w:t>
      </w:r>
      <w:r w:rsidRPr="00905E9C">
        <w:t xml:space="preserve">. </w:t>
      </w:r>
      <w:r w:rsidR="000428CC" w:rsidRPr="00905E9C">
        <w:t>Oxford University</w:t>
      </w:r>
      <w:r w:rsidRPr="00905E9C">
        <w:t xml:space="preserve"> Press.</w:t>
      </w:r>
    </w:p>
    <w:p w14:paraId="405D53CD" w14:textId="64682BCB" w:rsidR="0045250A" w:rsidRPr="00B12F99" w:rsidRDefault="0045250A" w:rsidP="0045250A">
      <w:pPr>
        <w:pStyle w:val="NoSpacing"/>
      </w:pPr>
      <w:r w:rsidRPr="00B12F99">
        <w:t xml:space="preserve"> </w:t>
      </w:r>
    </w:p>
    <w:p w14:paraId="5764A3A8" w14:textId="77777777" w:rsidR="0045250A" w:rsidRPr="00B12F99" w:rsidRDefault="0045250A" w:rsidP="0045250A">
      <w:pPr>
        <w:pStyle w:val="NoSpacing"/>
      </w:pPr>
    </w:p>
    <w:p w14:paraId="28CDDDD1" w14:textId="77777777" w:rsidR="000E40BB" w:rsidRDefault="000E40BB" w:rsidP="000E40BB">
      <w:pPr>
        <w:pStyle w:val="NoSpacing"/>
      </w:pPr>
      <w:r>
        <w:t>Reference List</w:t>
      </w:r>
    </w:p>
    <w:p w14:paraId="7CC35FB5" w14:textId="77777777" w:rsidR="000E40BB" w:rsidRDefault="000E40BB" w:rsidP="000E40BB">
      <w:pPr>
        <w:pStyle w:val="NoSpacing"/>
      </w:pPr>
    </w:p>
    <w:p w14:paraId="6E3B9937" w14:textId="29B8BDB1" w:rsidR="000E40BB" w:rsidRDefault="000E40BB" w:rsidP="000E40BB">
      <w:pPr>
        <w:pStyle w:val="NoSpacing"/>
      </w:pPr>
      <w:r>
        <w:t xml:space="preserve">Barnett v Chelsea &amp; Kensington Hospital [1969] 1 QB 428, cited in Horsey, K. and Rackley, E. (2023) Tort Law. 8th </w:t>
      </w:r>
      <w:r w:rsidR="000428CC">
        <w:t>Edition</w:t>
      </w:r>
      <w:r>
        <w:t>. Oxford: Oxford University Press, p. 178.</w:t>
      </w:r>
    </w:p>
    <w:p w14:paraId="7F71B38F" w14:textId="77777777" w:rsidR="000E40BB" w:rsidRDefault="000E40BB" w:rsidP="000E40BB">
      <w:pPr>
        <w:pStyle w:val="NoSpacing"/>
      </w:pPr>
    </w:p>
    <w:p w14:paraId="48027A65" w14:textId="0ABE7929" w:rsidR="000E40BB" w:rsidRDefault="000E40BB" w:rsidP="000E40BB">
      <w:pPr>
        <w:pStyle w:val="NoSpacing"/>
      </w:pPr>
      <w:r>
        <w:t xml:space="preserve">Blyth v Birmingham Waterworks [1856] 11 Ex Ch 781, cited in Horsey, K. and Rackley, E. (2023) Tort Law. 8th </w:t>
      </w:r>
      <w:r w:rsidR="000428CC">
        <w:t>Edition</w:t>
      </w:r>
      <w:r>
        <w:t>. Oxford: Oxford University Press, p. 112.</w:t>
      </w:r>
    </w:p>
    <w:p w14:paraId="221E61DD" w14:textId="77777777" w:rsidR="000E40BB" w:rsidRDefault="000E40BB" w:rsidP="000E40BB">
      <w:pPr>
        <w:pStyle w:val="NoSpacing"/>
      </w:pPr>
    </w:p>
    <w:p w14:paraId="029D27B7" w14:textId="6EC7709B" w:rsidR="000E40BB" w:rsidRDefault="000E40BB" w:rsidP="000E40BB">
      <w:pPr>
        <w:pStyle w:val="NoSpacing"/>
      </w:pPr>
      <w:r>
        <w:t>Caparo Industries plc v Dickman [1990] 2 AC 605, cited in Horsey, K. and Rackley, E. (2023) Tort Law. 8th</w:t>
      </w:r>
      <w:r w:rsidR="000428CC" w:rsidRPr="000428CC">
        <w:t xml:space="preserve"> </w:t>
      </w:r>
      <w:r w:rsidR="000428CC">
        <w:t>Edition</w:t>
      </w:r>
      <w:r>
        <w:t>. Oxford: Oxford University Press, p. 62.</w:t>
      </w:r>
    </w:p>
    <w:p w14:paraId="62095572" w14:textId="77777777" w:rsidR="000E40BB" w:rsidRDefault="000E40BB" w:rsidP="000E40BB">
      <w:pPr>
        <w:pStyle w:val="NoSpacing"/>
      </w:pPr>
    </w:p>
    <w:p w14:paraId="1B1FD893" w14:textId="088DE553" w:rsidR="000E40BB" w:rsidRDefault="000E40BB" w:rsidP="000E40BB">
      <w:pPr>
        <w:pStyle w:val="NoSpacing"/>
      </w:pPr>
      <w:r>
        <w:t>Donoghue v Stevenson [1932] AC 562, cited in Horsey, K. and Rackley, E. (2023) Tort Law. 8th ed</w:t>
      </w:r>
      <w:r w:rsidR="000428CC" w:rsidRPr="000428CC">
        <w:t xml:space="preserve"> </w:t>
      </w:r>
      <w:r w:rsidR="000428CC">
        <w:t>Edition</w:t>
      </w:r>
      <w:r>
        <w:t>. Oxford: Oxford University Press, p. 45.</w:t>
      </w:r>
    </w:p>
    <w:p w14:paraId="2FC447EF" w14:textId="77777777" w:rsidR="000E40BB" w:rsidRDefault="000E40BB" w:rsidP="000E40BB">
      <w:pPr>
        <w:pStyle w:val="NoSpacing"/>
      </w:pPr>
    </w:p>
    <w:p w14:paraId="18086F13" w14:textId="05ACD0DA" w:rsidR="000E40BB" w:rsidRDefault="000E40BB" w:rsidP="000E40BB">
      <w:pPr>
        <w:pStyle w:val="NoSpacing"/>
      </w:pPr>
      <w:r>
        <w:t xml:space="preserve">Gough v Thorne [1966] 1 WLR 1387, cited in Horsey, K. and Rackley, E. (2023) Tort Law. 8th </w:t>
      </w:r>
      <w:r w:rsidR="000428CC">
        <w:t>Edition</w:t>
      </w:r>
      <w:r>
        <w:t>. Oxford: Oxford University Press, p. 215.</w:t>
      </w:r>
    </w:p>
    <w:p w14:paraId="1699D7D0" w14:textId="77777777" w:rsidR="000E40BB" w:rsidRDefault="000E40BB" w:rsidP="000E40BB">
      <w:pPr>
        <w:pStyle w:val="NoSpacing"/>
      </w:pPr>
    </w:p>
    <w:p w14:paraId="26F90AF9" w14:textId="1BA06E62" w:rsidR="000E40BB" w:rsidRDefault="000E40BB" w:rsidP="000E40BB">
      <w:pPr>
        <w:pStyle w:val="NoSpacing"/>
      </w:pPr>
      <w:r>
        <w:t xml:space="preserve">Gower v London Borough of Bromley [1999] ELR 356, cited in Horsey, K. and Rackley, E. (2023) Tort Law. 8th </w:t>
      </w:r>
      <w:r w:rsidR="000428CC">
        <w:t>Edition</w:t>
      </w:r>
      <w:r>
        <w:t>. Oxford: Oxford University Press, p. 118.</w:t>
      </w:r>
    </w:p>
    <w:p w14:paraId="3B26C614" w14:textId="77777777" w:rsidR="000E40BB" w:rsidRDefault="000E40BB" w:rsidP="000E40BB">
      <w:pPr>
        <w:pStyle w:val="NoSpacing"/>
      </w:pPr>
    </w:p>
    <w:p w14:paraId="5989BC04" w14:textId="165EAAF2" w:rsidR="000E40BB" w:rsidRDefault="000E40BB" w:rsidP="000E40BB">
      <w:pPr>
        <w:pStyle w:val="NoSpacing"/>
      </w:pPr>
      <w:r>
        <w:t xml:space="preserve">Jolley v Sutton London Borough Council [2000] 1 WLR 1082, cited in Horsey, K. and Rackley, E. (2023) Tort Law. 8th </w:t>
      </w:r>
      <w:r w:rsidR="001D2117">
        <w:t>Edition</w:t>
      </w:r>
      <w:r>
        <w:t>. Oxford: Oxford University Press, p. 98.</w:t>
      </w:r>
    </w:p>
    <w:p w14:paraId="13FEBBA0" w14:textId="77777777" w:rsidR="000E40BB" w:rsidRDefault="000E40BB" w:rsidP="000E40BB">
      <w:pPr>
        <w:pStyle w:val="NoSpacing"/>
      </w:pPr>
    </w:p>
    <w:p w14:paraId="2E709842" w14:textId="6A617EF6" w:rsidR="000E40BB" w:rsidRDefault="000E40BB" w:rsidP="000E40BB">
      <w:pPr>
        <w:pStyle w:val="NoSpacing"/>
      </w:pPr>
      <w:r>
        <w:t xml:space="preserve">McKew v Holland &amp; Hannen &amp; </w:t>
      </w:r>
      <w:r w:rsidR="001D2117">
        <w:t>Cubitt’s</w:t>
      </w:r>
      <w:r>
        <w:t xml:space="preserve"> [1969] 3 All ER 1621, cited in Horsey, K. and Rackley, E. (2023) Tort Law. 8th </w:t>
      </w:r>
      <w:r w:rsidR="001D2117">
        <w:t>Edition</w:t>
      </w:r>
      <w:r>
        <w:t>. Oxford: Oxford University Press, p. 185.</w:t>
      </w:r>
    </w:p>
    <w:p w14:paraId="308DD91F" w14:textId="77777777" w:rsidR="000E40BB" w:rsidRDefault="000E40BB" w:rsidP="000E40BB">
      <w:pPr>
        <w:pStyle w:val="NoSpacing"/>
      </w:pPr>
    </w:p>
    <w:p w14:paraId="4CCF3621" w14:textId="06F584B3" w:rsidR="000E40BB" w:rsidRDefault="000E40BB" w:rsidP="000E40BB">
      <w:pPr>
        <w:pStyle w:val="NoSpacing"/>
      </w:pPr>
      <w:r>
        <w:t xml:space="preserve">Smith v Baker &amp; Sons [1891] AC 325, cited in Horsey, K. and Rackley, E. (2023) Tort Law. 8th </w:t>
      </w:r>
      <w:r w:rsidR="001D2117">
        <w:t>Edition</w:t>
      </w:r>
      <w:r>
        <w:t>. Oxford: Oxford University Press, p. 220.</w:t>
      </w:r>
    </w:p>
    <w:p w14:paraId="445C6ED9" w14:textId="77777777" w:rsidR="000E40BB" w:rsidRDefault="000E40BB" w:rsidP="000E40BB">
      <w:pPr>
        <w:pStyle w:val="NoSpacing"/>
      </w:pPr>
    </w:p>
    <w:p w14:paraId="29155306" w14:textId="77777777" w:rsidR="000E40BB" w:rsidRDefault="000E40BB" w:rsidP="000E40BB">
      <w:pPr>
        <w:pStyle w:val="NoSpacing"/>
      </w:pPr>
      <w:r>
        <w:t xml:space="preserve">Spartan Steel &amp; Alloys Ltd v Martin &amp; Co [1973] QB 27, cited in Horsey, K. and Rackley, E. (2023) Tort Law. 8th </w:t>
      </w:r>
      <w:proofErr w:type="spellStart"/>
      <w:r>
        <w:t>edn</w:t>
      </w:r>
      <w:proofErr w:type="spellEnd"/>
      <w:r>
        <w:t>. Oxford: Oxford University Press, p. 245.</w:t>
      </w:r>
    </w:p>
    <w:p w14:paraId="321EDF01" w14:textId="77777777" w:rsidR="000E40BB" w:rsidRDefault="000E40BB" w:rsidP="000E40BB">
      <w:pPr>
        <w:pStyle w:val="NoSpacing"/>
      </w:pPr>
    </w:p>
    <w:p w14:paraId="655DEA53" w14:textId="77777777" w:rsidR="000E40BB" w:rsidRDefault="000E40BB" w:rsidP="000E40BB">
      <w:pPr>
        <w:pStyle w:val="NoSpacing"/>
      </w:pPr>
      <w:r>
        <w:t xml:space="preserve">The Wagon Mound (No 1) [1961] AC 388, cited in Horsey, K. and Rackley, E. (2023) Tort Law. 8th </w:t>
      </w:r>
      <w:proofErr w:type="spellStart"/>
      <w:r>
        <w:t>edn</w:t>
      </w:r>
      <w:proofErr w:type="spellEnd"/>
      <w:r>
        <w:t>. Oxford: Oxford University Press, p. 190.</w:t>
      </w:r>
    </w:p>
    <w:p w14:paraId="5EF35E7F" w14:textId="77777777" w:rsidR="000E40BB" w:rsidRDefault="000E40BB" w:rsidP="000E40BB">
      <w:pPr>
        <w:pStyle w:val="NoSpacing"/>
      </w:pPr>
    </w:p>
    <w:p w14:paraId="397D2101" w14:textId="77777777" w:rsidR="000E40BB" w:rsidRDefault="000E40BB" w:rsidP="000E40BB">
      <w:pPr>
        <w:pStyle w:val="NoSpacing"/>
      </w:pPr>
      <w:r>
        <w:t xml:space="preserve">Woodbridge School v Chittock [2002] EWCA </w:t>
      </w:r>
      <w:proofErr w:type="spellStart"/>
      <w:r>
        <w:t>Civ</w:t>
      </w:r>
      <w:proofErr w:type="spellEnd"/>
      <w:r>
        <w:t xml:space="preserve"> 915, cited in Horsey, K. and Rackley, E. (2023) Tort Law. 8th </w:t>
      </w:r>
      <w:proofErr w:type="spellStart"/>
      <w:r>
        <w:t>edn</w:t>
      </w:r>
      <w:proofErr w:type="spellEnd"/>
      <w:r>
        <w:t>. Oxford: Oxford University Press, p. 125.</w:t>
      </w:r>
    </w:p>
    <w:p w14:paraId="1067E84D" w14:textId="77777777" w:rsidR="000E40BB" w:rsidRDefault="000E40BB" w:rsidP="000E40BB">
      <w:pPr>
        <w:pStyle w:val="NoSpacing"/>
      </w:pPr>
    </w:p>
    <w:p w14:paraId="6906AE65" w14:textId="7D4789A4" w:rsidR="0045250A" w:rsidRPr="001414E4" w:rsidRDefault="000E40BB" w:rsidP="000E40BB">
      <w:pPr>
        <w:pStyle w:val="NoSpacing"/>
      </w:pPr>
      <w:proofErr w:type="spellStart"/>
      <w:r>
        <w:t>Yachuk</w:t>
      </w:r>
      <w:proofErr w:type="spellEnd"/>
      <w:r>
        <w:t xml:space="preserve"> v Oliver Blais Co Ltd [1949] AC 386, cited in Horsey, K. and Rackley, E. (2023) Tort Law. 8th </w:t>
      </w:r>
      <w:proofErr w:type="spellStart"/>
      <w:r>
        <w:t>edn</w:t>
      </w:r>
      <w:proofErr w:type="spellEnd"/>
      <w:r>
        <w:t>. Oxford: Oxford University Press, p. 208.</w:t>
      </w:r>
    </w:p>
    <w:sectPr w:rsidR="0045250A" w:rsidRPr="001414E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F2C29" w14:textId="77777777" w:rsidR="00D761CA" w:rsidRDefault="00D761CA" w:rsidP="003B6B6F">
      <w:pPr>
        <w:spacing w:after="0" w:line="240" w:lineRule="auto"/>
      </w:pPr>
      <w:r>
        <w:separator/>
      </w:r>
    </w:p>
  </w:endnote>
  <w:endnote w:type="continuationSeparator" w:id="0">
    <w:p w14:paraId="55188980" w14:textId="77777777" w:rsidR="00D761CA" w:rsidRDefault="00D761CA" w:rsidP="003B6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34E67" w14:textId="77777777" w:rsidR="003B6B6F" w:rsidRDefault="003B6B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C31E4" w14:textId="77777777" w:rsidR="00D761CA" w:rsidRDefault="00D761CA" w:rsidP="003B6B6F">
      <w:pPr>
        <w:spacing w:after="0" w:line="240" w:lineRule="auto"/>
      </w:pPr>
      <w:r>
        <w:separator/>
      </w:r>
    </w:p>
  </w:footnote>
  <w:footnote w:type="continuationSeparator" w:id="0">
    <w:p w14:paraId="050EDD30" w14:textId="77777777" w:rsidR="00D761CA" w:rsidRDefault="00D761CA" w:rsidP="003B6B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CF3B1F"/>
    <w:multiLevelType w:val="hybridMultilevel"/>
    <w:tmpl w:val="15EA34E2"/>
    <w:lvl w:ilvl="0" w:tplc="0E1E02E8">
      <w:start w:val="1"/>
      <w:numFmt w:val="bullet"/>
      <w:lvlText w:val="•"/>
      <w:lvlJc w:val="left"/>
      <w:pPr>
        <w:tabs>
          <w:tab w:val="num" w:pos="720"/>
        </w:tabs>
        <w:ind w:left="720" w:hanging="360"/>
      </w:pPr>
      <w:rPr>
        <w:rFonts w:ascii="Times New Roman" w:hAnsi="Times New Roman" w:hint="default"/>
      </w:rPr>
    </w:lvl>
    <w:lvl w:ilvl="1" w:tplc="C406D4AE" w:tentative="1">
      <w:start w:val="1"/>
      <w:numFmt w:val="bullet"/>
      <w:lvlText w:val="•"/>
      <w:lvlJc w:val="left"/>
      <w:pPr>
        <w:tabs>
          <w:tab w:val="num" w:pos="1440"/>
        </w:tabs>
        <w:ind w:left="1440" w:hanging="360"/>
      </w:pPr>
      <w:rPr>
        <w:rFonts w:ascii="Times New Roman" w:hAnsi="Times New Roman" w:hint="default"/>
      </w:rPr>
    </w:lvl>
    <w:lvl w:ilvl="2" w:tplc="D3E45E40" w:tentative="1">
      <w:start w:val="1"/>
      <w:numFmt w:val="bullet"/>
      <w:lvlText w:val="•"/>
      <w:lvlJc w:val="left"/>
      <w:pPr>
        <w:tabs>
          <w:tab w:val="num" w:pos="2160"/>
        </w:tabs>
        <w:ind w:left="2160" w:hanging="360"/>
      </w:pPr>
      <w:rPr>
        <w:rFonts w:ascii="Times New Roman" w:hAnsi="Times New Roman" w:hint="default"/>
      </w:rPr>
    </w:lvl>
    <w:lvl w:ilvl="3" w:tplc="30C69B96" w:tentative="1">
      <w:start w:val="1"/>
      <w:numFmt w:val="bullet"/>
      <w:lvlText w:val="•"/>
      <w:lvlJc w:val="left"/>
      <w:pPr>
        <w:tabs>
          <w:tab w:val="num" w:pos="2880"/>
        </w:tabs>
        <w:ind w:left="2880" w:hanging="360"/>
      </w:pPr>
      <w:rPr>
        <w:rFonts w:ascii="Times New Roman" w:hAnsi="Times New Roman" w:hint="default"/>
      </w:rPr>
    </w:lvl>
    <w:lvl w:ilvl="4" w:tplc="50C28216" w:tentative="1">
      <w:start w:val="1"/>
      <w:numFmt w:val="bullet"/>
      <w:lvlText w:val="•"/>
      <w:lvlJc w:val="left"/>
      <w:pPr>
        <w:tabs>
          <w:tab w:val="num" w:pos="3600"/>
        </w:tabs>
        <w:ind w:left="3600" w:hanging="360"/>
      </w:pPr>
      <w:rPr>
        <w:rFonts w:ascii="Times New Roman" w:hAnsi="Times New Roman" w:hint="default"/>
      </w:rPr>
    </w:lvl>
    <w:lvl w:ilvl="5" w:tplc="041C04E8" w:tentative="1">
      <w:start w:val="1"/>
      <w:numFmt w:val="bullet"/>
      <w:lvlText w:val="•"/>
      <w:lvlJc w:val="left"/>
      <w:pPr>
        <w:tabs>
          <w:tab w:val="num" w:pos="4320"/>
        </w:tabs>
        <w:ind w:left="4320" w:hanging="360"/>
      </w:pPr>
      <w:rPr>
        <w:rFonts w:ascii="Times New Roman" w:hAnsi="Times New Roman" w:hint="default"/>
      </w:rPr>
    </w:lvl>
    <w:lvl w:ilvl="6" w:tplc="AF827D92" w:tentative="1">
      <w:start w:val="1"/>
      <w:numFmt w:val="bullet"/>
      <w:lvlText w:val="•"/>
      <w:lvlJc w:val="left"/>
      <w:pPr>
        <w:tabs>
          <w:tab w:val="num" w:pos="5040"/>
        </w:tabs>
        <w:ind w:left="5040" w:hanging="360"/>
      </w:pPr>
      <w:rPr>
        <w:rFonts w:ascii="Times New Roman" w:hAnsi="Times New Roman" w:hint="default"/>
      </w:rPr>
    </w:lvl>
    <w:lvl w:ilvl="7" w:tplc="B178BE6C" w:tentative="1">
      <w:start w:val="1"/>
      <w:numFmt w:val="bullet"/>
      <w:lvlText w:val="•"/>
      <w:lvlJc w:val="left"/>
      <w:pPr>
        <w:tabs>
          <w:tab w:val="num" w:pos="5760"/>
        </w:tabs>
        <w:ind w:left="5760" w:hanging="360"/>
      </w:pPr>
      <w:rPr>
        <w:rFonts w:ascii="Times New Roman" w:hAnsi="Times New Roman" w:hint="default"/>
      </w:rPr>
    </w:lvl>
    <w:lvl w:ilvl="8" w:tplc="B7A6F73A" w:tentative="1">
      <w:start w:val="1"/>
      <w:numFmt w:val="bullet"/>
      <w:lvlText w:val="•"/>
      <w:lvlJc w:val="left"/>
      <w:pPr>
        <w:tabs>
          <w:tab w:val="num" w:pos="6480"/>
        </w:tabs>
        <w:ind w:left="6480" w:hanging="360"/>
      </w:pPr>
      <w:rPr>
        <w:rFonts w:ascii="Times New Roman" w:hAnsi="Times New Roman" w:hint="default"/>
      </w:rPr>
    </w:lvl>
  </w:abstractNum>
  <w:num w:numId="1" w16cid:durableId="49577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D28"/>
    <w:rsid w:val="000003DE"/>
    <w:rsid w:val="00002AF6"/>
    <w:rsid w:val="00011F2A"/>
    <w:rsid w:val="00017443"/>
    <w:rsid w:val="000227D8"/>
    <w:rsid w:val="00025593"/>
    <w:rsid w:val="00032173"/>
    <w:rsid w:val="0003447F"/>
    <w:rsid w:val="000428CC"/>
    <w:rsid w:val="00046862"/>
    <w:rsid w:val="00056B14"/>
    <w:rsid w:val="000701DA"/>
    <w:rsid w:val="00070573"/>
    <w:rsid w:val="00075A93"/>
    <w:rsid w:val="00076DAF"/>
    <w:rsid w:val="000772C7"/>
    <w:rsid w:val="00084260"/>
    <w:rsid w:val="000A0E74"/>
    <w:rsid w:val="000A3573"/>
    <w:rsid w:val="000A794A"/>
    <w:rsid w:val="000C00DB"/>
    <w:rsid w:val="000D6D48"/>
    <w:rsid w:val="000E40BB"/>
    <w:rsid w:val="000E5835"/>
    <w:rsid w:val="000F2491"/>
    <w:rsid w:val="000F5892"/>
    <w:rsid w:val="000F5EB4"/>
    <w:rsid w:val="00104E31"/>
    <w:rsid w:val="00114BE6"/>
    <w:rsid w:val="001163D8"/>
    <w:rsid w:val="001164A3"/>
    <w:rsid w:val="0011652E"/>
    <w:rsid w:val="0011654C"/>
    <w:rsid w:val="00116B01"/>
    <w:rsid w:val="00121F81"/>
    <w:rsid w:val="0012729D"/>
    <w:rsid w:val="00131158"/>
    <w:rsid w:val="00132D28"/>
    <w:rsid w:val="00137C96"/>
    <w:rsid w:val="001414E4"/>
    <w:rsid w:val="00143851"/>
    <w:rsid w:val="0014611A"/>
    <w:rsid w:val="001468BB"/>
    <w:rsid w:val="00151699"/>
    <w:rsid w:val="00151AF5"/>
    <w:rsid w:val="00151CD1"/>
    <w:rsid w:val="001526AF"/>
    <w:rsid w:val="00152BC3"/>
    <w:rsid w:val="001621FF"/>
    <w:rsid w:val="00163B75"/>
    <w:rsid w:val="00173813"/>
    <w:rsid w:val="001936F2"/>
    <w:rsid w:val="001936F3"/>
    <w:rsid w:val="001948C9"/>
    <w:rsid w:val="001A1D6C"/>
    <w:rsid w:val="001A506A"/>
    <w:rsid w:val="001A546C"/>
    <w:rsid w:val="001A7011"/>
    <w:rsid w:val="001B5E57"/>
    <w:rsid w:val="001B72A7"/>
    <w:rsid w:val="001B7FBD"/>
    <w:rsid w:val="001C3F78"/>
    <w:rsid w:val="001C400B"/>
    <w:rsid w:val="001D2117"/>
    <w:rsid w:val="001E526A"/>
    <w:rsid w:val="001E5D5F"/>
    <w:rsid w:val="001F00B0"/>
    <w:rsid w:val="001F6FFA"/>
    <w:rsid w:val="00203C7C"/>
    <w:rsid w:val="00204F9A"/>
    <w:rsid w:val="00210C86"/>
    <w:rsid w:val="00225820"/>
    <w:rsid w:val="002272EB"/>
    <w:rsid w:val="00231CB1"/>
    <w:rsid w:val="002322A4"/>
    <w:rsid w:val="002434C1"/>
    <w:rsid w:val="00244421"/>
    <w:rsid w:val="00246DFD"/>
    <w:rsid w:val="00251423"/>
    <w:rsid w:val="0026755D"/>
    <w:rsid w:val="00273F30"/>
    <w:rsid w:val="002861A5"/>
    <w:rsid w:val="00290231"/>
    <w:rsid w:val="002A1D31"/>
    <w:rsid w:val="002B1954"/>
    <w:rsid w:val="002B4D98"/>
    <w:rsid w:val="002C57C8"/>
    <w:rsid w:val="002D2234"/>
    <w:rsid w:val="002E02C5"/>
    <w:rsid w:val="002E0610"/>
    <w:rsid w:val="002E0E44"/>
    <w:rsid w:val="002E5E50"/>
    <w:rsid w:val="002F738E"/>
    <w:rsid w:val="003104FE"/>
    <w:rsid w:val="003155F2"/>
    <w:rsid w:val="00336887"/>
    <w:rsid w:val="00344C62"/>
    <w:rsid w:val="0034721A"/>
    <w:rsid w:val="00362BDD"/>
    <w:rsid w:val="003630BF"/>
    <w:rsid w:val="00382F5F"/>
    <w:rsid w:val="00385916"/>
    <w:rsid w:val="0039518A"/>
    <w:rsid w:val="003A0957"/>
    <w:rsid w:val="003A1C7A"/>
    <w:rsid w:val="003A28CB"/>
    <w:rsid w:val="003A7EA8"/>
    <w:rsid w:val="003B09E7"/>
    <w:rsid w:val="003B280A"/>
    <w:rsid w:val="003B34DC"/>
    <w:rsid w:val="003B6B6F"/>
    <w:rsid w:val="003B7CB5"/>
    <w:rsid w:val="003C000B"/>
    <w:rsid w:val="003C2093"/>
    <w:rsid w:val="003C429F"/>
    <w:rsid w:val="003D0840"/>
    <w:rsid w:val="003D2895"/>
    <w:rsid w:val="003D4B83"/>
    <w:rsid w:val="003E0E28"/>
    <w:rsid w:val="00412665"/>
    <w:rsid w:val="00414CDA"/>
    <w:rsid w:val="004157CC"/>
    <w:rsid w:val="00416085"/>
    <w:rsid w:val="00426782"/>
    <w:rsid w:val="004315DE"/>
    <w:rsid w:val="00435EA4"/>
    <w:rsid w:val="00437D98"/>
    <w:rsid w:val="00443083"/>
    <w:rsid w:val="00447F99"/>
    <w:rsid w:val="0045069F"/>
    <w:rsid w:val="0045250A"/>
    <w:rsid w:val="004531F1"/>
    <w:rsid w:val="0045603D"/>
    <w:rsid w:val="004676F7"/>
    <w:rsid w:val="00474E3F"/>
    <w:rsid w:val="00477C67"/>
    <w:rsid w:val="00477FF1"/>
    <w:rsid w:val="0048112F"/>
    <w:rsid w:val="00483679"/>
    <w:rsid w:val="00491FED"/>
    <w:rsid w:val="00493427"/>
    <w:rsid w:val="004940CF"/>
    <w:rsid w:val="0049537F"/>
    <w:rsid w:val="00495A9F"/>
    <w:rsid w:val="004B022A"/>
    <w:rsid w:val="004B2247"/>
    <w:rsid w:val="004B5B79"/>
    <w:rsid w:val="004C0218"/>
    <w:rsid w:val="004D6097"/>
    <w:rsid w:val="004D65EC"/>
    <w:rsid w:val="004E022D"/>
    <w:rsid w:val="004E0857"/>
    <w:rsid w:val="004E0E27"/>
    <w:rsid w:val="004E3712"/>
    <w:rsid w:val="004F6358"/>
    <w:rsid w:val="0050214E"/>
    <w:rsid w:val="00503907"/>
    <w:rsid w:val="005209FA"/>
    <w:rsid w:val="005263DC"/>
    <w:rsid w:val="0052733B"/>
    <w:rsid w:val="00535E8E"/>
    <w:rsid w:val="00541435"/>
    <w:rsid w:val="0054175C"/>
    <w:rsid w:val="00541C21"/>
    <w:rsid w:val="00561956"/>
    <w:rsid w:val="00565601"/>
    <w:rsid w:val="00565E70"/>
    <w:rsid w:val="00581270"/>
    <w:rsid w:val="005842A0"/>
    <w:rsid w:val="00584A90"/>
    <w:rsid w:val="00584C43"/>
    <w:rsid w:val="005872D3"/>
    <w:rsid w:val="00591565"/>
    <w:rsid w:val="0059660B"/>
    <w:rsid w:val="005A0E25"/>
    <w:rsid w:val="005A22E9"/>
    <w:rsid w:val="005A4E87"/>
    <w:rsid w:val="005B7545"/>
    <w:rsid w:val="005C445A"/>
    <w:rsid w:val="005D3477"/>
    <w:rsid w:val="005D3707"/>
    <w:rsid w:val="005E313E"/>
    <w:rsid w:val="005E759D"/>
    <w:rsid w:val="005E78B2"/>
    <w:rsid w:val="005F2025"/>
    <w:rsid w:val="005F68F1"/>
    <w:rsid w:val="005F6E0F"/>
    <w:rsid w:val="00600BF8"/>
    <w:rsid w:val="00602288"/>
    <w:rsid w:val="00602431"/>
    <w:rsid w:val="006053EE"/>
    <w:rsid w:val="0061499D"/>
    <w:rsid w:val="00621231"/>
    <w:rsid w:val="00622AF5"/>
    <w:rsid w:val="0062479C"/>
    <w:rsid w:val="00637B85"/>
    <w:rsid w:val="00642106"/>
    <w:rsid w:val="00642243"/>
    <w:rsid w:val="00644830"/>
    <w:rsid w:val="0065586C"/>
    <w:rsid w:val="0065642E"/>
    <w:rsid w:val="006602C3"/>
    <w:rsid w:val="00661F0B"/>
    <w:rsid w:val="006665E9"/>
    <w:rsid w:val="0067046A"/>
    <w:rsid w:val="006704C6"/>
    <w:rsid w:val="00671F3A"/>
    <w:rsid w:val="00672484"/>
    <w:rsid w:val="00673491"/>
    <w:rsid w:val="006750DE"/>
    <w:rsid w:val="006809A1"/>
    <w:rsid w:val="00681BB6"/>
    <w:rsid w:val="0069040E"/>
    <w:rsid w:val="00693D39"/>
    <w:rsid w:val="00693F52"/>
    <w:rsid w:val="00695067"/>
    <w:rsid w:val="006950ED"/>
    <w:rsid w:val="006954C6"/>
    <w:rsid w:val="006A76D7"/>
    <w:rsid w:val="006B292A"/>
    <w:rsid w:val="006C4E92"/>
    <w:rsid w:val="006D105A"/>
    <w:rsid w:val="006E25B4"/>
    <w:rsid w:val="006E3498"/>
    <w:rsid w:val="006F40F5"/>
    <w:rsid w:val="0070214C"/>
    <w:rsid w:val="00704C7E"/>
    <w:rsid w:val="00724559"/>
    <w:rsid w:val="007334C5"/>
    <w:rsid w:val="00736A12"/>
    <w:rsid w:val="007370B7"/>
    <w:rsid w:val="00740732"/>
    <w:rsid w:val="00742A97"/>
    <w:rsid w:val="00744531"/>
    <w:rsid w:val="0076192D"/>
    <w:rsid w:val="00764008"/>
    <w:rsid w:val="00766D8B"/>
    <w:rsid w:val="00770C8A"/>
    <w:rsid w:val="0079262D"/>
    <w:rsid w:val="00793253"/>
    <w:rsid w:val="007A05F5"/>
    <w:rsid w:val="007A1550"/>
    <w:rsid w:val="007B4724"/>
    <w:rsid w:val="007B6BA7"/>
    <w:rsid w:val="007C2D1A"/>
    <w:rsid w:val="007C50C9"/>
    <w:rsid w:val="007C6E05"/>
    <w:rsid w:val="007D3C0A"/>
    <w:rsid w:val="007D68FD"/>
    <w:rsid w:val="007D751E"/>
    <w:rsid w:val="007E54DC"/>
    <w:rsid w:val="007F5EBC"/>
    <w:rsid w:val="00800830"/>
    <w:rsid w:val="0080337A"/>
    <w:rsid w:val="008057F4"/>
    <w:rsid w:val="00811499"/>
    <w:rsid w:val="00811A4F"/>
    <w:rsid w:val="0082300E"/>
    <w:rsid w:val="00824165"/>
    <w:rsid w:val="008255DC"/>
    <w:rsid w:val="00827685"/>
    <w:rsid w:val="00830CDA"/>
    <w:rsid w:val="008322DC"/>
    <w:rsid w:val="0083244A"/>
    <w:rsid w:val="00834A6E"/>
    <w:rsid w:val="00837EDD"/>
    <w:rsid w:val="008422FB"/>
    <w:rsid w:val="00846C07"/>
    <w:rsid w:val="00846FF2"/>
    <w:rsid w:val="0085127B"/>
    <w:rsid w:val="00851884"/>
    <w:rsid w:val="00853445"/>
    <w:rsid w:val="00871FD8"/>
    <w:rsid w:val="00872158"/>
    <w:rsid w:val="00875314"/>
    <w:rsid w:val="0088179A"/>
    <w:rsid w:val="008853D1"/>
    <w:rsid w:val="008953F5"/>
    <w:rsid w:val="008B2136"/>
    <w:rsid w:val="008B671D"/>
    <w:rsid w:val="008C2198"/>
    <w:rsid w:val="008D3EE0"/>
    <w:rsid w:val="008D43F8"/>
    <w:rsid w:val="008D6827"/>
    <w:rsid w:val="008D6D4B"/>
    <w:rsid w:val="008D75C4"/>
    <w:rsid w:val="008E0ED5"/>
    <w:rsid w:val="008E1A94"/>
    <w:rsid w:val="008E3F32"/>
    <w:rsid w:val="008F401F"/>
    <w:rsid w:val="008F515F"/>
    <w:rsid w:val="008F5D12"/>
    <w:rsid w:val="008F6AE5"/>
    <w:rsid w:val="00904777"/>
    <w:rsid w:val="00905E9C"/>
    <w:rsid w:val="00910470"/>
    <w:rsid w:val="00934AF1"/>
    <w:rsid w:val="009411D5"/>
    <w:rsid w:val="00942E9A"/>
    <w:rsid w:val="009507F0"/>
    <w:rsid w:val="0096198E"/>
    <w:rsid w:val="009639D2"/>
    <w:rsid w:val="00972D66"/>
    <w:rsid w:val="0099019C"/>
    <w:rsid w:val="00993B6B"/>
    <w:rsid w:val="009A3B10"/>
    <w:rsid w:val="009A3F29"/>
    <w:rsid w:val="009A710B"/>
    <w:rsid w:val="009B0B27"/>
    <w:rsid w:val="009B135F"/>
    <w:rsid w:val="009B1E1A"/>
    <w:rsid w:val="009B220F"/>
    <w:rsid w:val="009B2ECD"/>
    <w:rsid w:val="009C400A"/>
    <w:rsid w:val="009C48A9"/>
    <w:rsid w:val="009C4E02"/>
    <w:rsid w:val="009C6E3C"/>
    <w:rsid w:val="009D13A9"/>
    <w:rsid w:val="009E259C"/>
    <w:rsid w:val="009E2F52"/>
    <w:rsid w:val="009F19F7"/>
    <w:rsid w:val="009F2103"/>
    <w:rsid w:val="009F62CC"/>
    <w:rsid w:val="00A01C8D"/>
    <w:rsid w:val="00A06A16"/>
    <w:rsid w:val="00A112A6"/>
    <w:rsid w:val="00A11E76"/>
    <w:rsid w:val="00A13529"/>
    <w:rsid w:val="00A1478A"/>
    <w:rsid w:val="00A20900"/>
    <w:rsid w:val="00A215B3"/>
    <w:rsid w:val="00A27F3A"/>
    <w:rsid w:val="00A32C7F"/>
    <w:rsid w:val="00A37FFA"/>
    <w:rsid w:val="00A5247B"/>
    <w:rsid w:val="00A52C44"/>
    <w:rsid w:val="00A55886"/>
    <w:rsid w:val="00A573B1"/>
    <w:rsid w:val="00A7074E"/>
    <w:rsid w:val="00A73A4D"/>
    <w:rsid w:val="00A7766B"/>
    <w:rsid w:val="00A82E65"/>
    <w:rsid w:val="00A84934"/>
    <w:rsid w:val="00A907E3"/>
    <w:rsid w:val="00A92247"/>
    <w:rsid w:val="00AB255C"/>
    <w:rsid w:val="00AC532B"/>
    <w:rsid w:val="00AC7866"/>
    <w:rsid w:val="00AD497B"/>
    <w:rsid w:val="00AF501C"/>
    <w:rsid w:val="00AF51CD"/>
    <w:rsid w:val="00AF5F78"/>
    <w:rsid w:val="00B00338"/>
    <w:rsid w:val="00B12310"/>
    <w:rsid w:val="00B12F99"/>
    <w:rsid w:val="00B1662C"/>
    <w:rsid w:val="00B23986"/>
    <w:rsid w:val="00B373D9"/>
    <w:rsid w:val="00B60AE9"/>
    <w:rsid w:val="00B615BA"/>
    <w:rsid w:val="00B6440F"/>
    <w:rsid w:val="00B657A9"/>
    <w:rsid w:val="00B67A9C"/>
    <w:rsid w:val="00B7645B"/>
    <w:rsid w:val="00B85701"/>
    <w:rsid w:val="00B87987"/>
    <w:rsid w:val="00B917B0"/>
    <w:rsid w:val="00B962F7"/>
    <w:rsid w:val="00BA34D8"/>
    <w:rsid w:val="00BB2F5B"/>
    <w:rsid w:val="00BC7FC5"/>
    <w:rsid w:val="00BE4EBB"/>
    <w:rsid w:val="00BE7407"/>
    <w:rsid w:val="00BF03FD"/>
    <w:rsid w:val="00C00366"/>
    <w:rsid w:val="00C01905"/>
    <w:rsid w:val="00C04FDC"/>
    <w:rsid w:val="00C11FD4"/>
    <w:rsid w:val="00C12AD4"/>
    <w:rsid w:val="00C2042A"/>
    <w:rsid w:val="00C220F0"/>
    <w:rsid w:val="00C22334"/>
    <w:rsid w:val="00C3389E"/>
    <w:rsid w:val="00C36051"/>
    <w:rsid w:val="00C401E3"/>
    <w:rsid w:val="00C429ED"/>
    <w:rsid w:val="00C44F55"/>
    <w:rsid w:val="00C4664F"/>
    <w:rsid w:val="00C5292B"/>
    <w:rsid w:val="00C54A40"/>
    <w:rsid w:val="00C61C0B"/>
    <w:rsid w:val="00C6230F"/>
    <w:rsid w:val="00C63795"/>
    <w:rsid w:val="00C700B9"/>
    <w:rsid w:val="00C831D4"/>
    <w:rsid w:val="00C86275"/>
    <w:rsid w:val="00C920B0"/>
    <w:rsid w:val="00CA771D"/>
    <w:rsid w:val="00CB005B"/>
    <w:rsid w:val="00CC5364"/>
    <w:rsid w:val="00CD1D44"/>
    <w:rsid w:val="00CD21D2"/>
    <w:rsid w:val="00CD2C63"/>
    <w:rsid w:val="00CE140C"/>
    <w:rsid w:val="00CE2FD2"/>
    <w:rsid w:val="00CE30FB"/>
    <w:rsid w:val="00CE719A"/>
    <w:rsid w:val="00CF589F"/>
    <w:rsid w:val="00CF7FB1"/>
    <w:rsid w:val="00D045F6"/>
    <w:rsid w:val="00D119ED"/>
    <w:rsid w:val="00D15BA8"/>
    <w:rsid w:val="00D20685"/>
    <w:rsid w:val="00D233A7"/>
    <w:rsid w:val="00D24DA9"/>
    <w:rsid w:val="00D321AC"/>
    <w:rsid w:val="00D35803"/>
    <w:rsid w:val="00D37A58"/>
    <w:rsid w:val="00D411D1"/>
    <w:rsid w:val="00D43309"/>
    <w:rsid w:val="00D45EAD"/>
    <w:rsid w:val="00D532C0"/>
    <w:rsid w:val="00D560CC"/>
    <w:rsid w:val="00D5644F"/>
    <w:rsid w:val="00D62B77"/>
    <w:rsid w:val="00D71F3D"/>
    <w:rsid w:val="00D72D2E"/>
    <w:rsid w:val="00D761CA"/>
    <w:rsid w:val="00D800F1"/>
    <w:rsid w:val="00D801C3"/>
    <w:rsid w:val="00D8749F"/>
    <w:rsid w:val="00D94868"/>
    <w:rsid w:val="00DA1F4D"/>
    <w:rsid w:val="00DC79C5"/>
    <w:rsid w:val="00DD1096"/>
    <w:rsid w:val="00DD1357"/>
    <w:rsid w:val="00DD20A0"/>
    <w:rsid w:val="00DD6FFC"/>
    <w:rsid w:val="00DE3AF9"/>
    <w:rsid w:val="00DE5717"/>
    <w:rsid w:val="00DF4B46"/>
    <w:rsid w:val="00E057ED"/>
    <w:rsid w:val="00E06B54"/>
    <w:rsid w:val="00E12EA8"/>
    <w:rsid w:val="00E15B1D"/>
    <w:rsid w:val="00E268B4"/>
    <w:rsid w:val="00E27F0C"/>
    <w:rsid w:val="00E30EDF"/>
    <w:rsid w:val="00E321C6"/>
    <w:rsid w:val="00E344A0"/>
    <w:rsid w:val="00E359BE"/>
    <w:rsid w:val="00E37179"/>
    <w:rsid w:val="00E4313E"/>
    <w:rsid w:val="00E46F02"/>
    <w:rsid w:val="00E5075D"/>
    <w:rsid w:val="00E565AB"/>
    <w:rsid w:val="00E573F3"/>
    <w:rsid w:val="00E671FE"/>
    <w:rsid w:val="00E67B76"/>
    <w:rsid w:val="00E70E5E"/>
    <w:rsid w:val="00E76815"/>
    <w:rsid w:val="00E812D1"/>
    <w:rsid w:val="00E84C02"/>
    <w:rsid w:val="00E84FEA"/>
    <w:rsid w:val="00E878CC"/>
    <w:rsid w:val="00E90AEB"/>
    <w:rsid w:val="00EB1661"/>
    <w:rsid w:val="00EC3925"/>
    <w:rsid w:val="00ED77B2"/>
    <w:rsid w:val="00EE0583"/>
    <w:rsid w:val="00EE3BC8"/>
    <w:rsid w:val="00EE4E5C"/>
    <w:rsid w:val="00EE5556"/>
    <w:rsid w:val="00EE6762"/>
    <w:rsid w:val="00EE6DA7"/>
    <w:rsid w:val="00EF0621"/>
    <w:rsid w:val="00EF41F4"/>
    <w:rsid w:val="00F01AA4"/>
    <w:rsid w:val="00F01AD2"/>
    <w:rsid w:val="00F05983"/>
    <w:rsid w:val="00F11386"/>
    <w:rsid w:val="00F14928"/>
    <w:rsid w:val="00F252BA"/>
    <w:rsid w:val="00F256C6"/>
    <w:rsid w:val="00F26B30"/>
    <w:rsid w:val="00F36C9A"/>
    <w:rsid w:val="00F40DDD"/>
    <w:rsid w:val="00F4607E"/>
    <w:rsid w:val="00F52A35"/>
    <w:rsid w:val="00F54BA4"/>
    <w:rsid w:val="00F55F75"/>
    <w:rsid w:val="00F56682"/>
    <w:rsid w:val="00F606B0"/>
    <w:rsid w:val="00F70F79"/>
    <w:rsid w:val="00F95165"/>
    <w:rsid w:val="00FB47B6"/>
    <w:rsid w:val="00FB4F87"/>
    <w:rsid w:val="00FB5E32"/>
    <w:rsid w:val="00FC0B3D"/>
    <w:rsid w:val="00FC3C49"/>
    <w:rsid w:val="00FD2DFE"/>
    <w:rsid w:val="00FE4290"/>
    <w:rsid w:val="00FF3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131BE"/>
  <w15:chartTrackingRefBased/>
  <w15:docId w15:val="{321AD46B-72AF-48E8-8033-7F992FBB9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2D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2D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2D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2D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2D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2D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2D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2D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2D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2D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2D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2D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2D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2D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2D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2D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2D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2D28"/>
    <w:rPr>
      <w:rFonts w:eastAsiaTheme="majorEastAsia" w:cstheme="majorBidi"/>
      <w:color w:val="272727" w:themeColor="text1" w:themeTint="D8"/>
    </w:rPr>
  </w:style>
  <w:style w:type="paragraph" w:styleId="Title">
    <w:name w:val="Title"/>
    <w:basedOn w:val="Normal"/>
    <w:next w:val="Normal"/>
    <w:link w:val="TitleChar"/>
    <w:uiPriority w:val="10"/>
    <w:qFormat/>
    <w:rsid w:val="00132D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2D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2D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2D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2D28"/>
    <w:pPr>
      <w:spacing w:before="160"/>
      <w:jc w:val="center"/>
    </w:pPr>
    <w:rPr>
      <w:i/>
      <w:iCs/>
      <w:color w:val="404040" w:themeColor="text1" w:themeTint="BF"/>
    </w:rPr>
  </w:style>
  <w:style w:type="character" w:customStyle="1" w:styleId="QuoteChar">
    <w:name w:val="Quote Char"/>
    <w:basedOn w:val="DefaultParagraphFont"/>
    <w:link w:val="Quote"/>
    <w:uiPriority w:val="29"/>
    <w:rsid w:val="00132D28"/>
    <w:rPr>
      <w:i/>
      <w:iCs/>
      <w:color w:val="404040" w:themeColor="text1" w:themeTint="BF"/>
    </w:rPr>
  </w:style>
  <w:style w:type="paragraph" w:styleId="ListParagraph">
    <w:name w:val="List Paragraph"/>
    <w:basedOn w:val="Normal"/>
    <w:uiPriority w:val="34"/>
    <w:qFormat/>
    <w:rsid w:val="00132D28"/>
    <w:pPr>
      <w:ind w:left="720"/>
      <w:contextualSpacing/>
    </w:pPr>
  </w:style>
  <w:style w:type="character" w:styleId="IntenseEmphasis">
    <w:name w:val="Intense Emphasis"/>
    <w:basedOn w:val="DefaultParagraphFont"/>
    <w:uiPriority w:val="21"/>
    <w:qFormat/>
    <w:rsid w:val="00132D28"/>
    <w:rPr>
      <w:i/>
      <w:iCs/>
      <w:color w:val="0F4761" w:themeColor="accent1" w:themeShade="BF"/>
    </w:rPr>
  </w:style>
  <w:style w:type="paragraph" w:styleId="IntenseQuote">
    <w:name w:val="Intense Quote"/>
    <w:basedOn w:val="Normal"/>
    <w:next w:val="Normal"/>
    <w:link w:val="IntenseQuoteChar"/>
    <w:uiPriority w:val="30"/>
    <w:qFormat/>
    <w:rsid w:val="00132D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2D28"/>
    <w:rPr>
      <w:i/>
      <w:iCs/>
      <w:color w:val="0F4761" w:themeColor="accent1" w:themeShade="BF"/>
    </w:rPr>
  </w:style>
  <w:style w:type="character" w:styleId="IntenseReference">
    <w:name w:val="Intense Reference"/>
    <w:basedOn w:val="DefaultParagraphFont"/>
    <w:uiPriority w:val="32"/>
    <w:qFormat/>
    <w:rsid w:val="00132D28"/>
    <w:rPr>
      <w:b/>
      <w:bCs/>
      <w:smallCaps/>
      <w:color w:val="0F4761" w:themeColor="accent1" w:themeShade="BF"/>
      <w:spacing w:val="5"/>
    </w:rPr>
  </w:style>
  <w:style w:type="paragraph" w:styleId="Header">
    <w:name w:val="header"/>
    <w:basedOn w:val="Normal"/>
    <w:link w:val="HeaderChar"/>
    <w:uiPriority w:val="99"/>
    <w:unhideWhenUsed/>
    <w:rsid w:val="003B6B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B6F"/>
  </w:style>
  <w:style w:type="paragraph" w:styleId="Footer">
    <w:name w:val="footer"/>
    <w:basedOn w:val="Normal"/>
    <w:link w:val="FooterChar"/>
    <w:uiPriority w:val="99"/>
    <w:unhideWhenUsed/>
    <w:rsid w:val="003B6B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B6F"/>
  </w:style>
  <w:style w:type="paragraph" w:styleId="NoSpacing">
    <w:name w:val="No Spacing"/>
    <w:uiPriority w:val="1"/>
    <w:qFormat/>
    <w:rsid w:val="000A0E7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1636C-C171-4C7D-8B5B-FF298BF0C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1056</Words>
  <Characters>6025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Athoul Chowdhury</dc:creator>
  <cp:keywords/>
  <dc:description/>
  <cp:lastModifiedBy>Athoul Chowdhury</cp:lastModifiedBy>
  <cp:revision>2</cp:revision>
  <dcterms:created xsi:type="dcterms:W3CDTF">2026-03-20T23:51:00Z</dcterms:created>
  <dcterms:modified xsi:type="dcterms:W3CDTF">2026-03-20T23:51:00Z</dcterms:modified>
</cp:coreProperties>
</file>