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260BED" w:rsidP="08260BED" w:rsidRDefault="08260BED" w14:paraId="50563AC3" w14:textId="44A27243">
      <w:pPr>
        <w:pStyle w:val="Normal"/>
      </w:pPr>
      <w:r w:rsidR="08260BED">
        <w:rPr/>
        <w:t xml:space="preserve">        </w:t>
      </w:r>
    </w:p>
    <w:p w:rsidR="08260BED" w:rsidP="08260BED" w:rsidRDefault="08260BED" w14:paraId="3D0E282B" w14:textId="5805CAAB">
      <w:pPr>
        <w:pStyle w:val="Normal"/>
      </w:pPr>
    </w:p>
    <w:p w:rsidR="08260BED" w:rsidP="08260BED" w:rsidRDefault="08260BED" w14:paraId="341C6ABF" w14:textId="32F6A91B">
      <w:pPr>
        <w:pStyle w:val="Normal"/>
        <w:rPr>
          <w:sz w:val="28"/>
          <w:szCs w:val="28"/>
        </w:rPr>
      </w:pPr>
      <w:r w:rsidR="08260BED">
        <w:rPr/>
        <w:t xml:space="preserve">                                        </w:t>
      </w:r>
      <w:r w:rsidRPr="08260BED" w:rsidR="08260BED">
        <w:rPr>
          <w:sz w:val="28"/>
          <w:szCs w:val="28"/>
        </w:rPr>
        <w:t>SPEAKER NOTE FOR POSTER PRESENTATION</w:t>
      </w:r>
    </w:p>
    <w:p w:rsidR="08260BED" w:rsidP="08260BED" w:rsidRDefault="08260BED" w14:paraId="24921D98" w14:textId="4EE8D18F">
      <w:pPr>
        <w:pStyle w:val="Normal"/>
      </w:pPr>
    </w:p>
    <w:p w:rsidR="08260BED" w:rsidP="08260BED" w:rsidRDefault="08260BED" w14:paraId="4259C897" w14:textId="3924255F">
      <w:pPr>
        <w:pStyle w:val="Normal"/>
      </w:pPr>
    </w:p>
    <w:p w:rsidR="08260BED" w:rsidP="08260BED" w:rsidRDefault="08260BED" w14:paraId="495E1020" w14:textId="1B8EE1AD">
      <w:pPr>
        <w:pStyle w:val="Normal"/>
      </w:pPr>
    </w:p>
    <w:p w:rsidR="08260BED" w:rsidP="08260BED" w:rsidRDefault="08260BED" w14:paraId="043C3864" w14:textId="027B8E32">
      <w:pPr>
        <w:pStyle w:val="Normal"/>
        <w:rPr>
          <w:i w:val="1"/>
          <w:iCs w:val="1"/>
          <w:sz w:val="28"/>
          <w:szCs w:val="28"/>
        </w:rPr>
      </w:pPr>
      <w:r w:rsidRPr="08260BED" w:rsidR="08260BED">
        <w:rPr>
          <w:i w:val="1"/>
          <w:iCs w:val="1"/>
          <w:sz w:val="28"/>
          <w:szCs w:val="28"/>
        </w:rPr>
        <w:t>NAME:</w:t>
      </w:r>
      <w:r w:rsidRPr="08260BED" w:rsidR="08260BED">
        <w:rPr>
          <w:i w:val="1"/>
          <w:iCs w:val="1"/>
          <w:sz w:val="28"/>
          <w:szCs w:val="28"/>
        </w:rPr>
        <w:t xml:space="preserve"> SOFAIA MIDTSKAU (1813661)</w:t>
      </w:r>
    </w:p>
    <w:p w:rsidR="08260BED" w:rsidP="08260BED" w:rsidRDefault="08260BED" w14:paraId="062E16D1" w14:textId="7940C5B7">
      <w:pPr>
        <w:pStyle w:val="Normal"/>
        <w:rPr>
          <w:sz w:val="28"/>
          <w:szCs w:val="28"/>
        </w:rPr>
      </w:pPr>
      <w:r w:rsidRPr="08260BED" w:rsidR="08260BED">
        <w:rPr>
          <w:sz w:val="28"/>
          <w:szCs w:val="28"/>
        </w:rPr>
        <w:t>DATE: 24/02/2020</w:t>
      </w:r>
    </w:p>
    <w:p w:rsidR="08260BED" w:rsidP="08260BED" w:rsidRDefault="08260BED" w14:paraId="5DF85BE8" w14:textId="57D3C984">
      <w:pPr>
        <w:pStyle w:val="Normal"/>
        <w:rPr>
          <w:sz w:val="28"/>
          <w:szCs w:val="28"/>
        </w:rPr>
      </w:pPr>
      <w:r w:rsidRPr="08260BED" w:rsidR="08260BED">
        <w:rPr>
          <w:sz w:val="28"/>
          <w:szCs w:val="28"/>
        </w:rPr>
        <w:t>MODULE:</w:t>
      </w:r>
      <w:r w:rsidRPr="08260BED" w:rsidR="08260BED">
        <w:rPr>
          <w:sz w:val="28"/>
          <w:szCs w:val="28"/>
        </w:rPr>
        <w:t xml:space="preserve"> DEVELOPING WORKPLACE CRITICAL THINKING</w:t>
      </w:r>
    </w:p>
    <w:p w:rsidR="08260BED" w:rsidP="08260BED" w:rsidRDefault="08260BED" w14:paraId="01C2F19F" w14:textId="0CB70304">
      <w:pPr>
        <w:pStyle w:val="Normal"/>
      </w:pPr>
    </w:p>
    <w:p w:rsidR="08260BED" w:rsidP="08260BED" w:rsidRDefault="08260BED" w14:paraId="46684C77" w14:textId="7851BB78">
      <w:pPr>
        <w:pStyle w:val="Normal"/>
      </w:pPr>
    </w:p>
    <w:p w:rsidR="08260BED" w:rsidP="08260BED" w:rsidRDefault="08260BED" w14:paraId="0A85CE64" w14:textId="28D6DE09">
      <w:pPr>
        <w:pStyle w:val="Normal"/>
      </w:pPr>
    </w:p>
    <w:p w:rsidR="08260BED" w:rsidP="08260BED" w:rsidRDefault="08260BED" w14:paraId="538D792E" w14:textId="4F01B750">
      <w:pPr>
        <w:pStyle w:val="Normal"/>
      </w:pPr>
      <w:r>
        <w:drawing>
          <wp:inline wp14:editId="169C349F" wp14:anchorId="0A7E78C0">
            <wp:extent cx="2505075" cy="662801"/>
            <wp:effectExtent l="0" t="0" r="0" b="0"/>
            <wp:docPr id="1242329529" name="" title=""/>
            <wp:cNvGraphicFramePr>
              <a:graphicFrameLocks noChangeAspect="1"/>
            </wp:cNvGraphicFramePr>
            <a:graphic>
              <a:graphicData uri="http://schemas.openxmlformats.org/drawingml/2006/picture">
                <pic:pic>
                  <pic:nvPicPr>
                    <pic:cNvPr id="0" name=""/>
                    <pic:cNvPicPr/>
                  </pic:nvPicPr>
                  <pic:blipFill>
                    <a:blip r:embed="R5a5d34bd069d4f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05075" cy="662801"/>
                    </a:xfrm>
                    <a:prstGeom prst="rect">
                      <a:avLst/>
                    </a:prstGeom>
                  </pic:spPr>
                </pic:pic>
              </a:graphicData>
            </a:graphic>
          </wp:inline>
        </w:drawing>
      </w:r>
      <w:r w:rsidR="4A0C71B9">
        <w:rPr/>
        <w:t xml:space="preserve">    </w:t>
      </w:r>
      <w:r w:rsidRPr="4A0C71B9" w:rsidR="4A0C71B9">
        <w:rPr>
          <w:sz w:val="28"/>
          <w:szCs w:val="28"/>
        </w:rPr>
        <w:t xml:space="preserve"> VS   </w:t>
      </w:r>
      <w:r w:rsidR="4A0C71B9">
        <w:rPr/>
        <w:t xml:space="preserve">       </w:t>
      </w:r>
      <w:r>
        <w:drawing>
          <wp:inline wp14:editId="08F8B79C" wp14:anchorId="55D23A9E">
            <wp:extent cx="2401692" cy="619125"/>
            <wp:effectExtent l="0" t="0" r="0" b="0"/>
            <wp:docPr id="694192847" name="" title=""/>
            <wp:cNvGraphicFramePr>
              <a:graphicFrameLocks noChangeAspect="1"/>
            </wp:cNvGraphicFramePr>
            <a:graphic>
              <a:graphicData uri="http://schemas.openxmlformats.org/drawingml/2006/picture">
                <pic:pic>
                  <pic:nvPicPr>
                    <pic:cNvPr id="0" name=""/>
                    <pic:cNvPicPr/>
                  </pic:nvPicPr>
                  <pic:blipFill>
                    <a:blip r:embed="R1d83fcc0f3bf45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1692" cy="619125"/>
                    </a:xfrm>
                    <a:prstGeom prst="rect">
                      <a:avLst/>
                    </a:prstGeom>
                  </pic:spPr>
                </pic:pic>
              </a:graphicData>
            </a:graphic>
          </wp:inline>
        </w:drawing>
      </w:r>
    </w:p>
    <w:p w:rsidR="08260BED" w:rsidP="08260BED" w:rsidRDefault="08260BED" w14:paraId="01EFCC7F" w14:textId="68F0477E">
      <w:pPr>
        <w:pStyle w:val="Normal"/>
      </w:pPr>
    </w:p>
    <w:p w:rsidR="08260BED" w:rsidP="08260BED" w:rsidRDefault="08260BED" w14:paraId="7D14230F" w14:textId="1610337F">
      <w:pPr>
        <w:pStyle w:val="Normal"/>
        <w:rPr>
          <w:i w:val="1"/>
          <w:iCs w:val="1"/>
          <w:sz w:val="28"/>
          <w:szCs w:val="28"/>
        </w:rPr>
      </w:pPr>
      <w:r w:rsidRPr="08260BED" w:rsidR="08260BED">
        <w:rPr>
          <w:i w:val="1"/>
          <w:iCs w:val="1"/>
          <w:sz w:val="28"/>
          <w:szCs w:val="28"/>
        </w:rPr>
        <w:t>TITLE: THE IMPACT OF BELIEFS, ATTITUDES AND VALUES ON INDIVIDUAL AND ALIGNING IT WITH ORGANISATIONAL SUCCESS</w:t>
      </w:r>
    </w:p>
    <w:p w:rsidR="08260BED" w:rsidP="08260BED" w:rsidRDefault="08260BED" w14:paraId="3B605923" w14:textId="5F0A3393">
      <w:pPr>
        <w:pStyle w:val="Normal"/>
        <w:rPr>
          <w:i w:val="1"/>
          <w:iCs w:val="1"/>
        </w:rPr>
      </w:pPr>
    </w:p>
    <w:p w:rsidR="08260BED" w:rsidP="08260BED" w:rsidRDefault="08260BED" w14:paraId="4425CC6B" w14:textId="44CBB507">
      <w:pPr>
        <w:pStyle w:val="Normal"/>
      </w:pPr>
    </w:p>
    <w:p w:rsidR="08260BED" w:rsidP="08260BED" w:rsidRDefault="08260BED" w14:paraId="0B69C539" w14:textId="1E5C12A1">
      <w:pPr>
        <w:pStyle w:val="Normal"/>
      </w:pPr>
    </w:p>
    <w:p w:rsidR="08260BED" w:rsidP="08260BED" w:rsidRDefault="08260BED" w14:paraId="01A61110" w14:textId="74980F9D">
      <w:pPr>
        <w:pStyle w:val="Normal"/>
      </w:pPr>
    </w:p>
    <w:p w:rsidR="08260BED" w:rsidP="08260BED" w:rsidRDefault="08260BED" w14:paraId="52061267" w14:textId="5F9D6B9F">
      <w:pPr>
        <w:pStyle w:val="Normal"/>
      </w:pPr>
    </w:p>
    <w:p w:rsidR="08260BED" w:rsidP="08260BED" w:rsidRDefault="08260BED" w14:paraId="5B88C18F" w14:textId="596EE52F">
      <w:pPr>
        <w:pStyle w:val="Normal"/>
      </w:pPr>
    </w:p>
    <w:p w:rsidR="08260BED" w:rsidP="08260BED" w:rsidRDefault="08260BED" w14:paraId="1CB6D504" w14:textId="70E3EDF3">
      <w:pPr>
        <w:pStyle w:val="Normal"/>
      </w:pPr>
    </w:p>
    <w:p w:rsidR="08260BED" w:rsidP="08260BED" w:rsidRDefault="08260BED" w14:paraId="50EA2082" w14:textId="08F6237E">
      <w:pPr>
        <w:pStyle w:val="Normal"/>
      </w:pPr>
    </w:p>
    <w:p w:rsidR="08260BED" w:rsidP="08260BED" w:rsidRDefault="08260BED" w14:paraId="5AD4067E" w14:textId="4A7F4744">
      <w:pPr>
        <w:pStyle w:val="Normal"/>
      </w:pPr>
    </w:p>
    <w:p w:rsidR="08260BED" w:rsidP="08260BED" w:rsidRDefault="08260BED" w14:paraId="5A2D47E1" w14:textId="47E606E8">
      <w:pPr>
        <w:pStyle w:val="Normal"/>
      </w:pPr>
    </w:p>
    <w:p w:rsidR="08260BED" w:rsidP="08260BED" w:rsidRDefault="08260BED" w14:paraId="2C4AFE2A" w14:textId="792E4DCB">
      <w:pPr>
        <w:pStyle w:val="Normal"/>
      </w:pPr>
    </w:p>
    <w:p w:rsidR="08260BED" w:rsidP="08260BED" w:rsidRDefault="08260BED" w14:paraId="55EF4B65" w14:textId="75F9CAC5">
      <w:pPr>
        <w:pStyle w:val="Normal"/>
      </w:pPr>
    </w:p>
    <w:p w:rsidR="08260BED" w:rsidP="08260BED" w:rsidRDefault="08260BED" w14:paraId="70ACD746" w14:textId="7C6DC7D2">
      <w:pPr>
        <w:pStyle w:val="Normal"/>
      </w:pPr>
    </w:p>
    <w:p w:rsidR="4A0C71B9" w:rsidP="4A0C71B9" w:rsidRDefault="4A0C71B9" w14:paraId="6CC32ED7" w14:textId="49264C02">
      <w:pPr>
        <w:pStyle w:val="Normal"/>
      </w:pPr>
    </w:p>
    <w:p w:rsidR="4A0C71B9" w:rsidP="4A0C71B9" w:rsidRDefault="4A0C71B9" w14:paraId="3756C5B3" w14:textId="7B9A09CB">
      <w:pPr>
        <w:pStyle w:val="Normal"/>
        <w:jc w:val="both"/>
        <w:rPr>
          <w:b w:val="0"/>
          <w:bCs w:val="0"/>
          <w:sz w:val="24"/>
          <w:szCs w:val="24"/>
        </w:rPr>
      </w:pPr>
      <w:r w:rsidRPr="4A0C71B9" w:rsidR="4A0C71B9">
        <w:rPr>
          <w:sz w:val="24"/>
          <w:szCs w:val="24"/>
        </w:rPr>
        <w:t xml:space="preserve">In our group presentation I was given a task to work on </w:t>
      </w:r>
      <w:r w:rsidRPr="4A0C71B9" w:rsidR="4A0C71B9">
        <w:rPr>
          <w:b w:val="1"/>
          <w:bCs w:val="1"/>
          <w:sz w:val="24"/>
          <w:szCs w:val="24"/>
        </w:rPr>
        <w:t xml:space="preserve">How beliefs, values, and attitude impacts on workplace context in an organisation. </w:t>
      </w:r>
      <w:r w:rsidRPr="4A0C71B9" w:rsidR="4A0C71B9">
        <w:rPr>
          <w:b w:val="0"/>
          <w:bCs w:val="0"/>
          <w:sz w:val="24"/>
          <w:szCs w:val="24"/>
        </w:rPr>
        <w:t>I have compiled my work with comparison with two UK’s top supermarket companies Tesco, and Asda to demonstrate and critically asses the values within the two organisations and their impact on workplace behaviour.</w:t>
      </w:r>
    </w:p>
    <w:p w:rsidR="4A0C71B9" w:rsidP="4A0C71B9" w:rsidRDefault="4A0C71B9" w14:paraId="4037296C" w14:textId="3F099751">
      <w:pPr>
        <w:pStyle w:val="Normal"/>
        <w:jc w:val="both"/>
      </w:pPr>
    </w:p>
    <w:p w:rsidR="08260BED" w:rsidP="4A0C71B9" w:rsidRDefault="08260BED" w14:paraId="22582E31" w14:textId="5C91FD3A">
      <w:pPr>
        <w:pStyle w:val="Normal"/>
        <w:jc w:val="both"/>
        <w:rPr>
          <w:b w:val="1"/>
          <w:bCs w:val="1"/>
          <w:sz w:val="24"/>
          <w:szCs w:val="24"/>
        </w:rPr>
      </w:pPr>
      <w:r w:rsidRPr="4A0C71B9" w:rsidR="4A0C71B9">
        <w:rPr>
          <w:b w:val="1"/>
          <w:bCs w:val="1"/>
          <w:sz w:val="24"/>
          <w:szCs w:val="24"/>
        </w:rPr>
        <w:t>How does organisation define cultural values and beliefs in a workplace context?</w:t>
      </w:r>
    </w:p>
    <w:p w:rsidR="49711F68" w:rsidP="4A0C71B9" w:rsidRDefault="49711F68" w14:paraId="7C4E7048" w14:textId="1B89D0D9">
      <w:pPr>
        <w:pStyle w:val="Normal"/>
        <w:jc w:val="both"/>
        <w:rPr>
          <w:rFonts w:ascii="Calibri" w:hAnsi="Calibri" w:eastAsia="Calibri" w:cs="Calibri"/>
          <w:noProof w:val="0"/>
          <w:sz w:val="22"/>
          <w:szCs w:val="22"/>
          <w:lang w:val="en-GB"/>
        </w:rPr>
      </w:pPr>
      <w:r w:rsidR="4A0C71B9">
        <w:rPr/>
        <w:t xml:space="preserve">  </w:t>
      </w:r>
      <w:r w:rsidRPr="4A0C71B9" w:rsidR="4A0C71B9">
        <w:rPr>
          <w:rFonts w:ascii="Calibri" w:hAnsi="Calibri" w:eastAsia="Calibri" w:cs="Calibri"/>
          <w:noProof w:val="0"/>
          <w:sz w:val="22"/>
          <w:szCs w:val="22"/>
          <w:lang w:val="en-GB"/>
        </w:rPr>
        <w:t>“</w:t>
      </w:r>
      <w:r w:rsidRPr="4A0C71B9" w:rsidR="4A0C71B9">
        <w:rPr>
          <w:rFonts w:ascii="Calibri" w:hAnsi="Calibri" w:eastAsia="Calibri" w:cs="Calibri"/>
          <w:i w:val="1"/>
          <w:iCs w:val="1"/>
          <w:noProof w:val="0"/>
          <w:sz w:val="24"/>
          <w:szCs w:val="24"/>
          <w:lang w:val="en-GB"/>
        </w:rPr>
        <w:t>A positive attitude held by the employee towards the organisation and its values. An engaged employee is aware of the business context and works with colleagues to improve performance within the job for the benefit of the organisation. The organisation must work to develop and nurture engagement, which requires a two-way relationship between employee and employer.</w:t>
      </w:r>
      <w:r w:rsidRPr="4A0C71B9" w:rsidR="4A0C71B9">
        <w:rPr>
          <w:rFonts w:ascii="Calibri" w:hAnsi="Calibri" w:eastAsia="Calibri" w:cs="Calibri"/>
          <w:noProof w:val="0"/>
          <w:sz w:val="22"/>
          <w:szCs w:val="22"/>
          <w:lang w:val="en-GB"/>
        </w:rPr>
        <w:t>” (Institute of Employment Studies; Mac McLeod and Clarke,</w:t>
      </w:r>
      <w:r w:rsidRPr="4A0C71B9" w:rsidR="4A0C71B9">
        <w:rPr>
          <w:rFonts w:ascii="Calibri" w:hAnsi="Calibri" w:eastAsia="Calibri" w:cs="Calibri"/>
          <w:noProof w:val="0"/>
          <w:sz w:val="22"/>
          <w:szCs w:val="22"/>
          <w:lang w:val="en-GB"/>
        </w:rPr>
        <w:t>2009, p.</w:t>
      </w:r>
      <w:r w:rsidRPr="4A0C71B9" w:rsidR="4A0C71B9">
        <w:rPr>
          <w:rFonts w:ascii="Calibri" w:hAnsi="Calibri" w:eastAsia="Calibri" w:cs="Calibri"/>
          <w:noProof w:val="0"/>
          <w:sz w:val="22"/>
          <w:szCs w:val="22"/>
          <w:lang w:val="en-GB"/>
        </w:rPr>
        <w:t>7)</w:t>
      </w:r>
    </w:p>
    <w:p w:rsidR="49711F68" w:rsidP="4A0C71B9" w:rsidRDefault="49711F68" w14:paraId="49B16228" w14:textId="51E23675">
      <w:pPr>
        <w:pStyle w:val="Normal"/>
        <w:jc w:val="both"/>
        <w:rPr>
          <w:rFonts w:ascii="Calibri" w:hAnsi="Calibri" w:eastAsia="Calibri" w:cs="Calibri"/>
          <w:noProof w:val="0"/>
          <w:sz w:val="22"/>
          <w:szCs w:val="22"/>
          <w:lang w:val="en-GB"/>
        </w:rPr>
      </w:pPr>
    </w:p>
    <w:p w:rsidR="08260BED" w:rsidP="4A0C71B9" w:rsidRDefault="08260BED" w14:paraId="7198BAAE" w14:textId="0135CFDB">
      <w:pPr>
        <w:pStyle w:val="Normal"/>
        <w:jc w:val="both"/>
        <w:rPr>
          <w:rFonts w:ascii="Calibri" w:hAnsi="Calibri" w:eastAsia="Calibri" w:cs="Calibri"/>
          <w:noProof w:val="0"/>
          <w:sz w:val="24"/>
          <w:szCs w:val="24"/>
          <w:lang w:val="en-GB"/>
        </w:rPr>
      </w:pPr>
      <w:r w:rsidRPr="4A0C71B9" w:rsidR="4A0C71B9">
        <w:rPr>
          <w:rFonts w:ascii="Calibri" w:hAnsi="Calibri" w:eastAsia="Calibri" w:cs="Calibri"/>
          <w:noProof w:val="0"/>
          <w:sz w:val="24"/>
          <w:szCs w:val="24"/>
          <w:lang w:val="en-GB"/>
        </w:rPr>
        <w:t xml:space="preserve">Researches had revealed that companies nowadays had spent a lot of its resources to create and develop companies' value, beliefs and attitude for their employees and customers to engage and to live by. These cultural values are seen on companies' website, boardrooms, and affiliate them proudly in interviews with the media. However, with this effort it does not bring behaviour into an organisation when it is not met. </w:t>
      </w:r>
    </w:p>
    <w:p w:rsidR="08260BED" w:rsidP="4A0C71B9" w:rsidRDefault="08260BED" w14:paraId="084A64C6" w14:textId="638E3E1E">
      <w:pPr>
        <w:pStyle w:val="Normal"/>
        <w:jc w:val="both"/>
        <w:rPr>
          <w:rFonts w:ascii="Calibri" w:hAnsi="Calibri" w:eastAsia="Calibri" w:cs="Calibri"/>
          <w:i w:val="0"/>
          <w:iCs w:val="0"/>
          <w:noProof w:val="0"/>
          <w:sz w:val="24"/>
          <w:szCs w:val="24"/>
          <w:lang w:val="en-GB"/>
        </w:rPr>
      </w:pPr>
      <w:r w:rsidRPr="4A0C71B9" w:rsidR="4A0C71B9">
        <w:rPr>
          <w:rFonts w:ascii="Calibri" w:hAnsi="Calibri" w:eastAsia="Calibri" w:cs="Calibri"/>
          <w:noProof w:val="0"/>
          <w:sz w:val="24"/>
          <w:szCs w:val="24"/>
          <w:lang w:val="en-GB"/>
        </w:rPr>
        <w:t xml:space="preserve">(Fridman,2017) concluded that employees in an organisation do not change behaviour, because leaders are focusing on the wrong value. (Schein,2004; Ingelsson </w:t>
      </w:r>
      <w:r w:rsidRPr="4A0C71B9" w:rsidR="4A0C71B9">
        <w:rPr>
          <w:rFonts w:ascii="Calibri" w:hAnsi="Calibri" w:eastAsia="Calibri" w:cs="Calibri"/>
          <w:i w:val="1"/>
          <w:iCs w:val="1"/>
          <w:noProof w:val="0"/>
          <w:sz w:val="24"/>
          <w:szCs w:val="24"/>
          <w:lang w:val="en-GB"/>
        </w:rPr>
        <w:t>et al.,</w:t>
      </w:r>
      <w:r w:rsidRPr="4A0C71B9" w:rsidR="4A0C71B9">
        <w:rPr>
          <w:rFonts w:ascii="Calibri" w:hAnsi="Calibri" w:eastAsia="Calibri" w:cs="Calibri"/>
          <w:i w:val="0"/>
          <w:iCs w:val="0"/>
          <w:noProof w:val="0"/>
          <w:sz w:val="24"/>
          <w:szCs w:val="24"/>
          <w:lang w:val="en-GB"/>
        </w:rPr>
        <w:t>2012) argues that by developing robust cultural values within workplace, leaders will indirectly influence the attitudes and behaviour of its members. Therefore, leaders should have a vast influence on that values that are exerting controlling within the organization</w:t>
      </w:r>
    </w:p>
    <w:p w:rsidR="08260BED" w:rsidP="4A0C71B9" w:rsidRDefault="08260BED" w14:paraId="5BCE7442" w14:textId="635EA4BF">
      <w:pPr>
        <w:pStyle w:val="Normal"/>
        <w:jc w:val="both"/>
        <w:rPr>
          <w:rFonts w:ascii="Calibri" w:hAnsi="Calibri" w:eastAsia="Calibri" w:cs="Calibri"/>
          <w:noProof w:val="0"/>
          <w:sz w:val="24"/>
          <w:szCs w:val="24"/>
          <w:lang w:val="en-GB"/>
        </w:rPr>
      </w:pPr>
      <w:r w:rsidRPr="4A0C71B9" w:rsidR="4A0C71B9">
        <w:rPr>
          <w:rFonts w:ascii="Calibri" w:hAnsi="Calibri" w:eastAsia="Calibri" w:cs="Calibri"/>
          <w:noProof w:val="0"/>
          <w:sz w:val="24"/>
          <w:szCs w:val="24"/>
          <w:lang w:val="en-GB"/>
        </w:rPr>
        <w:t xml:space="preserve">                          </w:t>
      </w:r>
      <w:r w:rsidRPr="4A0C71B9" w:rsidR="4A0C71B9">
        <w:rPr>
          <w:rFonts w:ascii="Calibri" w:hAnsi="Calibri" w:eastAsia="Calibri" w:cs="Calibri"/>
          <w:b w:val="1"/>
          <w:bCs w:val="1"/>
          <w:noProof w:val="0"/>
          <w:sz w:val="24"/>
          <w:szCs w:val="24"/>
          <w:lang w:val="en-GB"/>
        </w:rPr>
        <w:t xml:space="preserve">  Tesco Core Values</w:t>
      </w:r>
      <w:r w:rsidRPr="4A0C71B9" w:rsidR="4A0C71B9">
        <w:rPr>
          <w:noProof w:val="0"/>
          <w:color w:val="666666"/>
          <w:lang w:val="en-GB"/>
        </w:rPr>
        <w:t xml:space="preserve">                                                                     </w:t>
      </w:r>
    </w:p>
    <w:p w:rsidR="08260BED" w:rsidP="4A0C71B9" w:rsidRDefault="08260BED" w14:paraId="2D75B9B4" w14:textId="26857192">
      <w:pPr>
        <w:pStyle w:val="ListParagraph"/>
        <w:numPr>
          <w:ilvl w:val="0"/>
          <w:numId w:val="3"/>
        </w:numPr>
        <w:jc w:val="both"/>
        <w:rPr>
          <w:noProof w:val="0"/>
          <w:sz w:val="24"/>
          <w:szCs w:val="24"/>
          <w:lang w:val="en-GB"/>
        </w:rPr>
      </w:pPr>
      <w:r w:rsidRPr="4A0C71B9" w:rsidR="4A0C71B9">
        <w:rPr>
          <w:rFonts w:ascii="Calibri" w:hAnsi="Calibri" w:eastAsia="Calibri" w:cs="Calibri"/>
          <w:i w:val="1"/>
          <w:iCs w:val="1"/>
          <w:noProof w:val="0"/>
          <w:sz w:val="24"/>
          <w:szCs w:val="24"/>
          <w:lang w:val="en-GB"/>
        </w:rPr>
        <w:t>We treat people how they wat to be treated</w:t>
      </w:r>
    </w:p>
    <w:p w:rsidR="08260BED" w:rsidP="4A0C71B9" w:rsidRDefault="08260BED" w14:paraId="6110096A" w14:textId="3364E002">
      <w:pPr>
        <w:pStyle w:val="ListParagraph"/>
        <w:numPr>
          <w:ilvl w:val="0"/>
          <w:numId w:val="3"/>
        </w:numPr>
        <w:jc w:val="both"/>
        <w:rPr>
          <w:noProof w:val="0"/>
          <w:sz w:val="24"/>
          <w:szCs w:val="24"/>
          <w:lang w:val="en-GB"/>
        </w:rPr>
      </w:pPr>
      <w:r w:rsidRPr="4A0C71B9" w:rsidR="4A0C71B9">
        <w:rPr>
          <w:rFonts w:ascii="Calibri" w:hAnsi="Calibri" w:eastAsia="Calibri" w:cs="Calibri"/>
          <w:i w:val="1"/>
          <w:iCs w:val="1"/>
          <w:noProof w:val="0"/>
          <w:sz w:val="24"/>
          <w:szCs w:val="24"/>
          <w:lang w:val="en-GB"/>
        </w:rPr>
        <w:t xml:space="preserve">Every little help make </w:t>
      </w:r>
      <w:r w:rsidRPr="4A0C71B9" w:rsidR="4A0C71B9">
        <w:rPr>
          <w:rFonts w:ascii="Calibri" w:hAnsi="Calibri" w:eastAsia="Calibri" w:cs="Calibri"/>
          <w:i w:val="1"/>
          <w:iCs w:val="1"/>
          <w:noProof w:val="0"/>
          <w:sz w:val="24"/>
          <w:szCs w:val="24"/>
          <w:lang w:val="en-GB"/>
        </w:rPr>
        <w:t>a significant difference</w:t>
      </w:r>
    </w:p>
    <w:p w:rsidR="08260BED" w:rsidP="4A0C71B9" w:rsidRDefault="08260BED" w14:paraId="2FB16EDA" w14:textId="45C6914C">
      <w:pPr>
        <w:pStyle w:val="ListParagraph"/>
        <w:numPr>
          <w:ilvl w:val="0"/>
          <w:numId w:val="3"/>
        </w:numPr>
        <w:jc w:val="both"/>
        <w:rPr>
          <w:noProof w:val="0"/>
          <w:sz w:val="24"/>
          <w:szCs w:val="24"/>
          <w:lang w:val="en-GB"/>
        </w:rPr>
      </w:pPr>
      <w:r w:rsidRPr="4A0C71B9" w:rsidR="4A0C71B9">
        <w:rPr>
          <w:rFonts w:ascii="Calibri" w:hAnsi="Calibri" w:eastAsia="Calibri" w:cs="Calibri"/>
          <w:i w:val="1"/>
          <w:iCs w:val="1"/>
          <w:noProof w:val="0"/>
          <w:sz w:val="24"/>
          <w:szCs w:val="24"/>
          <w:lang w:val="en-GB"/>
        </w:rPr>
        <w:t>No one tries harder for customer</w:t>
      </w:r>
    </w:p>
    <w:p w:rsidR="08260BED" w:rsidP="08260BED" w:rsidRDefault="08260BED" w14:paraId="4DBE3B45" w14:textId="4C2D8698">
      <w:pPr>
        <w:pStyle w:val="Normal"/>
      </w:pPr>
    </w:p>
    <w:p w:rsidR="4A0C71B9" w:rsidP="4A0C71B9" w:rsidRDefault="4A0C71B9" w14:paraId="36DB0285" w14:textId="02FAFC22">
      <w:pPr>
        <w:pStyle w:val="Normal"/>
        <w:ind w:left="360"/>
        <w:jc w:val="center"/>
        <w:rPr>
          <w:sz w:val="24"/>
          <w:szCs w:val="24"/>
        </w:rPr>
      </w:pPr>
      <w:r w:rsidRPr="4A0C71B9" w:rsidR="4A0C71B9">
        <w:rPr>
          <w:rFonts w:ascii="Calibri" w:hAnsi="Calibri" w:eastAsia="Calibri" w:cs="Calibri"/>
          <w:b w:val="1"/>
          <w:bCs w:val="1"/>
          <w:i w:val="1"/>
          <w:iCs w:val="1"/>
          <w:noProof w:val="0"/>
          <w:color w:val="222222"/>
          <w:sz w:val="24"/>
          <w:szCs w:val="24"/>
          <w:lang w:val="en-GB"/>
        </w:rPr>
        <w:t>“If we keep focusing on our customers, we will be here for another 100 years” (Jason Tarry, Tesco UK CEO)</w:t>
      </w:r>
    </w:p>
    <w:p w:rsidR="4A0C71B9" w:rsidP="4A0C71B9" w:rsidRDefault="4A0C71B9" w14:paraId="69C325AC" w14:textId="4D56B307">
      <w:pPr>
        <w:pStyle w:val="Normal"/>
        <w:ind w:left="360"/>
        <w:jc w:val="both"/>
        <w:rPr>
          <w:sz w:val="24"/>
          <w:szCs w:val="24"/>
        </w:rPr>
      </w:pPr>
      <w:r w:rsidRPr="4A0C71B9" w:rsidR="4A0C71B9">
        <w:rPr>
          <w:sz w:val="24"/>
          <w:szCs w:val="24"/>
        </w:rPr>
        <w:t xml:space="preserve">For an organization to achieve success it must verify what customers, workers, and stakeholders need. What are their needs? These can link them to aim to satisfy these needs. So as can facilitate enterprises to satisfy their mission, purpose, beliefs, and values. However, positive behaviours command by employees towards the organization and its price motivates to contribute to the organization to thrive and be </w:t>
      </w:r>
      <w:r w:rsidRPr="4A0C71B9" w:rsidR="4A0C71B9">
        <w:rPr>
          <w:sz w:val="24"/>
          <w:szCs w:val="24"/>
        </w:rPr>
        <w:t>successful</w:t>
      </w:r>
      <w:r w:rsidRPr="4A0C71B9" w:rsidR="4A0C71B9">
        <w:rPr>
          <w:sz w:val="24"/>
          <w:szCs w:val="24"/>
        </w:rPr>
        <w:t>.</w:t>
      </w:r>
    </w:p>
    <w:p w:rsidR="4A0C71B9" w:rsidP="4A0C71B9" w:rsidRDefault="4A0C71B9" w14:paraId="11E189FF" w14:textId="61555D70">
      <w:pPr>
        <w:pStyle w:val="Normal"/>
        <w:ind w:left="360"/>
        <w:jc w:val="both"/>
        <w:rPr>
          <w:b w:val="1"/>
          <w:bCs w:val="1"/>
          <w:i w:val="1"/>
          <w:iCs w:val="1"/>
          <w:sz w:val="24"/>
          <w:szCs w:val="24"/>
        </w:rPr>
      </w:pPr>
      <w:r w:rsidRPr="4A0C71B9" w:rsidR="4A0C71B9">
        <w:rPr>
          <w:sz w:val="24"/>
          <w:szCs w:val="24"/>
        </w:rPr>
        <w:t xml:space="preserve">Tesco is one of UK’s top supermarket that involves in supporting local causes within the community and established communities to thrive.  One of Tesco core value: </w:t>
      </w:r>
      <w:r w:rsidRPr="4A0C71B9" w:rsidR="4A0C71B9">
        <w:rPr>
          <w:b w:val="1"/>
          <w:bCs w:val="1"/>
          <w:i w:val="1"/>
          <w:iCs w:val="1"/>
          <w:sz w:val="24"/>
          <w:szCs w:val="24"/>
        </w:rPr>
        <w:t xml:space="preserve">“Every little </w:t>
      </w:r>
      <w:r w:rsidRPr="4A0C71B9" w:rsidR="4A0C71B9">
        <w:rPr>
          <w:b w:val="1"/>
          <w:bCs w:val="1"/>
          <w:i w:val="1"/>
          <w:iCs w:val="1"/>
          <w:sz w:val="24"/>
          <w:szCs w:val="24"/>
        </w:rPr>
        <w:t>help</w:t>
      </w:r>
      <w:r w:rsidRPr="4A0C71B9" w:rsidR="4A0C71B9">
        <w:rPr>
          <w:b w:val="1"/>
          <w:bCs w:val="1"/>
          <w:i w:val="1"/>
          <w:iCs w:val="1"/>
          <w:sz w:val="24"/>
          <w:szCs w:val="24"/>
        </w:rPr>
        <w:t xml:space="preserve"> makes </w:t>
      </w:r>
      <w:r w:rsidRPr="4A0C71B9" w:rsidR="4A0C71B9">
        <w:rPr>
          <w:b w:val="1"/>
          <w:bCs w:val="1"/>
          <w:i w:val="1"/>
          <w:iCs w:val="1"/>
          <w:sz w:val="24"/>
          <w:szCs w:val="24"/>
        </w:rPr>
        <w:t>a big difference</w:t>
      </w:r>
      <w:r w:rsidRPr="4A0C71B9" w:rsidR="4A0C71B9">
        <w:rPr>
          <w:b w:val="1"/>
          <w:bCs w:val="1"/>
          <w:i w:val="1"/>
          <w:iCs w:val="1"/>
          <w:sz w:val="24"/>
          <w:szCs w:val="24"/>
        </w:rPr>
        <w:t xml:space="preserve">”. </w:t>
      </w:r>
    </w:p>
    <w:p w:rsidR="4A0C71B9" w:rsidP="4A0C71B9" w:rsidRDefault="4A0C71B9" w14:paraId="34EFF5AD" w14:textId="1C034FE6">
      <w:pPr>
        <w:pStyle w:val="Normal"/>
        <w:ind w:left="360"/>
        <w:jc w:val="both"/>
        <w:rPr>
          <w:sz w:val="24"/>
          <w:szCs w:val="24"/>
        </w:rPr>
      </w:pPr>
      <w:r w:rsidRPr="23E6E617" w:rsidR="23E6E617">
        <w:rPr>
          <w:sz w:val="24"/>
          <w:szCs w:val="24"/>
        </w:rPr>
        <w:t>Since 2002 Tesco has raised over £45m for Cancer Research UK. Tesco had contributed to lower the risk of heart and circulation diseases, cancer, and Type 2 diabetes. In 2018 Tesco had built a long-lasting relationship by launching partnership with British Heart Foundation, Cancer Research UK, and Diabetes UK (Cancer Research UK,2018</w:t>
      </w:r>
      <w:r w:rsidRPr="23E6E617" w:rsidR="23E6E617">
        <w:rPr>
          <w:rFonts w:ascii="Calibri" w:hAnsi="Calibri" w:eastAsia="Calibri" w:cs="Calibri"/>
          <w:noProof w:val="0"/>
          <w:sz w:val="24"/>
          <w:szCs w:val="24"/>
          <w:lang w:val="en-GB"/>
        </w:rPr>
        <w:t>)</w:t>
      </w:r>
    </w:p>
    <w:p w:rsidR="4A0C71B9" w:rsidP="4A0C71B9" w:rsidRDefault="4A0C71B9" w14:paraId="3611CBDE" w14:textId="64287814">
      <w:pPr>
        <w:pStyle w:val="Normal"/>
        <w:ind w:left="360"/>
        <w:jc w:val="both"/>
        <w:rPr>
          <w:rFonts w:ascii="Calibri" w:hAnsi="Calibri" w:eastAsia="Calibri" w:cs="Calibri"/>
          <w:noProof w:val="0"/>
          <w:color w:val="000000" w:themeColor="text1" w:themeTint="FF" w:themeShade="FF"/>
          <w:sz w:val="24"/>
          <w:szCs w:val="24"/>
          <w:lang w:val="en-GB"/>
        </w:rPr>
      </w:pPr>
      <w:r w:rsidRPr="4A0C71B9" w:rsidR="4A0C71B9">
        <w:rPr>
          <w:rFonts w:ascii="Calibri" w:hAnsi="Calibri" w:eastAsia="Calibri" w:cs="Calibri"/>
          <w:i w:val="1"/>
          <w:iCs w:val="1"/>
          <w:noProof w:val="0"/>
          <w:color w:val="000000" w:themeColor="text1" w:themeTint="FF" w:themeShade="FF"/>
          <w:sz w:val="24"/>
          <w:szCs w:val="24"/>
          <w:lang w:val="en-GB"/>
        </w:rPr>
        <w:t>“With Tesco’s support our scientists have been able to continue our work to look at how we can prevent people from getting cancer. We know that four out of ten cancers are linked to preventable causes and thanks to our partnership with Tesco, Cancer Research UK researchers and clinicians are making great progress and bringing forward the day when we will beat cancer.” (</w:t>
      </w:r>
      <w:r w:rsidRPr="4A0C71B9" w:rsidR="4A0C71B9">
        <w:rPr>
          <w:rFonts w:ascii="Calibri" w:hAnsi="Calibri" w:eastAsia="Calibri" w:cs="Calibri"/>
          <w:noProof w:val="0"/>
          <w:color w:val="000000" w:themeColor="text1" w:themeTint="FF" w:themeShade="FF"/>
          <w:sz w:val="24"/>
          <w:szCs w:val="24"/>
          <w:lang w:val="en-GB"/>
        </w:rPr>
        <w:t>Nick Gaynor, Executive Director of Philanthropy and Partnerships at Cancer Research UK)</w:t>
      </w:r>
    </w:p>
    <w:p w:rsidR="4A0C71B9" w:rsidP="4A0C71B9" w:rsidRDefault="4A0C71B9" w14:paraId="413C1B46" w14:textId="3DEE9EC1">
      <w:pPr>
        <w:pStyle w:val="Normal"/>
        <w:ind w:left="360"/>
        <w:jc w:val="both"/>
        <w:rPr>
          <w:rFonts w:ascii="Calibri" w:hAnsi="Calibri" w:eastAsia="Calibri" w:cs="Calibri"/>
          <w:noProof w:val="0"/>
          <w:color w:val="000000" w:themeColor="text1" w:themeTint="FF" w:themeShade="FF"/>
          <w:sz w:val="24"/>
          <w:szCs w:val="24"/>
          <w:lang w:val="en-GB"/>
        </w:rPr>
      </w:pPr>
      <w:r w:rsidRPr="4A0C71B9" w:rsidR="4A0C71B9">
        <w:rPr>
          <w:rFonts w:ascii="Calibri" w:hAnsi="Calibri" w:eastAsia="Calibri" w:cs="Calibri"/>
          <w:noProof w:val="0"/>
          <w:color w:val="000000" w:themeColor="text1" w:themeTint="FF" w:themeShade="FF"/>
          <w:sz w:val="24"/>
          <w:szCs w:val="24"/>
          <w:lang w:val="en-GB"/>
        </w:rPr>
        <w:t xml:space="preserve">The importance of these money that been raised by Tesco has an impact on individual and makes a vast difference to peoples ‘s live and family with Cancer, Diabetes and Heart diseases. </w:t>
      </w:r>
    </w:p>
    <w:p w:rsidR="4A0C71B9" w:rsidP="4A0C71B9" w:rsidRDefault="4A0C71B9" w14:paraId="0D293987" w14:textId="4613DBEF">
      <w:pPr>
        <w:pStyle w:val="Normal"/>
        <w:ind w:left="360"/>
        <w:jc w:val="both"/>
        <w:rPr>
          <w:rFonts w:ascii="Calibri" w:hAnsi="Calibri" w:eastAsia="Calibri" w:cs="Calibri"/>
          <w:noProof w:val="0"/>
          <w:color w:val="000000" w:themeColor="text1" w:themeTint="FF" w:themeShade="FF"/>
          <w:sz w:val="24"/>
          <w:szCs w:val="24"/>
          <w:lang w:val="en-GB"/>
        </w:rPr>
      </w:pPr>
      <w:r w:rsidRPr="4A0C71B9" w:rsidR="4A0C71B9">
        <w:rPr>
          <w:rFonts w:ascii="Calibri" w:hAnsi="Calibri" w:eastAsia="Calibri" w:cs="Calibri"/>
          <w:noProof w:val="0"/>
          <w:color w:val="000000" w:themeColor="text1" w:themeTint="FF" w:themeShade="FF"/>
          <w:sz w:val="24"/>
          <w:szCs w:val="24"/>
          <w:lang w:val="en-GB"/>
        </w:rPr>
        <w:t xml:space="preserve">Tesco value with </w:t>
      </w:r>
      <w:r w:rsidRPr="4A0C71B9" w:rsidR="4A0C71B9">
        <w:rPr>
          <w:rFonts w:ascii="Calibri" w:hAnsi="Calibri" w:eastAsia="Calibri" w:cs="Calibri"/>
          <w:b w:val="1"/>
          <w:bCs w:val="1"/>
          <w:i w:val="1"/>
          <w:iCs w:val="1"/>
          <w:noProof w:val="0"/>
          <w:color w:val="000000" w:themeColor="text1" w:themeTint="FF" w:themeShade="FF"/>
          <w:sz w:val="24"/>
          <w:szCs w:val="24"/>
          <w:lang w:val="en-GB"/>
        </w:rPr>
        <w:t>“Every little help”</w:t>
      </w:r>
      <w:r w:rsidRPr="4A0C71B9" w:rsidR="4A0C71B9">
        <w:rPr>
          <w:rFonts w:ascii="Calibri" w:hAnsi="Calibri" w:eastAsia="Calibri" w:cs="Calibri"/>
          <w:noProof w:val="0"/>
          <w:color w:val="000000" w:themeColor="text1" w:themeTint="FF" w:themeShade="FF"/>
          <w:sz w:val="24"/>
          <w:szCs w:val="24"/>
          <w:lang w:val="en-GB"/>
        </w:rPr>
        <w:t xml:space="preserve"> are well practised and deployed within the organization.  Addressing this value is vital to mean Tesco have delivered organisation value and stuck with it. Therefore, it gives trust, growth and transparency into organisation and successfully contributes and </w:t>
      </w:r>
      <w:r w:rsidRPr="4A0C71B9" w:rsidR="4A0C71B9">
        <w:rPr>
          <w:rFonts w:ascii="Calibri" w:hAnsi="Calibri" w:eastAsia="Calibri" w:cs="Calibri"/>
          <w:noProof w:val="0"/>
          <w:color w:val="000000" w:themeColor="text1" w:themeTint="FF" w:themeShade="FF"/>
          <w:sz w:val="24"/>
          <w:szCs w:val="24"/>
          <w:lang w:val="en-GB"/>
        </w:rPr>
        <w:t>matches cultural</w:t>
      </w:r>
      <w:r w:rsidRPr="4A0C71B9" w:rsidR="4A0C71B9">
        <w:rPr>
          <w:rFonts w:ascii="Calibri" w:hAnsi="Calibri" w:eastAsia="Calibri" w:cs="Calibri"/>
          <w:noProof w:val="0"/>
          <w:color w:val="000000" w:themeColor="text1" w:themeTint="FF" w:themeShade="FF"/>
          <w:sz w:val="24"/>
          <w:szCs w:val="24"/>
          <w:lang w:val="en-GB"/>
        </w:rPr>
        <w:t xml:space="preserve"> values.</w:t>
      </w:r>
    </w:p>
    <w:p w:rsidR="4A0C71B9" w:rsidP="4A0C71B9" w:rsidRDefault="4A0C71B9" w14:paraId="187D2DFA" w14:textId="67AFFB46">
      <w:pPr>
        <w:pStyle w:val="Normal"/>
        <w:ind w:left="360"/>
        <w:jc w:val="both"/>
        <w:rPr>
          <w:rFonts w:ascii="Calibri" w:hAnsi="Calibri" w:eastAsia="Calibri" w:cs="Calibri"/>
          <w:b w:val="1"/>
          <w:bCs w:val="1"/>
          <w:noProof w:val="0"/>
          <w:color w:val="000000" w:themeColor="text1" w:themeTint="FF" w:themeShade="FF"/>
          <w:sz w:val="24"/>
          <w:szCs w:val="24"/>
          <w:lang w:val="en-GB"/>
        </w:rPr>
      </w:pPr>
      <w:r w:rsidRPr="4A0C71B9" w:rsidR="4A0C71B9">
        <w:rPr>
          <w:rFonts w:ascii="Calibri" w:hAnsi="Calibri" w:eastAsia="Calibri" w:cs="Calibri"/>
          <w:b w:val="1"/>
          <w:bCs w:val="1"/>
          <w:noProof w:val="0"/>
          <w:color w:val="000000" w:themeColor="text1" w:themeTint="FF" w:themeShade="FF"/>
          <w:sz w:val="24"/>
          <w:szCs w:val="24"/>
          <w:lang w:val="en-GB"/>
        </w:rPr>
        <w:t xml:space="preserve">Applying RED Model </w:t>
      </w:r>
      <w:r w:rsidRPr="4A0C71B9" w:rsidR="4A0C71B9">
        <w:rPr>
          <w:rFonts w:ascii="Calibri" w:hAnsi="Calibri" w:eastAsia="Calibri" w:cs="Calibri"/>
          <w:b w:val="1"/>
          <w:bCs w:val="1"/>
          <w:noProof w:val="0"/>
          <w:color w:val="000000" w:themeColor="text1" w:themeTint="FF" w:themeShade="FF"/>
          <w:sz w:val="24"/>
          <w:szCs w:val="24"/>
          <w:lang w:val="en-GB"/>
        </w:rPr>
        <w:t>and Toulmin's model: ASDA vs TESCO</w:t>
      </w:r>
    </w:p>
    <w:p w:rsidR="4A0C71B9" w:rsidP="4A0C71B9" w:rsidRDefault="4A0C71B9" w14:paraId="41F1F792" w14:textId="46907869">
      <w:pPr>
        <w:pStyle w:val="Normal"/>
        <w:ind w:left="360"/>
        <w:jc w:val="both"/>
        <w:rPr>
          <w:rFonts w:ascii="Calibri" w:hAnsi="Calibri" w:eastAsia="Calibri" w:cs="Calibri"/>
          <w:noProof w:val="0"/>
          <w:color w:val="000000" w:themeColor="text1" w:themeTint="FF" w:themeShade="FF"/>
          <w:sz w:val="24"/>
          <w:szCs w:val="24"/>
          <w:lang w:val="en-GB"/>
        </w:rPr>
      </w:pPr>
    </w:p>
    <w:p w:rsidR="4A0C71B9" w:rsidP="4A0C71B9" w:rsidRDefault="4A0C71B9" w14:paraId="4403549F" w14:textId="4061249B">
      <w:pPr>
        <w:pStyle w:val="Normal"/>
        <w:ind w:left="360"/>
        <w:jc w:val="both"/>
        <w:rPr>
          <w:rFonts w:ascii="Calibri" w:hAnsi="Calibri" w:eastAsia="Calibri" w:cs="Calibri"/>
          <w:b w:val="1"/>
          <w:bCs w:val="1"/>
          <w:noProof w:val="0"/>
          <w:color w:val="000000" w:themeColor="text1" w:themeTint="FF" w:themeShade="FF"/>
          <w:sz w:val="24"/>
          <w:szCs w:val="24"/>
          <w:lang w:val="en-GB"/>
        </w:rPr>
      </w:pPr>
      <w:r w:rsidRPr="4A0C71B9" w:rsidR="4A0C71B9">
        <w:rPr>
          <w:rFonts w:ascii="Calibri" w:hAnsi="Calibri" w:eastAsia="Calibri" w:cs="Calibri"/>
          <w:b w:val="1"/>
          <w:bCs w:val="1"/>
          <w:noProof w:val="0"/>
          <w:color w:val="000000" w:themeColor="text1" w:themeTint="FF" w:themeShade="FF"/>
          <w:sz w:val="24"/>
          <w:szCs w:val="24"/>
          <w:lang w:val="en-GB"/>
        </w:rPr>
        <w:t xml:space="preserve">RED </w:t>
      </w:r>
      <w:r w:rsidRPr="4A0C71B9" w:rsidR="4A0C71B9">
        <w:rPr>
          <w:rFonts w:ascii="Calibri" w:hAnsi="Calibri" w:eastAsia="Calibri" w:cs="Calibri"/>
          <w:b w:val="1"/>
          <w:bCs w:val="1"/>
          <w:noProof w:val="0"/>
          <w:color w:val="000000" w:themeColor="text1" w:themeTint="FF" w:themeShade="FF"/>
          <w:sz w:val="24"/>
          <w:szCs w:val="24"/>
          <w:lang w:val="en-GB"/>
        </w:rPr>
        <w:t>MODEL:</w:t>
      </w:r>
      <w:r w:rsidRPr="4A0C71B9" w:rsidR="4A0C71B9">
        <w:rPr>
          <w:rFonts w:ascii="Calibri" w:hAnsi="Calibri" w:eastAsia="Calibri" w:cs="Calibri"/>
          <w:noProof w:val="0"/>
          <w:color w:val="000000" w:themeColor="text1" w:themeTint="FF" w:themeShade="FF"/>
          <w:sz w:val="24"/>
          <w:szCs w:val="24"/>
          <w:lang w:val="en-GB"/>
        </w:rPr>
        <w:t xml:space="preserve"> </w:t>
      </w:r>
      <w:r w:rsidRPr="4A0C71B9" w:rsidR="4A0C71B9">
        <w:rPr>
          <w:rFonts w:ascii="Calibri" w:hAnsi="Calibri" w:eastAsia="Calibri" w:cs="Calibri"/>
          <w:b w:val="1"/>
          <w:bCs w:val="1"/>
          <w:noProof w:val="0"/>
          <w:color w:val="000000" w:themeColor="text1" w:themeTint="FF" w:themeShade="FF"/>
          <w:sz w:val="24"/>
          <w:szCs w:val="24"/>
          <w:lang w:val="en-GB"/>
        </w:rPr>
        <w:t>Tesco</w:t>
      </w:r>
    </w:p>
    <w:p w:rsidR="4A0C71B9" w:rsidP="4A0C71B9" w:rsidRDefault="4A0C71B9" w14:paraId="47037D2B" w14:textId="68B352C0">
      <w:pPr>
        <w:pStyle w:val="Normal"/>
        <w:ind w:left="360"/>
        <w:jc w:val="both"/>
        <w:rPr>
          <w:rFonts w:ascii="Calibri" w:hAnsi="Calibri" w:eastAsia="Calibri" w:cs="Calibri"/>
          <w:noProof w:val="0"/>
          <w:sz w:val="24"/>
          <w:szCs w:val="24"/>
          <w:lang w:val="en-GB"/>
        </w:rPr>
      </w:pPr>
      <w:r w:rsidRPr="4A0C71B9" w:rsidR="4A0C71B9">
        <w:rPr>
          <w:rFonts w:ascii="Calibri" w:hAnsi="Calibri" w:eastAsia="Calibri" w:cs="Calibri"/>
          <w:noProof w:val="0"/>
          <w:sz w:val="24"/>
          <w:szCs w:val="24"/>
          <w:lang w:val="en-GB"/>
        </w:rPr>
        <w:t xml:space="preserve">  Tesco Value: “</w:t>
      </w:r>
      <w:r w:rsidRPr="4A0C71B9" w:rsidR="4A0C71B9">
        <w:rPr>
          <w:rFonts w:ascii="Calibri" w:hAnsi="Calibri" w:eastAsia="Calibri" w:cs="Calibri"/>
          <w:i w:val="1"/>
          <w:iCs w:val="1"/>
          <w:noProof w:val="0"/>
          <w:sz w:val="24"/>
          <w:szCs w:val="24"/>
          <w:lang w:val="en-GB"/>
        </w:rPr>
        <w:t xml:space="preserve">Every little help makes </w:t>
      </w:r>
      <w:r w:rsidRPr="4A0C71B9" w:rsidR="4A0C71B9">
        <w:rPr>
          <w:rFonts w:ascii="Calibri" w:hAnsi="Calibri" w:eastAsia="Calibri" w:cs="Calibri"/>
          <w:i w:val="1"/>
          <w:iCs w:val="1"/>
          <w:noProof w:val="0"/>
          <w:sz w:val="24"/>
          <w:szCs w:val="24"/>
          <w:lang w:val="en-GB"/>
        </w:rPr>
        <w:t>a significant difference</w:t>
      </w:r>
      <w:r w:rsidRPr="4A0C71B9" w:rsidR="4A0C71B9">
        <w:rPr>
          <w:rFonts w:ascii="Calibri" w:hAnsi="Calibri" w:eastAsia="Calibri" w:cs="Calibri"/>
          <w:noProof w:val="0"/>
          <w:sz w:val="24"/>
          <w:szCs w:val="24"/>
          <w:lang w:val="en-GB"/>
        </w:rPr>
        <w:t>”</w:t>
      </w:r>
    </w:p>
    <w:p w:rsidR="4A0C71B9" w:rsidP="4A0C71B9" w:rsidRDefault="4A0C71B9" w14:paraId="1B727738" w14:textId="335F09AA">
      <w:pPr>
        <w:pStyle w:val="Normal"/>
        <w:ind w:left="360"/>
        <w:jc w:val="both"/>
        <w:rPr>
          <w:rFonts w:ascii="Calibri" w:hAnsi="Calibri" w:eastAsia="Calibri" w:cs="Calibri"/>
          <w:noProof w:val="0"/>
          <w:sz w:val="24"/>
          <w:szCs w:val="24"/>
          <w:lang w:val="en-GB"/>
        </w:rPr>
      </w:pPr>
      <w:r w:rsidRPr="4A0C71B9" w:rsidR="4A0C71B9">
        <w:rPr>
          <w:rFonts w:ascii="Calibri" w:hAnsi="Calibri" w:eastAsia="Calibri" w:cs="Calibri"/>
          <w:noProof w:val="0"/>
          <w:sz w:val="24"/>
          <w:szCs w:val="24"/>
          <w:lang w:val="en-GB"/>
        </w:rPr>
        <w:t xml:space="preserve">                            Affordable, healthy sustainable food </w:t>
      </w:r>
      <w:r w:rsidRPr="4A0C71B9" w:rsidR="4A0C71B9">
        <w:rPr>
          <w:rFonts w:ascii="Calibri" w:hAnsi="Calibri" w:eastAsia="Calibri" w:cs="Calibri"/>
          <w:noProof w:val="0"/>
          <w:sz w:val="24"/>
          <w:szCs w:val="24"/>
          <w:lang w:val="en-GB"/>
        </w:rPr>
        <w:t>access</w:t>
      </w:r>
      <w:r w:rsidRPr="4A0C71B9" w:rsidR="4A0C71B9">
        <w:rPr>
          <w:rFonts w:ascii="Calibri" w:hAnsi="Calibri" w:eastAsia="Calibri" w:cs="Calibri"/>
          <w:noProof w:val="0"/>
          <w:sz w:val="24"/>
          <w:szCs w:val="24"/>
          <w:lang w:val="en-GB"/>
        </w:rPr>
        <w:t xml:space="preserve"> to all.</w:t>
      </w:r>
    </w:p>
    <w:p w:rsidR="4A0C71B9" w:rsidP="4A0C71B9" w:rsidRDefault="4A0C71B9" w14:paraId="6CB7FD67" w14:textId="006A3C6F">
      <w:pPr>
        <w:pStyle w:val="Normal"/>
        <w:ind w:left="360"/>
        <w:jc w:val="both"/>
        <w:rPr>
          <w:sz w:val="24"/>
          <w:szCs w:val="24"/>
        </w:rPr>
      </w:pPr>
      <w:r w:rsidRPr="4A0C71B9" w:rsidR="4A0C71B9">
        <w:rPr>
          <w:sz w:val="24"/>
          <w:szCs w:val="24"/>
        </w:rPr>
        <w:t xml:space="preserve"> </w:t>
      </w:r>
      <w:r w:rsidRPr="4A0C71B9" w:rsidR="4A0C71B9">
        <w:rPr>
          <w:color w:val="FF0000"/>
          <w:sz w:val="24"/>
          <w:szCs w:val="24"/>
        </w:rPr>
        <w:t>R</w:t>
      </w:r>
      <w:r w:rsidRPr="4A0C71B9" w:rsidR="4A0C71B9">
        <w:rPr>
          <w:sz w:val="24"/>
          <w:szCs w:val="24"/>
        </w:rPr>
        <w:t xml:space="preserve">: (Harvey,2020) revealed that UK supermarkets are cutting down the use of antibiotic in farming.  Tesco is one of the leading </w:t>
      </w:r>
      <w:r w:rsidRPr="4A0C71B9" w:rsidR="4A0C71B9">
        <w:rPr>
          <w:sz w:val="24"/>
          <w:szCs w:val="24"/>
        </w:rPr>
        <w:t>supermarkets</w:t>
      </w:r>
      <w:r w:rsidRPr="4A0C71B9" w:rsidR="4A0C71B9">
        <w:rPr>
          <w:sz w:val="24"/>
          <w:szCs w:val="24"/>
        </w:rPr>
        <w:t xml:space="preserve"> that is making the impact of reducing the use of antibiotic in farming livestock.</w:t>
      </w:r>
    </w:p>
    <w:p w:rsidR="4A0C71B9" w:rsidP="4A0C71B9" w:rsidRDefault="4A0C71B9" w14:paraId="54A1CF3E" w14:textId="39948ED9">
      <w:pPr>
        <w:pStyle w:val="Normal"/>
        <w:ind w:left="360"/>
        <w:jc w:val="both"/>
        <w:rPr>
          <w:rFonts w:ascii="Calibri" w:hAnsi="Calibri" w:eastAsia="Calibri" w:cs="Calibri"/>
          <w:noProof w:val="0"/>
          <w:sz w:val="24"/>
          <w:szCs w:val="24"/>
          <w:lang w:val="en-GB"/>
        </w:rPr>
      </w:pPr>
      <w:r w:rsidRPr="23E6E617" w:rsidR="23E6E617">
        <w:rPr>
          <w:color w:val="FF0000"/>
          <w:sz w:val="24"/>
          <w:szCs w:val="24"/>
        </w:rPr>
        <w:t>E</w:t>
      </w:r>
      <w:r w:rsidRPr="23E6E617" w:rsidR="23E6E617">
        <w:rPr>
          <w:sz w:val="24"/>
          <w:szCs w:val="24"/>
        </w:rPr>
        <w:t>:  Tesco supports the food and farming sector that generates values all the way through the provision chain and delivers food for all.  Tesco is acting into leading the business in addressing sustainability claiming supply chain with the importance of building trust with supplier, ensure internationally code of conduct of business in applied within the supplier and respected (</w:t>
      </w:r>
      <w:r w:rsidRPr="23E6E617" w:rsidR="23E6E617">
        <w:rPr>
          <w:rFonts w:ascii="Roboto" w:hAnsi="Roboto" w:eastAsia="Roboto" w:cs="Roboto"/>
          <w:noProof w:val="0"/>
          <w:color w:val="000000" w:themeColor="text1" w:themeTint="FF" w:themeShade="FF"/>
          <w:sz w:val="22"/>
          <w:szCs w:val="22"/>
          <w:lang w:val="en-GB"/>
        </w:rPr>
        <w:t>Tesco PLC, 2019</w:t>
      </w:r>
      <w:r w:rsidRPr="23E6E617" w:rsidR="23E6E617">
        <w:rPr>
          <w:rFonts w:ascii="Calibri" w:hAnsi="Calibri" w:eastAsia="Calibri" w:cs="Calibri"/>
          <w:noProof w:val="0"/>
          <w:sz w:val="24"/>
          <w:szCs w:val="24"/>
          <w:lang w:val="en-GB"/>
        </w:rPr>
        <w:t>). (The Alliance to Save Our Antibiotics), urges supermarkets to routinely prevent using of overdosing antibiotic into farming which linked to rise of bacterial that contributes to develops dangerous viruses and it would be impossible to prevent if arise.</w:t>
      </w:r>
    </w:p>
    <w:p w:rsidR="4A0C71B9" w:rsidP="4A0C71B9" w:rsidRDefault="4A0C71B9" w14:paraId="27A776F3" w14:textId="570AF103">
      <w:pPr>
        <w:pStyle w:val="Normal"/>
        <w:ind w:left="360"/>
        <w:jc w:val="both"/>
        <w:rPr>
          <w:rFonts w:ascii="Calibri" w:hAnsi="Calibri" w:eastAsia="Calibri" w:cs="Calibri"/>
          <w:noProof w:val="0"/>
          <w:sz w:val="24"/>
          <w:szCs w:val="24"/>
          <w:lang w:val="en-GB"/>
        </w:rPr>
      </w:pPr>
      <w:r w:rsidRPr="4A0C71B9" w:rsidR="4A0C71B9">
        <w:rPr>
          <w:color w:val="FF0000"/>
          <w:sz w:val="24"/>
          <w:szCs w:val="24"/>
        </w:rPr>
        <w:t>D</w:t>
      </w:r>
      <w:r w:rsidRPr="4A0C71B9" w:rsidR="4A0C71B9">
        <w:rPr>
          <w:color w:val="000000" w:themeColor="text1" w:themeTint="FF" w:themeShade="FF"/>
          <w:sz w:val="24"/>
          <w:szCs w:val="24"/>
        </w:rPr>
        <w:t xml:space="preserve">: According to (Harvey, 2020) that Tesco had put in place bans on routine dosing of livestock. Tesco was one of the next best that had implement antibiotics policies whereas Asda is lacking in providing the antibiotic policies in place. </w:t>
      </w:r>
    </w:p>
    <w:p w:rsidR="4A0C71B9" w:rsidP="4A0C71B9" w:rsidRDefault="4A0C71B9" w14:paraId="6A4C0B81" w14:textId="3F23B90E">
      <w:pPr>
        <w:pStyle w:val="Normal"/>
      </w:pPr>
      <w:r w:rsidR="4A0C71B9">
        <w:rPr/>
        <w:t xml:space="preserve">  </w:t>
      </w:r>
    </w:p>
    <w:p w:rsidR="4A0C71B9" w:rsidP="4A0C71B9" w:rsidRDefault="4A0C71B9" w14:paraId="492FA857" w14:textId="79CAE27A">
      <w:pPr>
        <w:pStyle w:val="Normal"/>
        <w:rPr>
          <w:b w:val="1"/>
          <w:bCs w:val="1"/>
          <w:sz w:val="24"/>
          <w:szCs w:val="24"/>
        </w:rPr>
      </w:pPr>
      <w:r w:rsidR="4A0C71B9">
        <w:rPr/>
        <w:t xml:space="preserve"> </w:t>
      </w:r>
      <w:r w:rsidRPr="4A0C71B9" w:rsidR="4A0C71B9">
        <w:rPr>
          <w:b w:val="1"/>
          <w:bCs w:val="1"/>
          <w:sz w:val="24"/>
          <w:szCs w:val="24"/>
        </w:rPr>
        <w:t>TOULINS MODEL: ASDA</w:t>
      </w:r>
    </w:p>
    <w:p w:rsidR="4A0C71B9" w:rsidP="4A0C71B9" w:rsidRDefault="4A0C71B9" w14:paraId="09B07870" w14:textId="28836FC5">
      <w:pPr>
        <w:pStyle w:val="Normal"/>
        <w:spacing w:line="240" w:lineRule="exact"/>
      </w:pPr>
      <w:r>
        <w:drawing>
          <wp:inline wp14:editId="514A8E2E" wp14:anchorId="6D5C8D70">
            <wp:extent cx="2371725" cy="1473121"/>
            <wp:effectExtent l="0" t="0" r="0" b="0"/>
            <wp:docPr id="953706634" name="" title=""/>
            <wp:cNvGraphicFramePr>
              <a:graphicFrameLocks noChangeAspect="1"/>
            </wp:cNvGraphicFramePr>
            <a:graphic>
              <a:graphicData uri="http://schemas.openxmlformats.org/drawingml/2006/picture">
                <pic:pic>
                  <pic:nvPicPr>
                    <pic:cNvPr id="0" name=""/>
                    <pic:cNvPicPr/>
                  </pic:nvPicPr>
                  <pic:blipFill>
                    <a:blip r:embed="R81d7879e97dd4e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71725" cy="1473121"/>
                    </a:xfrm>
                    <a:prstGeom prst="rect">
                      <a:avLst/>
                    </a:prstGeom>
                  </pic:spPr>
                </pic:pic>
              </a:graphicData>
            </a:graphic>
          </wp:inline>
        </w:drawing>
      </w:r>
    </w:p>
    <w:p w:rsidR="4A0C71B9" w:rsidP="4A0C71B9" w:rsidRDefault="4A0C71B9" w14:paraId="6388AC1C" w14:textId="35C2A745">
      <w:pPr>
        <w:pStyle w:val="Normal"/>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color w:val="0070C0"/>
          <w:sz w:val="24"/>
          <w:szCs w:val="24"/>
          <w:lang w:val="en-US"/>
        </w:rPr>
        <w:t>Claim:</w:t>
      </w:r>
      <w:r w:rsidRPr="4A0C71B9" w:rsidR="4A0C71B9">
        <w:rPr>
          <w:rFonts w:ascii="Calibri" w:hAnsi="Calibri" w:eastAsia="Calibri" w:cs="Calibri"/>
          <w:noProof w:val="0"/>
          <w:sz w:val="24"/>
          <w:szCs w:val="24"/>
          <w:lang w:val="en-US"/>
        </w:rPr>
        <w:t xml:space="preserve"> Most of </w:t>
      </w:r>
      <w:r w:rsidRPr="4A0C71B9" w:rsidR="4A0C71B9">
        <w:rPr>
          <w:rFonts w:ascii="Calibri" w:hAnsi="Calibri" w:eastAsia="Calibri" w:cs="Calibri"/>
          <w:noProof w:val="0"/>
          <w:sz w:val="24"/>
          <w:szCs w:val="24"/>
          <w:lang w:val="en-US"/>
        </w:rPr>
        <w:t>UK, s</w:t>
      </w:r>
      <w:r w:rsidRPr="4A0C71B9" w:rsidR="4A0C71B9">
        <w:rPr>
          <w:rFonts w:ascii="Calibri" w:hAnsi="Calibri" w:eastAsia="Calibri" w:cs="Calibri"/>
          <w:noProof w:val="0"/>
          <w:sz w:val="24"/>
          <w:szCs w:val="24"/>
          <w:lang w:val="en-US"/>
        </w:rPr>
        <w:t xml:space="preserve"> leading supermarket chains are making development in reducing antibiotics in farming.</w:t>
      </w:r>
    </w:p>
    <w:p w:rsidR="4A0C71B9" w:rsidP="4A0C71B9" w:rsidRDefault="4A0C71B9" w14:paraId="09649598" w14:textId="057D9E2F">
      <w:pPr>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color w:val="0070C0"/>
          <w:sz w:val="24"/>
          <w:szCs w:val="24"/>
          <w:lang w:val="en-US"/>
        </w:rPr>
        <w:t>Data</w:t>
      </w:r>
      <w:r w:rsidRPr="4A0C71B9" w:rsidR="4A0C71B9">
        <w:rPr>
          <w:rFonts w:ascii="Calibri" w:hAnsi="Calibri" w:eastAsia="Calibri" w:cs="Calibri"/>
          <w:noProof w:val="0"/>
          <w:sz w:val="24"/>
          <w:szCs w:val="24"/>
          <w:lang w:val="en-US"/>
        </w:rPr>
        <w:t xml:space="preserve">: According to Alliance to Save Our Antibiotic assessment, </w:t>
      </w:r>
      <w:proofErr w:type="spellStart"/>
      <w:r w:rsidRPr="4A0C71B9" w:rsidR="4A0C71B9">
        <w:rPr>
          <w:rFonts w:ascii="Calibri" w:hAnsi="Calibri" w:eastAsia="Calibri" w:cs="Calibri"/>
          <w:noProof w:val="0"/>
          <w:sz w:val="24"/>
          <w:szCs w:val="24"/>
          <w:lang w:val="en-US"/>
        </w:rPr>
        <w:t>Asda</w:t>
      </w:r>
      <w:proofErr w:type="spellEnd"/>
      <w:r w:rsidRPr="4A0C71B9" w:rsidR="4A0C71B9">
        <w:rPr>
          <w:rFonts w:ascii="Calibri" w:hAnsi="Calibri" w:eastAsia="Calibri" w:cs="Calibri"/>
          <w:noProof w:val="0"/>
          <w:sz w:val="24"/>
          <w:szCs w:val="24"/>
          <w:lang w:val="en-US"/>
        </w:rPr>
        <w:t xml:space="preserve"> have been named falling behind in reducing antibiotic in farming compared to Tesco. </w:t>
      </w:r>
    </w:p>
    <w:p w:rsidR="4A0C71B9" w:rsidP="4A0C71B9" w:rsidRDefault="4A0C71B9" w14:paraId="4DCAA054" w14:textId="5A0076C3">
      <w:pPr>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color w:val="843C0C"/>
          <w:sz w:val="24"/>
          <w:szCs w:val="24"/>
          <w:lang w:val="en-US"/>
        </w:rPr>
        <w:t>Warrant</w:t>
      </w:r>
      <w:r w:rsidRPr="4A0C71B9" w:rsidR="4A0C71B9">
        <w:rPr>
          <w:rFonts w:ascii="Calibri" w:hAnsi="Calibri" w:eastAsia="Calibri" w:cs="Calibri"/>
          <w:noProof w:val="0"/>
          <w:sz w:val="24"/>
          <w:szCs w:val="24"/>
          <w:lang w:val="en-US"/>
        </w:rPr>
        <w:t xml:space="preserve">: The aim for the assessment is to encourage openness and transparency in the food chain, highlighting which supermarket have the strongest policies for ending overuse of farm antibiotics and which one still </w:t>
      </w:r>
      <w:r w:rsidRPr="4A0C71B9" w:rsidR="4A0C71B9">
        <w:rPr>
          <w:rFonts w:ascii="Calibri" w:hAnsi="Calibri" w:eastAsia="Calibri" w:cs="Calibri"/>
          <w:noProof w:val="0"/>
          <w:sz w:val="24"/>
          <w:szCs w:val="24"/>
          <w:lang w:val="en-US"/>
        </w:rPr>
        <w:t>must</w:t>
      </w:r>
      <w:r w:rsidRPr="4A0C71B9" w:rsidR="4A0C71B9">
        <w:rPr>
          <w:rFonts w:ascii="Calibri" w:hAnsi="Calibri" w:eastAsia="Calibri" w:cs="Calibri"/>
          <w:noProof w:val="0"/>
          <w:sz w:val="24"/>
          <w:szCs w:val="24"/>
          <w:lang w:val="en-US"/>
        </w:rPr>
        <w:t xml:space="preserve"> act.</w:t>
      </w:r>
    </w:p>
    <w:p w:rsidR="4A0C71B9" w:rsidP="4A0C71B9" w:rsidRDefault="4A0C71B9" w14:paraId="313B76DA" w14:textId="0FFB2F3C">
      <w:pPr>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color w:val="00B050"/>
          <w:sz w:val="24"/>
          <w:szCs w:val="24"/>
          <w:lang w:val="en-US"/>
        </w:rPr>
        <w:t>Qualifier</w:t>
      </w:r>
      <w:r w:rsidRPr="4A0C71B9" w:rsidR="4A0C71B9">
        <w:rPr>
          <w:rFonts w:ascii="Calibri" w:hAnsi="Calibri" w:eastAsia="Calibri" w:cs="Calibri"/>
          <w:noProof w:val="0"/>
          <w:color w:val="385723"/>
          <w:sz w:val="24"/>
          <w:szCs w:val="24"/>
          <w:lang w:val="en-US"/>
        </w:rPr>
        <w:t xml:space="preserve">: </w:t>
      </w:r>
      <w:r w:rsidRPr="4A0C71B9" w:rsidR="4A0C71B9">
        <w:rPr>
          <w:rFonts w:ascii="Calibri" w:hAnsi="Calibri" w:eastAsia="Calibri" w:cs="Calibri"/>
          <w:noProof w:val="0"/>
          <w:sz w:val="24"/>
          <w:szCs w:val="24"/>
          <w:lang w:val="en-US"/>
        </w:rPr>
        <w:t>Medical Research had revealed that overusing of antibiotics is threatening a global disaster it gives rise to resistant bacteria which will means common illnesses become untreatable.</w:t>
      </w:r>
    </w:p>
    <w:p w:rsidR="4A0C71B9" w:rsidP="4A0C71B9" w:rsidRDefault="4A0C71B9" w14:paraId="1F8FB287" w14:textId="11F1FC5F">
      <w:pPr>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color w:val="0070C0"/>
          <w:sz w:val="24"/>
          <w:szCs w:val="24"/>
          <w:lang w:val="en-US"/>
        </w:rPr>
        <w:t>Backing</w:t>
      </w:r>
      <w:r w:rsidRPr="4A0C71B9" w:rsidR="4A0C71B9">
        <w:rPr>
          <w:rFonts w:ascii="Calibri" w:hAnsi="Calibri" w:eastAsia="Calibri" w:cs="Calibri"/>
          <w:noProof w:val="0"/>
          <w:sz w:val="24"/>
          <w:szCs w:val="24"/>
          <w:lang w:val="en-US"/>
        </w:rPr>
        <w:t>: Asda had provided very limited structured level of data on antibiotic use. Supermarkets, especially in the case of poultry, are known to possess data by livestock system and should publish this information.</w:t>
      </w:r>
    </w:p>
    <w:p w:rsidR="4A0C71B9" w:rsidP="4A0C71B9" w:rsidRDefault="4A0C71B9" w14:paraId="2D1C6E1C" w14:textId="68FD0EE0">
      <w:pPr>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color w:val="0070C0"/>
          <w:sz w:val="24"/>
          <w:szCs w:val="24"/>
          <w:lang w:val="en-US"/>
        </w:rPr>
        <w:t>Rebuttal</w:t>
      </w:r>
      <w:r w:rsidRPr="4A0C71B9" w:rsidR="4A0C71B9">
        <w:rPr>
          <w:rFonts w:ascii="Calibri" w:hAnsi="Calibri" w:eastAsia="Calibri" w:cs="Calibri"/>
          <w:noProof w:val="0"/>
          <w:sz w:val="24"/>
          <w:szCs w:val="24"/>
          <w:lang w:val="en-US"/>
        </w:rPr>
        <w:t xml:space="preserve">: The Alliance to Save Our Antibiotic is urging government to strengthen UK's farming antibiotic regulation after Brexit. </w:t>
      </w:r>
    </w:p>
    <w:p w:rsidR="4A0C71B9" w:rsidP="4A0C71B9" w:rsidRDefault="4A0C71B9" w14:paraId="211F76CE" w14:textId="10088F8C">
      <w:pPr>
        <w:spacing w:line="240" w:lineRule="exact"/>
        <w:rPr>
          <w:rFonts w:ascii="Calibri" w:hAnsi="Calibri" w:eastAsia="Calibri" w:cs="Calibri"/>
          <w:noProof w:val="0"/>
          <w:sz w:val="24"/>
          <w:szCs w:val="24"/>
          <w:lang w:val="en-US"/>
        </w:rPr>
      </w:pPr>
      <w:r w:rsidRPr="4A0C71B9" w:rsidR="4A0C71B9">
        <w:rPr>
          <w:rFonts w:ascii="Calibri" w:hAnsi="Calibri" w:eastAsia="Calibri" w:cs="Calibri"/>
          <w:noProof w:val="0"/>
          <w:sz w:val="24"/>
          <w:szCs w:val="24"/>
          <w:lang w:val="en-US"/>
        </w:rPr>
        <w:t xml:space="preserve">Therefore, </w:t>
      </w:r>
      <w:proofErr w:type="spellStart"/>
      <w:r w:rsidRPr="4A0C71B9" w:rsidR="4A0C71B9">
        <w:rPr>
          <w:rFonts w:ascii="Calibri" w:hAnsi="Calibri" w:eastAsia="Calibri" w:cs="Calibri"/>
          <w:noProof w:val="0"/>
          <w:sz w:val="24"/>
          <w:szCs w:val="24"/>
          <w:lang w:val="en-US"/>
        </w:rPr>
        <w:t>Asda</w:t>
      </w:r>
      <w:proofErr w:type="spellEnd"/>
      <w:r w:rsidRPr="4A0C71B9" w:rsidR="4A0C71B9">
        <w:rPr>
          <w:rFonts w:ascii="Calibri" w:hAnsi="Calibri" w:eastAsia="Calibri" w:cs="Calibri"/>
          <w:noProof w:val="0"/>
          <w:sz w:val="24"/>
          <w:szCs w:val="24"/>
          <w:lang w:val="en-US"/>
        </w:rPr>
        <w:t xml:space="preserve"> ,emerge to publish all uses of antibiotic on their website for retailer policy and transparency.</w:t>
      </w:r>
    </w:p>
    <w:p w:rsidR="4A0C71B9" w:rsidP="4A0C71B9" w:rsidRDefault="4A0C71B9" w14:paraId="77A0D8DB" w14:textId="60CAF416">
      <w:pPr>
        <w:spacing w:line="240" w:lineRule="exact"/>
        <w:rPr>
          <w:rFonts w:ascii="Calibri" w:hAnsi="Calibri" w:eastAsia="Calibri" w:cs="Calibri"/>
          <w:noProof w:val="0"/>
          <w:sz w:val="17"/>
          <w:szCs w:val="17"/>
          <w:lang w:val="en-US"/>
        </w:rPr>
      </w:pPr>
      <w:r w:rsidRPr="23E6E617" w:rsidR="23E6E617">
        <w:rPr>
          <w:rFonts w:ascii="Calibri" w:hAnsi="Calibri" w:eastAsia="Calibri" w:cs="Calibri"/>
          <w:noProof w:val="0"/>
          <w:sz w:val="17"/>
          <w:szCs w:val="17"/>
          <w:lang w:val="en-US"/>
        </w:rPr>
        <w:t xml:space="preserve"> </w:t>
      </w:r>
      <w:r w:rsidRPr="23E6E617" w:rsidR="23E6E617">
        <w:rPr>
          <w:rFonts w:ascii="Calibri" w:hAnsi="Calibri" w:eastAsia="Calibri" w:cs="Calibri"/>
          <w:noProof w:val="0"/>
          <w:sz w:val="24"/>
          <w:szCs w:val="24"/>
          <w:lang w:val="en-US"/>
        </w:rPr>
        <w:t xml:space="preserve"> </w:t>
      </w:r>
    </w:p>
    <w:p w:rsidR="23E6E617" w:rsidP="23E6E617" w:rsidRDefault="23E6E617" w14:paraId="447F6C3F" w14:textId="74DC70F7">
      <w:pPr>
        <w:pStyle w:val="Normal"/>
        <w:spacing w:line="240" w:lineRule="exact"/>
        <w:rPr>
          <w:rFonts w:ascii="Calibri" w:hAnsi="Calibri" w:eastAsia="Calibri" w:cs="Calibri"/>
          <w:noProof w:val="0"/>
          <w:sz w:val="24"/>
          <w:szCs w:val="24"/>
          <w:lang w:val="en-US"/>
        </w:rPr>
      </w:pPr>
      <w:r w:rsidRPr="3E111CFA" w:rsidR="3E111CFA">
        <w:rPr>
          <w:rFonts w:ascii="Calibri" w:hAnsi="Calibri" w:eastAsia="Calibri" w:cs="Calibri"/>
          <w:noProof w:val="0"/>
          <w:sz w:val="24"/>
          <w:szCs w:val="24"/>
          <w:lang w:val="en-US"/>
        </w:rPr>
        <w:t>Asda should review and update their policies according to its company’s value.  Ensure that their suppliers are getting the right policies that is designed to get the business safe for customers, employees and stakeholders.</w:t>
      </w:r>
    </w:p>
    <w:p w:rsidR="4A0C71B9" w:rsidP="4A0C71B9" w:rsidRDefault="4A0C71B9" w14:paraId="0B74744F" w14:textId="1BD271A9">
      <w:pPr>
        <w:pStyle w:val="Normal"/>
        <w:rPr>
          <w:rFonts w:ascii="Tinos" w:hAnsi="Tinos" w:eastAsia="Tinos" w:cs="Tinos"/>
          <w:noProof w:val="0"/>
          <w:sz w:val="22"/>
          <w:szCs w:val="22"/>
          <w:lang w:val="en-GB"/>
        </w:rPr>
      </w:pPr>
      <w:r w:rsidRPr="4A0C71B9" w:rsidR="4A0C71B9">
        <w:rPr>
          <w:rFonts w:ascii="Tinos" w:hAnsi="Tinos" w:eastAsia="Tinos" w:cs="Tinos"/>
          <w:noProof w:val="0"/>
          <w:sz w:val="22"/>
          <w:szCs w:val="22"/>
          <w:lang w:val="en-GB"/>
        </w:rPr>
        <w:t xml:space="preserve"> </w:t>
      </w:r>
    </w:p>
    <w:p w:rsidR="4A0C71B9" w:rsidP="4A0C71B9" w:rsidRDefault="4A0C71B9" w14:paraId="68EAB9C7" w14:textId="7221CBA3">
      <w:pPr>
        <w:pStyle w:val="Normal"/>
      </w:pPr>
    </w:p>
    <w:p w:rsidR="4A0C71B9" w:rsidP="4A0C71B9" w:rsidRDefault="4A0C71B9" w14:paraId="22B00176" w14:textId="04B09BBD">
      <w:pPr>
        <w:pStyle w:val="Normal"/>
      </w:pPr>
    </w:p>
    <w:p w:rsidR="4A0C71B9" w:rsidP="4A0C71B9" w:rsidRDefault="4A0C71B9" w14:paraId="67B8740E" w14:textId="142118E3">
      <w:pPr>
        <w:pStyle w:val="Normal"/>
      </w:pPr>
    </w:p>
    <w:p w:rsidR="4A0C71B9" w:rsidP="4A0C71B9" w:rsidRDefault="4A0C71B9" w14:paraId="7B2ECA6A" w14:textId="68E507A5">
      <w:pPr>
        <w:pStyle w:val="Normal"/>
      </w:pPr>
    </w:p>
    <w:p w:rsidR="4A0C71B9" w:rsidP="4A0C71B9" w:rsidRDefault="4A0C71B9" w14:paraId="191543FB" w14:textId="3D4961EC">
      <w:pPr>
        <w:pStyle w:val="Normal"/>
      </w:pPr>
    </w:p>
    <w:p w:rsidR="4A0C71B9" w:rsidP="4A0C71B9" w:rsidRDefault="4A0C71B9" w14:paraId="37444D52" w14:textId="14865A6C">
      <w:pPr>
        <w:pStyle w:val="Normal"/>
      </w:pPr>
    </w:p>
    <w:p w:rsidR="4A0C71B9" w:rsidP="4A0C71B9" w:rsidRDefault="4A0C71B9" w14:paraId="23BF55E8" w14:textId="7C6E156F">
      <w:pPr>
        <w:pStyle w:val="Normal"/>
      </w:pPr>
    </w:p>
    <w:p w:rsidR="4A0C71B9" w:rsidP="4A0C71B9" w:rsidRDefault="4A0C71B9" w14:paraId="667A5D5C" w14:textId="19064D9E">
      <w:pPr>
        <w:pStyle w:val="Normal"/>
      </w:pPr>
    </w:p>
    <w:p w:rsidR="4A0C71B9" w:rsidP="4A0C71B9" w:rsidRDefault="4A0C71B9" w14:paraId="7B76B222" w14:textId="3D0A9966">
      <w:pPr>
        <w:pStyle w:val="Normal"/>
      </w:pPr>
    </w:p>
    <w:p w:rsidR="4A0C71B9" w:rsidP="4A0C71B9" w:rsidRDefault="4A0C71B9" w14:paraId="50BD7787" w14:textId="105689B6">
      <w:pPr>
        <w:pStyle w:val="Normal"/>
      </w:pPr>
    </w:p>
    <w:p w:rsidR="4A0C71B9" w:rsidP="4A0C71B9" w:rsidRDefault="4A0C71B9" w14:paraId="48988F6D" w14:textId="61B02151">
      <w:pPr>
        <w:pStyle w:val="Normal"/>
      </w:pPr>
    </w:p>
    <w:p w:rsidR="4A0C71B9" w:rsidP="4A0C71B9" w:rsidRDefault="4A0C71B9" w14:paraId="15DCBA1E" w14:textId="129018CB">
      <w:pPr>
        <w:pStyle w:val="Normal"/>
      </w:pPr>
    </w:p>
    <w:p w:rsidR="4A0C71B9" w:rsidP="4A0C71B9" w:rsidRDefault="4A0C71B9" w14:paraId="2E693CC5" w14:textId="1CEF4885">
      <w:pPr>
        <w:pStyle w:val="Normal"/>
      </w:pPr>
    </w:p>
    <w:p w:rsidR="4A0C71B9" w:rsidP="4A0C71B9" w:rsidRDefault="4A0C71B9" w14:paraId="557095A2" w14:textId="72CB75C5">
      <w:pPr>
        <w:pStyle w:val="Normal"/>
      </w:pPr>
    </w:p>
    <w:p w:rsidR="4A0C71B9" w:rsidP="4A0C71B9" w:rsidRDefault="4A0C71B9" w14:paraId="0B7DDFB3" w14:textId="609049DD">
      <w:pPr>
        <w:pStyle w:val="Normal"/>
      </w:pPr>
    </w:p>
    <w:p w:rsidR="23E6E617" w:rsidP="23E6E617" w:rsidRDefault="23E6E617" w14:paraId="55361842" w14:textId="77FD5027">
      <w:pPr>
        <w:pStyle w:val="Normal"/>
        <w:rPr>
          <w:b w:val="1"/>
          <w:bCs w:val="1"/>
          <w:sz w:val="24"/>
          <w:szCs w:val="24"/>
          <w:u w:val="single"/>
        </w:rPr>
      </w:pPr>
    </w:p>
    <w:p w:rsidR="23E6E617" w:rsidP="23E6E617" w:rsidRDefault="23E6E617" w14:paraId="7AA8677F" w14:textId="22D181C6">
      <w:pPr>
        <w:pStyle w:val="Normal"/>
        <w:rPr>
          <w:b w:val="1"/>
          <w:bCs w:val="1"/>
          <w:sz w:val="24"/>
          <w:szCs w:val="24"/>
          <w:u w:val="single"/>
        </w:rPr>
      </w:pPr>
    </w:p>
    <w:p w:rsidR="23E6E617" w:rsidP="23E6E617" w:rsidRDefault="23E6E617" w14:paraId="3B797161" w14:textId="6867813F">
      <w:pPr>
        <w:pStyle w:val="Normal"/>
        <w:rPr>
          <w:b w:val="1"/>
          <w:bCs w:val="1"/>
          <w:sz w:val="24"/>
          <w:szCs w:val="24"/>
          <w:u w:val="single"/>
        </w:rPr>
      </w:pPr>
    </w:p>
    <w:p w:rsidR="4A0C71B9" w:rsidP="4A0C71B9" w:rsidRDefault="4A0C71B9" w14:paraId="385AA417" w14:textId="554DE55F">
      <w:pPr>
        <w:pStyle w:val="Normal"/>
        <w:rPr>
          <w:b w:val="1"/>
          <w:bCs w:val="1"/>
          <w:sz w:val="24"/>
          <w:szCs w:val="24"/>
          <w:u w:val="single"/>
        </w:rPr>
      </w:pPr>
      <w:r w:rsidRPr="4A0C71B9" w:rsidR="4A0C71B9">
        <w:rPr>
          <w:b w:val="1"/>
          <w:bCs w:val="1"/>
          <w:sz w:val="24"/>
          <w:szCs w:val="24"/>
          <w:u w:val="single"/>
        </w:rPr>
        <w:t>REFERENCE LIST</w:t>
      </w:r>
    </w:p>
    <w:p w:rsidR="4A0C71B9" w:rsidP="4A0C71B9" w:rsidRDefault="4A0C71B9" w14:paraId="2A5B917D" w14:textId="6E098DF4">
      <w:pPr>
        <w:pStyle w:val="Normal"/>
        <w:rPr>
          <w:b w:val="1"/>
          <w:bCs w:val="1"/>
          <w:sz w:val="24"/>
          <w:szCs w:val="24"/>
          <w:u w:val="single"/>
        </w:rPr>
      </w:pPr>
      <w:r w:rsidRPr="4A0C71B9" w:rsidR="4A0C71B9">
        <w:rPr>
          <w:b w:val="1"/>
          <w:bCs w:val="1"/>
          <w:sz w:val="24"/>
          <w:szCs w:val="24"/>
          <w:u w:val="single"/>
        </w:rPr>
        <w:t>Website</w:t>
      </w:r>
    </w:p>
    <w:p w:rsidR="4A0C71B9" w:rsidP="4A0C71B9" w:rsidRDefault="4A0C71B9" w14:paraId="3194B6A6" w14:textId="742509FD">
      <w:pPr>
        <w:rPr>
          <w:rFonts w:ascii="Calibri" w:hAnsi="Calibri" w:eastAsia="Calibri" w:cs="Calibri"/>
          <w:noProof w:val="0"/>
          <w:sz w:val="24"/>
          <w:szCs w:val="24"/>
          <w:lang w:val="en-GB"/>
        </w:rPr>
      </w:pPr>
      <w:r w:rsidRPr="23E6E617" w:rsidR="23E6E617">
        <w:rPr>
          <w:rFonts w:ascii="Calibri" w:hAnsi="Calibri" w:eastAsia="Calibri" w:cs="Calibri"/>
          <w:noProof w:val="0"/>
          <w:sz w:val="24"/>
          <w:szCs w:val="24"/>
          <w:lang w:val="en-GB"/>
        </w:rPr>
        <w:t xml:space="preserve">Anon, (2020). </w:t>
      </w:r>
      <w:r w:rsidRPr="23E6E617" w:rsidR="23E6E617">
        <w:rPr>
          <w:rFonts w:ascii="Calibri" w:hAnsi="Calibri" w:eastAsia="Calibri" w:cs="Calibri"/>
          <w:i w:val="1"/>
          <w:iCs w:val="1"/>
          <w:noProof w:val="0"/>
          <w:sz w:val="24"/>
          <w:szCs w:val="24"/>
          <w:lang w:val="en-GB"/>
        </w:rPr>
        <w:t>Supermarket antibiotics policies assessment 2019</w:t>
      </w:r>
      <w:r w:rsidRPr="23E6E617" w:rsidR="23E6E617">
        <w:rPr>
          <w:rFonts w:ascii="Calibri" w:hAnsi="Calibri" w:eastAsia="Calibri" w:cs="Calibri"/>
          <w:noProof w:val="0"/>
          <w:sz w:val="24"/>
          <w:szCs w:val="24"/>
          <w:lang w:val="en-GB"/>
        </w:rPr>
        <w:t xml:space="preserve">. [online] Available at: </w:t>
      </w:r>
      <w:hyperlink r:id="Rd2e7839faa0b44a8">
        <w:r w:rsidRPr="23E6E617" w:rsidR="23E6E617">
          <w:rPr>
            <w:rStyle w:val="Hyperlink"/>
            <w:rFonts w:ascii="Calibri" w:hAnsi="Calibri" w:eastAsia="Calibri" w:cs="Calibri"/>
            <w:noProof w:val="0"/>
            <w:sz w:val="24"/>
            <w:szCs w:val="24"/>
            <w:lang w:val="en-GB"/>
          </w:rPr>
          <w:t>http://www.saveourantibiotics.org/media/1826/supermarket-antibiotics-policies-assessment-2020-report.pdf</w:t>
        </w:r>
      </w:hyperlink>
      <w:r w:rsidRPr="23E6E617" w:rsidR="23E6E617">
        <w:rPr>
          <w:rFonts w:ascii="Calibri" w:hAnsi="Calibri" w:eastAsia="Calibri" w:cs="Calibri"/>
          <w:noProof w:val="0"/>
          <w:sz w:val="24"/>
          <w:szCs w:val="24"/>
          <w:lang w:val="en-GB"/>
        </w:rPr>
        <w:t xml:space="preserve"> [Accessed 19 Feb. 20AD].</w:t>
      </w:r>
    </w:p>
    <w:p w:rsidR="23E6E617" w:rsidP="23E6E617" w:rsidRDefault="23E6E617" w14:paraId="1E5D98EB" w14:textId="027100AD">
      <w:pPr>
        <w:rPr>
          <w:rFonts w:ascii="Calibri" w:hAnsi="Calibri" w:eastAsia="Calibri" w:cs="Calibri"/>
          <w:noProof w:val="0"/>
          <w:sz w:val="24"/>
          <w:szCs w:val="24"/>
          <w:lang w:val="en-GB"/>
        </w:rPr>
      </w:pPr>
      <w:r w:rsidRPr="23E6E617" w:rsidR="23E6E617">
        <w:rPr>
          <w:rFonts w:ascii="Calibri" w:hAnsi="Calibri" w:eastAsia="Calibri" w:cs="Calibri"/>
          <w:noProof w:val="0"/>
          <w:sz w:val="24"/>
          <w:szCs w:val="24"/>
          <w:lang w:val="en-GB"/>
        </w:rPr>
        <w:t xml:space="preserve">Cancer Research UK. (2018). </w:t>
      </w:r>
      <w:r w:rsidRPr="23E6E617" w:rsidR="23E6E617">
        <w:rPr>
          <w:rFonts w:ascii="Calibri" w:hAnsi="Calibri" w:eastAsia="Calibri" w:cs="Calibri"/>
          <w:i w:val="1"/>
          <w:iCs w:val="1"/>
          <w:noProof w:val="0"/>
          <w:sz w:val="24"/>
          <w:szCs w:val="24"/>
          <w:lang w:val="en-GB"/>
        </w:rPr>
        <w:t>Tesco</w:t>
      </w:r>
      <w:r w:rsidRPr="23E6E617" w:rsidR="23E6E617">
        <w:rPr>
          <w:rFonts w:ascii="Calibri" w:hAnsi="Calibri" w:eastAsia="Calibri" w:cs="Calibri"/>
          <w:noProof w:val="0"/>
          <w:sz w:val="24"/>
          <w:szCs w:val="24"/>
          <w:lang w:val="en-GB"/>
        </w:rPr>
        <w:t xml:space="preserve">. [online] Available at: </w:t>
      </w:r>
      <w:hyperlink r:id="R65bc0aab5b9047d1">
        <w:r w:rsidRPr="23E6E617" w:rsidR="23E6E617">
          <w:rPr>
            <w:rStyle w:val="Hyperlink"/>
            <w:rFonts w:ascii="Calibri" w:hAnsi="Calibri" w:eastAsia="Calibri" w:cs="Calibri"/>
            <w:noProof w:val="0"/>
            <w:sz w:val="24"/>
            <w:szCs w:val="24"/>
            <w:lang w:val="en-GB"/>
          </w:rPr>
          <w:t>https://www.cancerresearchuk.org/get-involved/become-a-partner/about-our-corporate-partnership-programme/tesco</w:t>
        </w:r>
      </w:hyperlink>
      <w:r w:rsidRPr="23E6E617" w:rsidR="23E6E617">
        <w:rPr>
          <w:rFonts w:ascii="Calibri" w:hAnsi="Calibri" w:eastAsia="Calibri" w:cs="Calibri"/>
          <w:noProof w:val="0"/>
          <w:sz w:val="24"/>
          <w:szCs w:val="24"/>
          <w:lang w:val="en-GB"/>
        </w:rPr>
        <w:t xml:space="preserve"> [Accessed 19 Feb. 2020].</w:t>
      </w:r>
    </w:p>
    <w:p w:rsidR="23E6E617" w:rsidP="23E6E617" w:rsidRDefault="23E6E617" w14:paraId="679CA4EE" w14:textId="4CFE0C93">
      <w:pPr>
        <w:pStyle w:val="Normal"/>
        <w:rPr>
          <w:b w:val="1"/>
          <w:bCs w:val="1"/>
          <w:sz w:val="24"/>
          <w:szCs w:val="24"/>
          <w:u w:val="single"/>
        </w:rPr>
      </w:pPr>
    </w:p>
    <w:p w:rsidR="4A0C71B9" w:rsidP="4A0C71B9" w:rsidRDefault="4A0C71B9" w14:paraId="150CD3F6" w14:textId="39A4AEF6">
      <w:pPr>
        <w:rPr>
          <w:rFonts w:ascii="Calibri" w:hAnsi="Calibri" w:eastAsia="Calibri" w:cs="Calibri"/>
          <w:noProof w:val="0"/>
          <w:sz w:val="24"/>
          <w:szCs w:val="24"/>
          <w:lang w:val="en-GB"/>
        </w:rPr>
      </w:pPr>
      <w:r w:rsidRPr="4A0C71B9" w:rsidR="4A0C71B9">
        <w:rPr>
          <w:rFonts w:ascii="Calibri" w:hAnsi="Calibri" w:eastAsia="Calibri" w:cs="Calibri"/>
          <w:noProof w:val="0"/>
          <w:sz w:val="24"/>
          <w:szCs w:val="24"/>
          <w:lang w:val="en-GB"/>
        </w:rPr>
        <w:t xml:space="preserve">Fridman, A. (2017). </w:t>
      </w:r>
      <w:r w:rsidRPr="4A0C71B9" w:rsidR="4A0C71B9">
        <w:rPr>
          <w:rFonts w:ascii="Calibri" w:hAnsi="Calibri" w:eastAsia="Calibri" w:cs="Calibri"/>
          <w:i w:val="1"/>
          <w:iCs w:val="1"/>
          <w:noProof w:val="0"/>
          <w:sz w:val="24"/>
          <w:szCs w:val="24"/>
          <w:lang w:val="en-GB"/>
        </w:rPr>
        <w:t>Let’s</w:t>
      </w:r>
      <w:r w:rsidRPr="4A0C71B9" w:rsidR="4A0C71B9">
        <w:rPr>
          <w:rFonts w:ascii="Calibri" w:hAnsi="Calibri" w:eastAsia="Calibri" w:cs="Calibri"/>
          <w:i w:val="1"/>
          <w:iCs w:val="1"/>
          <w:noProof w:val="0"/>
          <w:sz w:val="24"/>
          <w:szCs w:val="24"/>
          <w:lang w:val="en-GB"/>
        </w:rPr>
        <w:t xml:space="preserve"> Align Habits to Organizational Values</w:t>
      </w:r>
      <w:r w:rsidRPr="4A0C71B9" w:rsidR="4A0C71B9">
        <w:rPr>
          <w:rFonts w:ascii="Calibri" w:hAnsi="Calibri" w:eastAsia="Calibri" w:cs="Calibri"/>
          <w:noProof w:val="0"/>
          <w:sz w:val="24"/>
          <w:szCs w:val="24"/>
          <w:lang w:val="en-GB"/>
        </w:rPr>
        <w:t xml:space="preserve">. [online] Inc.com. Available at: </w:t>
      </w:r>
      <w:hyperlink r:id="R6a43f976c6164bae">
        <w:r w:rsidRPr="4A0C71B9" w:rsidR="4A0C71B9">
          <w:rPr>
            <w:rStyle w:val="Hyperlink"/>
            <w:rFonts w:ascii="Calibri" w:hAnsi="Calibri" w:eastAsia="Calibri" w:cs="Calibri"/>
            <w:noProof w:val="0"/>
            <w:sz w:val="24"/>
            <w:szCs w:val="24"/>
            <w:lang w:val="en-GB"/>
          </w:rPr>
          <w:t>https://www.inc.com/adam-fridman/lets-align-habits-to-organizational-values.html</w:t>
        </w:r>
      </w:hyperlink>
      <w:r w:rsidRPr="4A0C71B9" w:rsidR="4A0C71B9">
        <w:rPr>
          <w:rFonts w:ascii="Calibri" w:hAnsi="Calibri" w:eastAsia="Calibri" w:cs="Calibri"/>
          <w:noProof w:val="0"/>
          <w:sz w:val="24"/>
          <w:szCs w:val="24"/>
          <w:lang w:val="en-GB"/>
        </w:rPr>
        <w:t xml:space="preserve"> [Accessed 19th Feb. 2020].</w:t>
      </w:r>
    </w:p>
    <w:p w:rsidR="4A0C71B9" w:rsidP="4A0C71B9" w:rsidRDefault="4A0C71B9" w14:paraId="6850F292" w14:textId="1674FEB4">
      <w:pPr>
        <w:rPr>
          <w:rFonts w:ascii="Calibri" w:hAnsi="Calibri" w:eastAsia="Calibri" w:cs="Calibri"/>
          <w:noProof w:val="0"/>
          <w:sz w:val="24"/>
          <w:szCs w:val="24"/>
          <w:lang w:val="en-GB"/>
        </w:rPr>
      </w:pPr>
      <w:r w:rsidRPr="23E6E617" w:rsidR="23E6E617">
        <w:rPr>
          <w:rFonts w:ascii="Calibri" w:hAnsi="Calibri" w:eastAsia="Calibri" w:cs="Calibri"/>
          <w:noProof w:val="0"/>
          <w:sz w:val="24"/>
          <w:szCs w:val="24"/>
          <w:lang w:val="en-GB"/>
        </w:rPr>
        <w:t xml:space="preserve">correspondent, F.H.E. (2020). UK supermarkets move to cut antibiotic use in farming. </w:t>
      </w:r>
      <w:r w:rsidRPr="23E6E617" w:rsidR="23E6E617">
        <w:rPr>
          <w:rFonts w:ascii="Calibri" w:hAnsi="Calibri" w:eastAsia="Calibri" w:cs="Calibri"/>
          <w:i w:val="1"/>
          <w:iCs w:val="1"/>
          <w:noProof w:val="0"/>
          <w:sz w:val="24"/>
          <w:szCs w:val="24"/>
          <w:lang w:val="en-GB"/>
        </w:rPr>
        <w:t>The Guardian</w:t>
      </w:r>
      <w:r w:rsidRPr="23E6E617" w:rsidR="23E6E617">
        <w:rPr>
          <w:rFonts w:ascii="Calibri" w:hAnsi="Calibri" w:eastAsia="Calibri" w:cs="Calibri"/>
          <w:noProof w:val="0"/>
          <w:sz w:val="24"/>
          <w:szCs w:val="24"/>
          <w:lang w:val="en-GB"/>
        </w:rPr>
        <w:t xml:space="preserve">. [online] 29 Jan. Available at: </w:t>
      </w:r>
      <w:hyperlink r:id="Ree73a8501b294f75">
        <w:r w:rsidRPr="23E6E617" w:rsidR="23E6E617">
          <w:rPr>
            <w:rStyle w:val="Hyperlink"/>
            <w:rFonts w:ascii="Calibri" w:hAnsi="Calibri" w:eastAsia="Calibri" w:cs="Calibri"/>
            <w:noProof w:val="0"/>
            <w:sz w:val="24"/>
            <w:szCs w:val="24"/>
            <w:lang w:val="en-GB"/>
          </w:rPr>
          <w:t>https://www.theguardian.com/society/2020/jan/29/uk-supermarkets-move-to-cut-antibiotic-use-in-farming</w:t>
        </w:r>
      </w:hyperlink>
      <w:r w:rsidRPr="23E6E617" w:rsidR="23E6E617">
        <w:rPr>
          <w:rFonts w:ascii="Calibri" w:hAnsi="Calibri" w:eastAsia="Calibri" w:cs="Calibri"/>
          <w:noProof w:val="0"/>
          <w:sz w:val="24"/>
          <w:szCs w:val="24"/>
          <w:lang w:val="en-GB"/>
        </w:rPr>
        <w:t xml:space="preserve"> [Accessed 21 Feb. 2020].</w:t>
      </w:r>
    </w:p>
    <w:p w:rsidR="23E6E617" w:rsidP="23E6E617" w:rsidRDefault="23E6E617" w14:paraId="4645058A" w14:textId="15723C58">
      <w:pPr>
        <w:pStyle w:val="Normal"/>
        <w:rPr>
          <w:rFonts w:ascii="Calibri" w:hAnsi="Calibri" w:eastAsia="Calibri" w:cs="Calibri"/>
          <w:noProof w:val="0"/>
          <w:sz w:val="24"/>
          <w:szCs w:val="24"/>
          <w:lang w:val="en-GB"/>
        </w:rPr>
      </w:pPr>
      <w:r w:rsidRPr="23E6E617" w:rsidR="23E6E617">
        <w:rPr>
          <w:rFonts w:ascii="Calibri" w:hAnsi="Calibri" w:eastAsia="Calibri" w:cs="Calibri"/>
          <w:noProof w:val="0"/>
          <w:sz w:val="24"/>
          <w:szCs w:val="24"/>
          <w:lang w:val="en-GB"/>
        </w:rPr>
        <w:t xml:space="preserve">Tesco PLC. (2019). </w:t>
      </w:r>
      <w:r w:rsidRPr="23E6E617" w:rsidR="23E6E617">
        <w:rPr>
          <w:rFonts w:ascii="Calibri" w:hAnsi="Calibri" w:eastAsia="Calibri" w:cs="Calibri"/>
          <w:i w:val="1"/>
          <w:iCs w:val="1"/>
          <w:noProof w:val="0"/>
          <w:sz w:val="24"/>
          <w:szCs w:val="24"/>
          <w:lang w:val="en-GB"/>
        </w:rPr>
        <w:t>Targets and Actions</w:t>
      </w:r>
      <w:r w:rsidRPr="23E6E617" w:rsidR="23E6E617">
        <w:rPr>
          <w:rFonts w:ascii="Calibri" w:hAnsi="Calibri" w:eastAsia="Calibri" w:cs="Calibri"/>
          <w:noProof w:val="0"/>
          <w:sz w:val="24"/>
          <w:szCs w:val="24"/>
          <w:lang w:val="en-GB"/>
        </w:rPr>
        <w:t xml:space="preserve">. [online] Available at: </w:t>
      </w:r>
      <w:hyperlink r:id="R28ce3914a7364f5e">
        <w:r w:rsidRPr="23E6E617" w:rsidR="23E6E617">
          <w:rPr>
            <w:rStyle w:val="Hyperlink"/>
            <w:rFonts w:ascii="Calibri" w:hAnsi="Calibri" w:eastAsia="Calibri" w:cs="Calibri"/>
            <w:noProof w:val="0"/>
            <w:sz w:val="24"/>
            <w:szCs w:val="24"/>
            <w:lang w:val="en-GB"/>
          </w:rPr>
          <w:t>https://www.tescoplc.com/sustainability/targets-and-actions/</w:t>
        </w:r>
      </w:hyperlink>
      <w:r w:rsidRPr="23E6E617" w:rsidR="23E6E617">
        <w:rPr>
          <w:rFonts w:ascii="Calibri" w:hAnsi="Calibri" w:eastAsia="Calibri" w:cs="Calibri"/>
          <w:noProof w:val="0"/>
          <w:sz w:val="24"/>
          <w:szCs w:val="24"/>
          <w:lang w:val="en-GB"/>
        </w:rPr>
        <w:t xml:space="preserve">. </w:t>
      </w:r>
      <w:proofErr w:type="gramStart"/>
      <w:r w:rsidRPr="23E6E617" w:rsidR="23E6E617">
        <w:rPr>
          <w:rFonts w:ascii="Calibri" w:hAnsi="Calibri" w:eastAsia="Calibri" w:cs="Calibri"/>
          <w:noProof w:val="0"/>
          <w:sz w:val="24"/>
          <w:szCs w:val="24"/>
          <w:lang w:val="en-GB"/>
        </w:rPr>
        <w:t>( Accessed</w:t>
      </w:r>
      <w:proofErr w:type="gramEnd"/>
      <w:r w:rsidRPr="23E6E617" w:rsidR="23E6E617">
        <w:rPr>
          <w:rFonts w:ascii="Calibri" w:hAnsi="Calibri" w:eastAsia="Calibri" w:cs="Calibri"/>
          <w:noProof w:val="0"/>
          <w:sz w:val="24"/>
          <w:szCs w:val="24"/>
          <w:lang w:val="en-GB"/>
        </w:rPr>
        <w:t xml:space="preserve"> 19 Feb.2020)</w:t>
      </w:r>
    </w:p>
    <w:p w:rsidR="23E6E617" w:rsidP="23E6E617" w:rsidRDefault="23E6E617" w14:paraId="4DF0DF0F" w14:textId="01B80DD6">
      <w:pPr>
        <w:pStyle w:val="Normal"/>
        <w:rPr>
          <w:rFonts w:ascii="Calibri" w:hAnsi="Calibri" w:eastAsia="Calibri" w:cs="Calibri"/>
          <w:noProof w:val="0"/>
          <w:sz w:val="24"/>
          <w:szCs w:val="24"/>
          <w:lang w:val="en-GB"/>
        </w:rPr>
      </w:pPr>
    </w:p>
    <w:p w:rsidR="4A0C71B9" w:rsidP="23E6E617" w:rsidRDefault="4A0C71B9" w14:paraId="507CEC7F" w14:textId="0D5B503B">
      <w:pPr>
        <w:rPr>
          <w:rFonts w:ascii="Calibri" w:hAnsi="Calibri" w:eastAsia="Calibri" w:cs="Calibri"/>
          <w:noProof w:val="0"/>
          <w:sz w:val="24"/>
          <w:szCs w:val="24"/>
          <w:u w:val="single"/>
          <w:lang w:val="en-GB"/>
        </w:rPr>
      </w:pPr>
      <w:r w:rsidRPr="23E6E617" w:rsidR="23E6E617">
        <w:rPr>
          <w:rFonts w:ascii="Calibri" w:hAnsi="Calibri" w:eastAsia="Calibri" w:cs="Calibri"/>
          <w:noProof w:val="0"/>
          <w:sz w:val="24"/>
          <w:szCs w:val="24"/>
          <w:lang w:val="en-GB"/>
        </w:rPr>
        <w:t>‌</w:t>
      </w:r>
      <w:r w:rsidRPr="23E6E617" w:rsidR="23E6E617">
        <w:rPr>
          <w:rFonts w:ascii="Calibri" w:hAnsi="Calibri" w:eastAsia="Calibri" w:cs="Calibri"/>
          <w:b w:val="1"/>
          <w:bCs w:val="1"/>
          <w:noProof w:val="0"/>
          <w:sz w:val="24"/>
          <w:szCs w:val="24"/>
          <w:u w:val="single"/>
          <w:lang w:val="en-GB"/>
        </w:rPr>
        <w:t>R</w:t>
      </w:r>
      <w:r w:rsidRPr="23E6E617" w:rsidR="23E6E617">
        <w:rPr>
          <w:rFonts w:ascii="Calibri" w:hAnsi="Calibri" w:eastAsia="Calibri" w:cs="Calibri"/>
          <w:b w:val="1"/>
          <w:bCs w:val="1"/>
          <w:noProof w:val="0"/>
          <w:sz w:val="24"/>
          <w:szCs w:val="24"/>
          <w:u w:val="single"/>
          <w:lang w:val="en-GB"/>
        </w:rPr>
        <w:t>eport</w:t>
      </w:r>
    </w:p>
    <w:p w:rsidR="4A0C71B9" w:rsidP="4A0C71B9" w:rsidRDefault="4A0C71B9" w14:paraId="5F651DC8" w14:textId="6D5637D8">
      <w:pPr>
        <w:pStyle w:val="Normal"/>
        <w:rPr>
          <w:rFonts w:ascii="Calibri" w:hAnsi="Calibri" w:eastAsia="Calibri" w:cs="Calibri" w:asciiTheme="minorAscii" w:hAnsiTheme="minorAscii" w:eastAsiaTheme="minorAscii" w:cstheme="minorAscii"/>
          <w:sz w:val="24"/>
          <w:szCs w:val="24"/>
        </w:rPr>
      </w:pPr>
      <w:r w:rsidRPr="4A0C71B9" w:rsidR="4A0C71B9">
        <w:rPr>
          <w:rFonts w:ascii="Calibri" w:hAnsi="Calibri" w:eastAsia="Calibri" w:cs="Calibri" w:asciiTheme="minorAscii" w:hAnsiTheme="minorAscii" w:eastAsiaTheme="minorAscii" w:cstheme="minorAscii"/>
          <w:sz w:val="24"/>
          <w:szCs w:val="24"/>
        </w:rPr>
        <w:t xml:space="preserve">Macleod, D. and Clarke, N. (2009). Engaging for Success: enhancing performance through employee engagement A report to Government by. </w:t>
      </w:r>
    </w:p>
    <w:p w:rsidR="4A0C71B9" w:rsidP="4A0C71B9" w:rsidRDefault="4A0C71B9" w14:paraId="471AF5A0" w14:textId="5E723B5B">
      <w:pPr>
        <w:pStyle w:val="Normal"/>
        <w:rPr>
          <w:rFonts w:ascii="Calibri" w:hAnsi="Calibri" w:eastAsia="Calibri" w:cs="Calibri" w:asciiTheme="minorAscii" w:hAnsiTheme="minorAscii" w:eastAsiaTheme="minorAscii" w:cstheme="minorAscii"/>
          <w:sz w:val="24"/>
          <w:szCs w:val="24"/>
        </w:rPr>
      </w:pPr>
      <w:r w:rsidRPr="23E6E617" w:rsidR="23E6E617">
        <w:rPr>
          <w:rFonts w:ascii="Calibri" w:hAnsi="Calibri" w:eastAsia="Calibri" w:cs="Calibri" w:asciiTheme="minorAscii" w:hAnsiTheme="minorAscii" w:eastAsiaTheme="minorAscii" w:cstheme="minorAscii"/>
          <w:sz w:val="24"/>
          <w:szCs w:val="24"/>
        </w:rPr>
        <w:t xml:space="preserve">[online] </w:t>
      </w:r>
      <w:r w:rsidRPr="23E6E617" w:rsidR="23E6E617">
        <w:rPr>
          <w:rFonts w:ascii="Calibri" w:hAnsi="Calibri" w:eastAsia="Calibri" w:cs="Calibri" w:asciiTheme="minorAscii" w:hAnsiTheme="minorAscii" w:eastAsiaTheme="minorAscii" w:cstheme="minorAscii"/>
          <w:sz w:val="24"/>
          <w:szCs w:val="24"/>
          <w:u w:val="single"/>
        </w:rPr>
        <w:t>Available at: https://dera.ioe.ac.uk/1810/1/file52215.pdf</w:t>
      </w:r>
      <w:r w:rsidRPr="23E6E617" w:rsidR="23E6E617">
        <w:rPr>
          <w:rFonts w:ascii="Calibri" w:hAnsi="Calibri" w:eastAsia="Calibri" w:cs="Calibri" w:asciiTheme="minorAscii" w:hAnsiTheme="minorAscii" w:eastAsiaTheme="minorAscii" w:cstheme="minorAscii"/>
          <w:sz w:val="24"/>
          <w:szCs w:val="24"/>
        </w:rPr>
        <w:t xml:space="preserve"> [Accessed 20 Feb.2020].</w:t>
      </w:r>
    </w:p>
    <w:p w:rsidR="4A0C71B9" w:rsidP="4A0C71B9" w:rsidRDefault="4A0C71B9" w14:paraId="7A90F0D7" w14:textId="47DF421C">
      <w:pPr>
        <w:pStyle w:val="Normal"/>
        <w:rPr>
          <w:rFonts w:ascii="Calibri" w:hAnsi="Calibri" w:eastAsia="Calibri" w:cs="Calibri"/>
          <w:noProof w:val="0"/>
          <w:sz w:val="24"/>
          <w:szCs w:val="24"/>
          <w:lang w:val="en-GB"/>
        </w:rPr>
      </w:pPr>
      <w:r w:rsidRPr="23E6E617" w:rsidR="23E6E617">
        <w:rPr>
          <w:rFonts w:ascii="Calibri" w:hAnsi="Calibri" w:eastAsia="Calibri" w:cs="Calibri"/>
          <w:noProof w:val="0"/>
          <w:sz w:val="24"/>
          <w:szCs w:val="24"/>
          <w:lang w:val="en-GB"/>
        </w:rPr>
        <w:t>‌</w:t>
      </w:r>
    </w:p>
    <w:p w:rsidR="4A0C71B9" w:rsidP="4A0C71B9" w:rsidRDefault="4A0C71B9" w14:paraId="5ABF38C0" w14:textId="6B79E779">
      <w:pPr>
        <w:rPr>
          <w:rFonts w:ascii="Calibri" w:hAnsi="Calibri" w:eastAsia="Calibri" w:cs="Calibri"/>
          <w:b w:val="1"/>
          <w:bCs w:val="1"/>
          <w:noProof w:val="0"/>
          <w:sz w:val="24"/>
          <w:szCs w:val="24"/>
          <w:u w:val="single"/>
          <w:lang w:val="en-GB"/>
        </w:rPr>
      </w:pPr>
      <w:r w:rsidRPr="4A0C71B9" w:rsidR="4A0C71B9">
        <w:rPr>
          <w:rFonts w:ascii="Calibri" w:hAnsi="Calibri" w:eastAsia="Calibri" w:cs="Calibri"/>
          <w:noProof w:val="0"/>
          <w:sz w:val="24"/>
          <w:szCs w:val="24"/>
          <w:lang w:val="en-GB"/>
        </w:rPr>
        <w:t>‌</w:t>
      </w:r>
      <w:r w:rsidRPr="4A0C71B9" w:rsidR="4A0C71B9">
        <w:rPr>
          <w:rFonts w:ascii="Calibri" w:hAnsi="Calibri" w:eastAsia="Calibri" w:cs="Calibri"/>
          <w:b w:val="1"/>
          <w:bCs w:val="1"/>
          <w:noProof w:val="0"/>
          <w:sz w:val="24"/>
          <w:szCs w:val="24"/>
          <w:u w:val="single"/>
          <w:lang w:val="en-GB"/>
        </w:rPr>
        <w:t>Journal</w:t>
      </w:r>
    </w:p>
    <w:p w:rsidR="4A0C71B9" w:rsidRDefault="4A0C71B9" w14:paraId="7B46AE91" w14:textId="5834BAEF">
      <w:r w:rsidRPr="4A0C71B9" w:rsidR="4A0C71B9">
        <w:rPr>
          <w:rFonts w:ascii="Calibri" w:hAnsi="Calibri" w:eastAsia="Calibri" w:cs="Calibri"/>
          <w:noProof w:val="0"/>
          <w:sz w:val="27"/>
          <w:szCs w:val="27"/>
          <w:lang w:val="en-GB"/>
        </w:rPr>
        <w:t>I</w:t>
      </w:r>
      <w:r w:rsidRPr="4A0C71B9" w:rsidR="4A0C71B9">
        <w:rPr>
          <w:rFonts w:ascii="Calibri" w:hAnsi="Calibri" w:eastAsia="Calibri" w:cs="Calibri"/>
          <w:noProof w:val="0"/>
          <w:sz w:val="24"/>
          <w:szCs w:val="24"/>
          <w:lang w:val="en-GB"/>
        </w:rPr>
        <w:t xml:space="preserve">ngelsson, P., Eriksson, M. and Lilja, J. (2012). Can selecting the right values help TQM implementation? A case study about organisational homogeneity at the Walt Disney Company. </w:t>
      </w:r>
      <w:r w:rsidRPr="4A0C71B9" w:rsidR="4A0C71B9">
        <w:rPr>
          <w:rFonts w:ascii="Calibri" w:hAnsi="Calibri" w:eastAsia="Calibri" w:cs="Calibri"/>
          <w:i w:val="1"/>
          <w:iCs w:val="1"/>
          <w:noProof w:val="0"/>
          <w:sz w:val="24"/>
          <w:szCs w:val="24"/>
          <w:lang w:val="en-GB"/>
        </w:rPr>
        <w:t>Total Quality Management &amp; Business Excellence</w:t>
      </w:r>
      <w:r w:rsidRPr="4A0C71B9" w:rsidR="4A0C71B9">
        <w:rPr>
          <w:rFonts w:ascii="Calibri" w:hAnsi="Calibri" w:eastAsia="Calibri" w:cs="Calibri"/>
          <w:noProof w:val="0"/>
          <w:sz w:val="24"/>
          <w:szCs w:val="24"/>
          <w:lang w:val="en-GB"/>
        </w:rPr>
        <w:t>, 23(1), pp.1–11.</w:t>
      </w:r>
    </w:p>
    <w:p w:rsidR="4A0C71B9" w:rsidRDefault="4A0C71B9" w14:paraId="1AE3EF03" w14:textId="0A6CFF8B">
      <w:r w:rsidRPr="4A0C71B9" w:rsidR="4A0C71B9">
        <w:rPr>
          <w:rFonts w:ascii="Calibri" w:hAnsi="Calibri" w:eastAsia="Calibri" w:cs="Calibri"/>
          <w:noProof w:val="0"/>
          <w:sz w:val="24"/>
          <w:szCs w:val="24"/>
          <w:lang w:val="en-GB"/>
        </w:rPr>
        <w:t>‌</w:t>
      </w:r>
    </w:p>
    <w:p w:rsidR="4A0C71B9" w:rsidP="4A0C71B9" w:rsidRDefault="4A0C71B9" w14:paraId="1BD7EDB7" w14:textId="1ADE66C7">
      <w:pPr>
        <w:rPr>
          <w:rFonts w:ascii="Calibri" w:hAnsi="Calibri" w:eastAsia="Calibri" w:cs="Calibri"/>
          <w:b w:val="1"/>
          <w:bCs w:val="1"/>
          <w:noProof w:val="0"/>
          <w:sz w:val="24"/>
          <w:szCs w:val="24"/>
          <w:u w:val="single"/>
          <w:lang w:val="en-GB"/>
        </w:rPr>
      </w:pPr>
      <w:r w:rsidRPr="4A0C71B9" w:rsidR="4A0C71B9">
        <w:rPr>
          <w:rFonts w:ascii="Calibri" w:hAnsi="Calibri" w:eastAsia="Calibri" w:cs="Calibri"/>
          <w:b w:val="1"/>
          <w:bCs w:val="1"/>
          <w:noProof w:val="0"/>
          <w:sz w:val="24"/>
          <w:szCs w:val="24"/>
          <w:u w:val="single"/>
          <w:lang w:val="en-GB"/>
        </w:rPr>
        <w:t>‌</w:t>
      </w:r>
    </w:p>
    <w:sectPr>
      <w:pgSz w:w="11906" w:h="16838"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75080F9"/>
  <w15:docId w15:val="{2c28f7cb-4dc7-43ee-9ea2-4ee8b475e1db}"/>
  <w:rsids>
    <w:rsidRoot w:val="775080F9"/>
    <w:rsid w:val="08260BED"/>
    <w:rsid w:val="23E6E617"/>
    <w:rsid w:val="3E111CFA"/>
    <w:rsid w:val="49711F68"/>
    <w:rsid w:val="4A0C71B9"/>
    <w:rsid w:val="775080F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5a5d34bd069d4f03" /><Relationship Type="http://schemas.openxmlformats.org/officeDocument/2006/relationships/image" Target="/media/image4.png" Id="R1d83fcc0f3bf4568" /><Relationship Type="http://schemas.openxmlformats.org/officeDocument/2006/relationships/hyperlink" Target="https://www.inc.com/adam-fridman/lets-align-habits-to-organizational-values.html" TargetMode="External" Id="R6a43f976c6164bae" /><Relationship Type="http://schemas.openxmlformats.org/officeDocument/2006/relationships/numbering" Target="/word/numbering.xml" Id="R68491762b3ac4713" /><Relationship Type="http://schemas.openxmlformats.org/officeDocument/2006/relationships/image" Target="/media/image2.jpg" Id="R81d7879e97dd4e0f" /><Relationship Type="http://schemas.openxmlformats.org/officeDocument/2006/relationships/hyperlink" Target="http://www.saveourantibiotics.org/media/1826/supermarket-antibiotics-policies-assessment-2020-report.pdf" TargetMode="External" Id="Rd2e7839faa0b44a8" /><Relationship Type="http://schemas.openxmlformats.org/officeDocument/2006/relationships/hyperlink" Target="https://www.cancerresearchuk.org/get-involved/become-a-partner/about-our-corporate-partnership-programme/tesco" TargetMode="External" Id="R65bc0aab5b9047d1" /><Relationship Type="http://schemas.openxmlformats.org/officeDocument/2006/relationships/hyperlink" Target="https://www.theguardian.com/society/2020/jan/29/uk-supermarkets-move-to-cut-antibiotic-use-in-farming" TargetMode="External" Id="Ree73a8501b294f75" /><Relationship Type="http://schemas.openxmlformats.org/officeDocument/2006/relationships/hyperlink" Target="https://www.tescoplc.com/sustainability/targets-and-actions/" TargetMode="External" Id="R28ce3914a7364f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Sofaia Midtskau (1813661)</dc:creator>
  <keywords/>
  <dc:description/>
  <lastModifiedBy>Sofaia Midtskau (1813661)</lastModifiedBy>
  <revision>6</revision>
  <dcterms:created xsi:type="dcterms:W3CDTF">2020-02-24T01:32:57.7133823Z</dcterms:created>
  <dcterms:modified xsi:type="dcterms:W3CDTF">2020-02-24T14:35:42.2866469Z</dcterms:modified>
</coreProperties>
</file>