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firstLine="57"/>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ENVIRONMENTAL ANALYSIS OF THE AUTOMOBILE INDUSTRY- MERCEDES COMPANY</w:t>
      </w:r>
    </w:p>
    <w:p w:rsidR="00000000" w:rsidDel="00000000" w:rsidP="00000000" w:rsidRDefault="00000000" w:rsidRPr="00000000" w14:paraId="00000002">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8"/>
          <w:szCs w:val="28"/>
          <w:rtl w:val="0"/>
        </w:rPr>
        <w:t xml:space="preserve"> </w:t>
      </w:r>
      <w:r w:rsidDel="00000000" w:rsidR="00000000" w:rsidRPr="00000000">
        <w:rPr>
          <w:rFonts w:ascii="Times New Roman" w:cs="Times New Roman" w:eastAsia="Times New Roman" w:hAnsi="Times New Roman"/>
          <w:b w:val="1"/>
          <w:sz w:val="24"/>
          <w:szCs w:val="24"/>
          <w:rtl w:val="0"/>
        </w:rPr>
        <w:t xml:space="preserve">Covid 19</w:t>
      </w:r>
    </w:p>
    <w:p w:rsidR="00000000" w:rsidDel="00000000" w:rsidP="00000000" w:rsidRDefault="00000000" w:rsidRPr="00000000" w14:paraId="00000003">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 : Paolina Markova </w:t>
      </w:r>
    </w:p>
    <w:p w:rsidR="00000000" w:rsidDel="00000000" w:rsidP="00000000" w:rsidRDefault="00000000" w:rsidRPr="00000000" w14:paraId="00000006">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Course: Business Management </w:t>
      </w:r>
    </w:p>
    <w:p w:rsidR="00000000" w:rsidDel="00000000" w:rsidP="00000000" w:rsidRDefault="00000000" w:rsidRPr="00000000" w14:paraId="00000008">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Dr. Akinseye Aluko</w:t>
      </w:r>
    </w:p>
    <w:p w:rsidR="00000000" w:rsidDel="00000000" w:rsidP="00000000" w:rsidRDefault="00000000" w:rsidRPr="00000000" w14:paraId="00000009">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University : UWTSD, London</w:t>
      </w:r>
    </w:p>
    <w:p w:rsidR="00000000" w:rsidDel="00000000" w:rsidP="00000000" w:rsidRDefault="00000000" w:rsidRPr="00000000" w14:paraId="0000000A">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Date: 08.01.22</w:t>
      </w:r>
    </w:p>
    <w:p w:rsidR="00000000" w:rsidDel="00000000" w:rsidP="00000000" w:rsidRDefault="00000000" w:rsidRPr="00000000" w14:paraId="0000000B">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ind w:left="0" w:firstLine="0"/>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ind w:firstLine="57"/>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ind w:firstLine="57"/>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0">
      <w:pPr>
        <w:ind w:left="0" w:firstLine="0"/>
        <w:jc w:val="left"/>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1">
      <w:pPr>
        <w:ind w:lef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ind w:firstLine="57"/>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firstLine="57"/>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PESTEL analysis of Mercedes</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Impacts of Covid19 pandemic on Mercedes</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Porters 5 Forces for Mercedes</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Conclusion</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B">
          <w:pPr>
            <w:ind w:firstLine="57"/>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pStyle w:val="Heading1"/>
        <w:ind w:firstLine="57"/>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2B">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analysis refers to the evaluation of business environment to investigate both internal and external factors that are likely to influence the functioning of a given business (Wheelen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2017). External factors present in the business environment of a given organisation are often beyond the control of the management of that organisation and therefore they are obliged to align their operations to the prevailing macro-factors. On the other hand, internal factors refer to the internal capabilities of a given organisation to compete competitively in the market demand. This report provides and analysis of the impact of macro factors on the automotive industry using PESTEL analysis with reference to Mercedes. The various megatrends considered under this section include shift in global economic power, rapid urbanisation, demographic change, technological and innovation advancement as well as climatic changes. The impact of covid19 pandemic on automotive industry has also been explored in depth in this report while analysing the various mitigation measures taken by Mercedes to overcome the threat posed by the pandemic. </w:t>
      </w:r>
    </w:p>
    <w:p w:rsidR="00000000" w:rsidDel="00000000" w:rsidP="00000000" w:rsidRDefault="00000000" w:rsidRPr="00000000" w14:paraId="0000002C">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Mercedes is a German luxury automotive manufacturer which was co-founded by Karl Benz, Wilhelm Maybach and Gottlieb Daimler in 1926. The automotive marque is headquartered in Stuttgart, Germany and conducts its business operations worldwide thereby exposing it to diverse market influences.</w:t>
      </w:r>
    </w:p>
    <w:p w:rsidR="00000000" w:rsidDel="00000000" w:rsidP="00000000" w:rsidRDefault="00000000" w:rsidRPr="00000000" w14:paraId="0000002D">
      <w:pPr>
        <w:pStyle w:val="Heading1"/>
        <w:ind w:firstLine="57"/>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PESTEL analysis of Mercedes </w:t>
      </w:r>
    </w:p>
    <w:p w:rsidR="00000000" w:rsidDel="00000000" w:rsidP="00000000" w:rsidRDefault="00000000" w:rsidRPr="00000000" w14:paraId="0000002E">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PESTEL analysis is an analytical framework employed by business owners, scholars and analysts to evaluate the various macro factors surrounding a given business by identifying the opportunities and threats facing the business (Anderson,2019). PESTEL analysis has been applied in this report to examine the external factors that are likely to influence the operations of Mercedes. The range of factors covered under PESTEL analysis for Mercedes include political, economic, social, technological, environmental and legal factors.</w:t>
      </w:r>
    </w:p>
    <w:p w:rsidR="00000000" w:rsidDel="00000000" w:rsidP="00000000" w:rsidRDefault="00000000" w:rsidRPr="00000000" w14:paraId="0000002F">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 factors</w:t>
      </w:r>
    </w:p>
    <w:p w:rsidR="00000000" w:rsidDel="00000000" w:rsidP="00000000" w:rsidRDefault="00000000" w:rsidRPr="00000000" w14:paraId="00000030">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factors as defined under PESTEL analysis refers to the various governance influences that are likely to impact the successfulness of a business such as political stability, governmental policies, bilateral ties, et cetera (Camilleri, 2018). Being a multi-national corporation, Mercedes experiences differing legislative issues in the various countries where it conducts its business. For example, in the UK which is one of the most stable economies in the world, Mercedes enjoys a conducive and enabling business environment where it can make investments without worrying about political uncertainties. However, in other emerging economies where Mercedes conducts its business such as Asia and Africa, the company is exposed to political instabilities characterising those markets thereby impelling the company to be cautious while investing there.</w:t>
      </w:r>
    </w:p>
    <w:p w:rsidR="00000000" w:rsidDel="00000000" w:rsidP="00000000" w:rsidRDefault="00000000" w:rsidRPr="00000000" w14:paraId="00000031">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 factors</w:t>
      </w:r>
    </w:p>
    <w:p w:rsidR="00000000" w:rsidDel="00000000" w:rsidP="00000000" w:rsidRDefault="00000000" w:rsidRPr="00000000" w14:paraId="00000032">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factors describe the financial situation of a given market. The various issues considered under economic factors include the GDP of a country, taxation rates, strength of local currency against foreign currencies just to mention a few (Sierzchula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2014). For example, Mercedes records more sales in countries with stably growing economies such as the UK, France and Germany as compared to countries with relatively weak economies such as Greece and Bulgaria. This is because the citizens of countries with big GDP’s have relatively higher disposable income which they can spend to buy luxurious cars as opposed to citizens in countries with smaller GDP’s. Such analytical outcomes can be leveraged by automotive companies such as Mercedes to position its investment in the steady economies where it is likely to make more sales. Additionally, the emerging economies in Asian and African countries among other present growth opportunities for Mercedes can influence the company’s decision to increase its investment in those markets.</w:t>
      </w:r>
    </w:p>
    <w:p w:rsidR="00000000" w:rsidDel="00000000" w:rsidP="00000000" w:rsidRDefault="00000000" w:rsidRPr="00000000" w14:paraId="00000033">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Social factors</w:t>
      </w:r>
    </w:p>
    <w:p w:rsidR="00000000" w:rsidDel="00000000" w:rsidP="00000000" w:rsidRDefault="00000000" w:rsidRPr="00000000" w14:paraId="00000034">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Demographic changes, urbanisation and skills availability in the labour markets are some of the key social factors that are likely to impact the operations of a given business such as Mercedes (Huggins and Thompson, 2015). For example, the retiring bracket of workforce which is more skilled and experienced is being replaced by the younger digital generation which is less experienced thereby creating a gap in skills requirements. This would necessitate business organisations such as Mercedes to organise personal and professional development programmes where younger inexperienced employees work alongside senior employees to get mentored. This would equip the upcoming workforce with prerequisite skills and expertise and align their ambitions to the organisational goals and objectives. Furthermore, people born in the digital error are now young adults and target customers for luxury cars. This category of customers often interacts with each other and with products on social media platforms. Hence, this would require Mercedes to increase its presence in digital channels to target them. Understanding customer behaviour would not only increase sales for the company but would also enable it to build long-term relationships with customers which is essential for achieving a concrete market share.</w:t>
      </w:r>
    </w:p>
    <w:p w:rsidR="00000000" w:rsidDel="00000000" w:rsidP="00000000" w:rsidRDefault="00000000" w:rsidRPr="00000000" w14:paraId="00000035">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factors</w:t>
      </w:r>
    </w:p>
    <w:p w:rsidR="00000000" w:rsidDel="00000000" w:rsidP="00000000" w:rsidRDefault="00000000" w:rsidRPr="00000000" w14:paraId="00000036">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is the application of scientific methods, systems and machinery to provide practical solutions to the challenges encountered by human beings in their daily lives (Garetti and Taisch, 2012). Technological advancements and innovations such as the internet have improved the way customers share information and interact with brands and products. Customers are able to compare by searching for information about products and services before making decision to purchase or not. This impels business organisations such as Mercedes to avail more information about their brand, products and services so as to target potential customers who are likely to make a purchase. However, technological advancement does not go without challenges as it exposes customer safety and security to cyber criminals. Mishandling of customer data, leakage of customer information during storage or transmission or unauthorised access by third parties are some of the technological vulnerabilities that can predispose customers to manipulation by cybercriminals. Mercedes would therefore need to establish comprehensive security for its technological systems to safeguard its customer data from illegal access failure to which it would risk losing its brand credibility.</w:t>
      </w:r>
    </w:p>
    <w:p w:rsidR="00000000" w:rsidDel="00000000" w:rsidP="00000000" w:rsidRDefault="00000000" w:rsidRPr="00000000" w14:paraId="00000037">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Environmental factors</w:t>
      </w:r>
    </w:p>
    <w:p w:rsidR="00000000" w:rsidDel="00000000" w:rsidP="00000000" w:rsidRDefault="00000000" w:rsidRPr="00000000" w14:paraId="00000038">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 factors refer to the influences present in the general environment within which living and non-living things exist (Bosdriesz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2012). Customers around the world have become increasingly conscious about the need to preserve the environment and therefore they are mindful of the sustainability and ethical issues associated with the products and services they consume. For example, buyers of vehicles would be looking for those that have minimum carbon footprint or lowest power consumption as a way of reducing ecosystem degradation. Consequently, Mercedes would be impelled to reengineer the combustion systems of its vehicles to increase efficiency and keep carbon emissions at lowest levels. Environmental concerns have led entrepreneurs such as Elon Musk to innovate electric cars in a bid to limit environmental pollution. This poses significant competition threat to Mercedes since most of its cars are powered by carbon-based fuels. However, Mercedes can thwart the mentioned through investing in research to design and produce electric powered luxurious cars in order to remain relevant and competitive in the market demand.</w:t>
      </w:r>
    </w:p>
    <w:p w:rsidR="00000000" w:rsidDel="00000000" w:rsidP="00000000" w:rsidRDefault="00000000" w:rsidRPr="00000000" w14:paraId="00000039">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Legal factors</w:t>
      </w:r>
    </w:p>
    <w:p w:rsidR="00000000" w:rsidDel="00000000" w:rsidP="00000000" w:rsidRDefault="00000000" w:rsidRPr="00000000" w14:paraId="0000003A">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Legal factors refer to the laws, regulations and rules that govern different societies. Every country has legal structures that differ from one country to the other (Bagloee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 For example, the United Kingdom have legal frameworks such as Equality Act 2010 which requires every organisation operating with the country to show commitment to equal treatment of all individuals irrespective of their protected characteristics. Mercedes operating within the UK would be required to abide by such provisions to avoid being in controversy with the law or even gaining negative publicity which would adversely hurt its business. By abiding by the laws and regulations of each country within which the company operates its business, Mercedes would depict itself as an entity that respects the rule of law and earn a strong reputation in different markets across the world. This would consequently earn the company admiration and acceptance in those markets thereby increasing its chances of being more successful internationally.</w:t>
      </w:r>
    </w:p>
    <w:p w:rsidR="00000000" w:rsidDel="00000000" w:rsidP="00000000" w:rsidRDefault="00000000" w:rsidRPr="00000000" w14:paraId="0000003B">
      <w:pPr>
        <w:pStyle w:val="Heading1"/>
        <w:ind w:firstLine="57"/>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Impacts of Covid19 pandemic on Mercedes</w:t>
      </w:r>
    </w:p>
    <w:p w:rsidR="00000000" w:rsidDel="00000000" w:rsidP="00000000" w:rsidRDefault="00000000" w:rsidRPr="00000000" w14:paraId="0000003C">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Governments across the world enforced lockdowns and restricted movement of movement of people in a bid to contain the spread of coronavirus upon its outbreak in 2019 (Fairlie and Fossen, 2021). Many people were therefore forced to remain in their homes and many of them lost their jobs. The uncertainty surrounding the pandemic shifted the priority of spending whereby people were focussed on buying only the basic necessities. This means that purchasing of luxurious cars came at the bottom of the spending list of many people thereby denying business to luxury automobile such as Mercedes. As a result, the company recorded significantly low sales during the pandemic thereby reducing its profitability. Mercedes therefore had to lay off some of the employees as way of mitigating the financial situation that the company has been experiencing as reported by Bloomberg (2022).</w:t>
      </w:r>
    </w:p>
    <w:p w:rsidR="00000000" w:rsidDel="00000000" w:rsidP="00000000" w:rsidRDefault="00000000" w:rsidRPr="00000000" w14:paraId="0000003D">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paradigm of business operations within the automotive industry and other industries shifted to the digital platforms such as company websites and social media channels like the Facebook, Instagram and Twitter et cetera. This was necessitated by the fact that since many customers could not make it to visit their favourite car dealers show rooms to purchase their desired cars, they resulted to searching information about their preferred premium cars through digital platforms. Mercedes responded to this development by increasing its operations such as marketing and sales in the digital platforms especially through its website. The company scaled up the capabilities of its websites to accommodate more digital customers and even facilitated transactions through electronic means.</w:t>
      </w:r>
    </w:p>
    <w:p w:rsidR="00000000" w:rsidDel="00000000" w:rsidP="00000000" w:rsidRDefault="00000000" w:rsidRPr="00000000" w14:paraId="0000003E">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expected that more customers might continue doing their purchasing through digital media even after the pandemic is over and therefore Mercedes among other premium automobile companies will have to develop their online strategies to keep up with the new trends.</w:t>
      </w:r>
    </w:p>
    <w:p w:rsidR="00000000" w:rsidDel="00000000" w:rsidP="00000000" w:rsidRDefault="00000000" w:rsidRPr="00000000" w14:paraId="0000003F">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pStyle w:val="Heading1"/>
        <w:ind w:firstLine="57"/>
        <w:rPr>
          <w:rFonts w:ascii="Times New Roman" w:cs="Times New Roman" w:eastAsia="Times New Roman" w:hAnsi="Times New Roman"/>
          <w:b w:val="1"/>
          <w:color w:val="000000"/>
          <w:sz w:val="24"/>
          <w:szCs w:val="24"/>
        </w:rPr>
      </w:pPr>
      <w:bookmarkStart w:colFirst="0" w:colLast="0" w:name="_3znysh7" w:id="3"/>
      <w:bookmarkEnd w:id="3"/>
      <w:r w:rsidDel="00000000" w:rsidR="00000000" w:rsidRPr="00000000">
        <w:rPr>
          <w:rFonts w:ascii="Times New Roman" w:cs="Times New Roman" w:eastAsia="Times New Roman" w:hAnsi="Times New Roman"/>
          <w:b w:val="1"/>
          <w:color w:val="000000"/>
          <w:sz w:val="24"/>
          <w:szCs w:val="24"/>
          <w:rtl w:val="0"/>
        </w:rPr>
        <w:t xml:space="preserve">Porters 5 Forces for Mercedes</w:t>
      </w:r>
    </w:p>
    <w:p w:rsidR="00000000" w:rsidDel="00000000" w:rsidP="00000000" w:rsidRDefault="00000000" w:rsidRPr="00000000" w14:paraId="00000041">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Porters 5 Forces is an analytical tool used to identify and evaluate the various competitive forces that shape any given industry (Luttgens and Diener, 2016). The model has been employed in this report to provide an understanding of the level of competition faced by Mercedes in the automotive industry. The outcomes of the analysis can be leveraged upon by the company to establish strategies that can enable it to enhance its profitability. The five major forces evaluated in this section include: competition by existing rivals, threat by new entrants, bargaining power of suppliers, bargaining power of customers and finally the threat of substitute products.</w:t>
      </w:r>
    </w:p>
    <w:p w:rsidR="00000000" w:rsidDel="00000000" w:rsidP="00000000" w:rsidRDefault="00000000" w:rsidRPr="00000000" w14:paraId="00000042">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Competition between existing players High</w:t>
      </w:r>
    </w:p>
    <w:p w:rsidR="00000000" w:rsidDel="00000000" w:rsidP="00000000" w:rsidRDefault="00000000" w:rsidRPr="00000000" w14:paraId="00000043">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Existing business players within a given industry pose significant competition to each other as they target same customers with similar products and services (Johnson, 2014). The number of competitors and their respective strengths are some of the considerations that can be used to determine the competitiveness of an industry. For example, Mercedes faces stiff competition from BMW, Audi, Lexus, Jaguar and Porsche which are players in the luxury and premium automotive industry. Even though the designs and other technical aspects of the vehicles made by these brands differ significantly, they all offer their products at premium prices and they all have earned significant status and recognition in the automotive industry thereby making the competition high.</w:t>
      </w:r>
    </w:p>
    <w:p w:rsidR="00000000" w:rsidDel="00000000" w:rsidP="00000000" w:rsidRDefault="00000000" w:rsidRPr="00000000" w14:paraId="00000044">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 of new entrants- Low</w:t>
      </w:r>
    </w:p>
    <w:p w:rsidR="00000000" w:rsidDel="00000000" w:rsidP="00000000" w:rsidRDefault="00000000" w:rsidRPr="00000000" w14:paraId="00000045">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threat of new entrants refers to the level of competition that is likely to presented by new companies that intend to venture into a given industry (Eskandari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New entrants often come with new technologies and innovations as well as competitive pricing strategy with an objective to attract customers from existing players. However, the threat of new entrants faced by Mercedes in the luxury automotive industry is considerably low as the entry barriers of this industry are very high. Several Asian firms tried to compete with existing players but they found it hard to earn meaningful market share due to the loyalty of customers to the existing players. The huge initial investment required for a company to venture into this industry also plays a crucial role in keeping the threat of new entrants low.</w:t>
      </w:r>
    </w:p>
    <w:p w:rsidR="00000000" w:rsidDel="00000000" w:rsidP="00000000" w:rsidRDefault="00000000" w:rsidRPr="00000000" w14:paraId="00000046">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Bargaining power of suppliers- low</w:t>
      </w:r>
    </w:p>
    <w:p w:rsidR="00000000" w:rsidDel="00000000" w:rsidP="00000000" w:rsidRDefault="00000000" w:rsidRPr="00000000" w14:paraId="00000047">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Bargaining power of suppliers refers to the ability of suppliers to negotiate for better prices for the products and services provided (Rothaermel, 2016). The automotive industry within which Mercedes plays has numerous suppliers most of which are small sized. Since the car manufacturing companies in the industry are large sized, the suppliers find it hard to influence prices since manufacturers can opt for alternative suppliers thereby maintaining this threat.</w:t>
      </w:r>
    </w:p>
    <w:p w:rsidR="00000000" w:rsidDel="00000000" w:rsidP="00000000" w:rsidRDefault="00000000" w:rsidRPr="00000000" w14:paraId="00000048">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Bargaining power of buyers- High</w:t>
      </w:r>
    </w:p>
    <w:p w:rsidR="00000000" w:rsidDel="00000000" w:rsidP="00000000" w:rsidRDefault="00000000" w:rsidRPr="00000000" w14:paraId="00000049">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Bargaining power of buyers is determined by such factors as the number of sellers in a given market (MalekShirabadi, et al, 2013). For example, the number of manufacturers of luxury vehicles is large and therefore the customers have a variety of options to choose from thereby increasing their ability to negotiate for better prices. Many of the companies in these industries are willing to make customised cars for customers and the customers are willing to pay extra for certain specifications thereby raising their bargaining power.</w:t>
      </w:r>
    </w:p>
    <w:p w:rsidR="00000000" w:rsidDel="00000000" w:rsidP="00000000" w:rsidRDefault="00000000" w:rsidRPr="00000000" w14:paraId="0000004A">
      <w:pPr>
        <w:ind w:firstLine="57"/>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 of substitutes- Medium</w:t>
      </w:r>
    </w:p>
    <w:p w:rsidR="00000000" w:rsidDel="00000000" w:rsidP="00000000" w:rsidRDefault="00000000" w:rsidRPr="00000000" w14:paraId="0000004B">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Substitute products refer to alternative products that offer the same value or that can serve the same purpose as the original products (Dobbs, 2014). There are many other alternative means of transport other than cars such as through planes, motorcycles and trains among others. Even though this would be expected to pose significant threat to Mercedes, the luxurious and premium cars produced by the company not only serve transportation purpose but also serves as a symbol of status and self-perception of success and achievement. The threat presented by substitutes in automobile industry can therefore be said to be medium.</w:t>
      </w:r>
    </w:p>
    <w:p w:rsidR="00000000" w:rsidDel="00000000" w:rsidP="00000000" w:rsidRDefault="00000000" w:rsidRPr="00000000" w14:paraId="0000004C">
      <w:pPr>
        <w:pStyle w:val="Heading1"/>
        <w:ind w:firstLine="57"/>
        <w:rPr>
          <w:rFonts w:ascii="Times New Roman" w:cs="Times New Roman" w:eastAsia="Times New Roman" w:hAnsi="Times New Roman"/>
          <w:b w:val="1"/>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04D">
      <w:pPr>
        <w:ind w:firstLine="57"/>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exist various factors in the macro environment of any given business organisation that determines its chances of being successful. It is therefore important for business owners and managers to understand such factors using various available frameworks such as PESTEL analysis to identify both the opportunities and threats facing the business. Identify opportunities would enable the organisation to put in place competitive strategies to turn the opportunities into sources of income. The business would also be able to position its resources to minimise the effects of identified threats. It is also important for businesses to apply competitive models such as Porters 5 Forces to evaluate the level of competition in a given market as this would help the company at identifying both its strengths and weaknesses.</w:t>
      </w:r>
    </w:p>
    <w:p w:rsidR="00000000" w:rsidDel="00000000" w:rsidP="00000000" w:rsidRDefault="00000000" w:rsidRPr="00000000" w14:paraId="0000004E">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ind w:firstLine="57"/>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pStyle w:val="Heading1"/>
        <w:ind w:firstLine="57"/>
        <w:rPr>
          <w:rFonts w:ascii="Times New Roman" w:cs="Times New Roman" w:eastAsia="Times New Roman" w:hAnsi="Times New Roman"/>
          <w:b w:val="1"/>
          <w:color w:val="000000"/>
          <w:sz w:val="24"/>
          <w:szCs w:val="24"/>
        </w:rPr>
      </w:pPr>
      <w:bookmarkStart w:colFirst="0" w:colLast="0" w:name="_tyjcwt" w:id="5"/>
      <w:bookmarkEnd w:id="5"/>
      <w:r w:rsidDel="00000000" w:rsidR="00000000" w:rsidRPr="00000000">
        <w:rPr>
          <w:rFonts w:ascii="Times New Roman" w:cs="Times New Roman" w:eastAsia="Times New Roman" w:hAnsi="Times New Roman"/>
          <w:b w:val="1"/>
          <w:color w:val="000000"/>
          <w:sz w:val="24"/>
          <w:szCs w:val="24"/>
          <w:rtl w:val="0"/>
        </w:rPr>
        <w:t xml:space="preserve">References</w:t>
      </w:r>
    </w:p>
    <w:p w:rsidR="00000000" w:rsidDel="00000000" w:rsidP="00000000" w:rsidRDefault="00000000" w:rsidRPr="00000000" w14:paraId="00000057">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Andersen, T.J. (2013). </w:t>
      </w:r>
      <w:r w:rsidDel="00000000" w:rsidR="00000000" w:rsidRPr="00000000">
        <w:rPr>
          <w:rFonts w:ascii="Times New Roman" w:cs="Times New Roman" w:eastAsia="Times New Roman" w:hAnsi="Times New Roman"/>
          <w:i w:val="1"/>
          <w:color w:val="222222"/>
          <w:sz w:val="24"/>
          <w:szCs w:val="24"/>
          <w:highlight w:val="white"/>
          <w:rtl w:val="0"/>
        </w:rPr>
        <w:t xml:space="preserve">Short introduction to strategic management</w:t>
      </w:r>
      <w:r w:rsidDel="00000000" w:rsidR="00000000" w:rsidRPr="00000000">
        <w:rPr>
          <w:rFonts w:ascii="Times New Roman" w:cs="Times New Roman" w:eastAsia="Times New Roman" w:hAnsi="Times New Roman"/>
          <w:color w:val="222222"/>
          <w:sz w:val="24"/>
          <w:szCs w:val="24"/>
          <w:highlight w:val="white"/>
          <w:rtl w:val="0"/>
        </w:rPr>
        <w:t xml:space="preserve">. Cambridge University Press.</w:t>
      </w:r>
    </w:p>
    <w:p w:rsidR="00000000" w:rsidDel="00000000" w:rsidP="00000000" w:rsidRDefault="00000000" w:rsidRPr="00000000" w14:paraId="00000058">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Bagloee, S.A., Tavana, M., Asadi, M. and Oliver, T. (2016). Autonomous vehicles: challenges, opportunities, and future implications for transportation policies.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modern transportation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(4), pp.284-303.</w:t>
      </w:r>
    </w:p>
    <w:p w:rsidR="00000000" w:rsidDel="00000000" w:rsidP="00000000" w:rsidRDefault="00000000" w:rsidRPr="00000000" w14:paraId="00000059">
      <w:pPr>
        <w:ind w:left="777" w:hanging="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BNN. (2022). </w:t>
      </w:r>
      <w:r w:rsidDel="00000000" w:rsidR="00000000" w:rsidRPr="00000000">
        <w:rPr>
          <w:rFonts w:ascii="Times New Roman" w:cs="Times New Roman" w:eastAsia="Times New Roman" w:hAnsi="Times New Roman"/>
          <w:i w:val="1"/>
          <w:color w:val="000000"/>
          <w:sz w:val="24"/>
          <w:szCs w:val="24"/>
          <w:highlight w:val="white"/>
          <w:rtl w:val="0"/>
        </w:rPr>
        <w:t xml:space="preserve">Mercedes-Benz parent Daimler plans thousands of job cuts worldwide - BNN Bloomberg</w:t>
      </w:r>
      <w:r w:rsidDel="00000000" w:rsidR="00000000" w:rsidRPr="00000000">
        <w:rPr>
          <w:rFonts w:ascii="Times New Roman" w:cs="Times New Roman" w:eastAsia="Times New Roman" w:hAnsi="Times New Roman"/>
          <w:color w:val="000000"/>
          <w:sz w:val="24"/>
          <w:szCs w:val="24"/>
          <w:highlight w:val="white"/>
          <w:rtl w:val="0"/>
        </w:rPr>
        <w:t xml:space="preserve">. [online] Available at: &lt;https://ampvideo.bnnbloomberg.ca/mercedes-benz-parent-daimler-plans-thousands-of-job-cuts-worldwide-1.1355145&gt; [Accessed 14 January 2022].</w:t>
      </w:r>
      <w:r w:rsidDel="00000000" w:rsidR="00000000" w:rsidRPr="00000000">
        <w:rPr>
          <w:rtl w:val="0"/>
        </w:rPr>
      </w:r>
    </w:p>
    <w:p w:rsidR="00000000" w:rsidDel="00000000" w:rsidP="00000000" w:rsidRDefault="00000000" w:rsidRPr="00000000" w14:paraId="0000005A">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Bosdriesz, J.R., Witvliet, M.I., Visscher, T.L. and Kunst, A.E. (2012). The influence of the macro-environment on physical activity: a multilevel analysis of 38 countries worldwide.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Behavioral Nutrition and Physical Activity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(1), pp.1-13.</w:t>
      </w:r>
    </w:p>
    <w:p w:rsidR="00000000" w:rsidDel="00000000" w:rsidP="00000000" w:rsidRDefault="00000000" w:rsidRPr="00000000" w14:paraId="0000005B">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Camilleri, M.A. (2018). The marketing environment. In </w:t>
      </w:r>
      <w:r w:rsidDel="00000000" w:rsidR="00000000" w:rsidRPr="00000000">
        <w:rPr>
          <w:rFonts w:ascii="Times New Roman" w:cs="Times New Roman" w:eastAsia="Times New Roman" w:hAnsi="Times New Roman"/>
          <w:i w:val="1"/>
          <w:color w:val="222222"/>
          <w:sz w:val="24"/>
          <w:szCs w:val="24"/>
          <w:highlight w:val="white"/>
          <w:rtl w:val="0"/>
        </w:rPr>
        <w:t xml:space="preserve">Travel marketing, tourism economics and the airline product</w:t>
      </w:r>
      <w:r w:rsidDel="00000000" w:rsidR="00000000" w:rsidRPr="00000000">
        <w:rPr>
          <w:rFonts w:ascii="Times New Roman" w:cs="Times New Roman" w:eastAsia="Times New Roman" w:hAnsi="Times New Roman"/>
          <w:color w:val="222222"/>
          <w:sz w:val="24"/>
          <w:szCs w:val="24"/>
          <w:highlight w:val="white"/>
          <w:rtl w:val="0"/>
        </w:rPr>
        <w:t xml:space="preserve"> (pp. 51-68). Springer, Cham.</w:t>
      </w:r>
    </w:p>
    <w:p w:rsidR="00000000" w:rsidDel="00000000" w:rsidP="00000000" w:rsidRDefault="00000000" w:rsidRPr="00000000" w14:paraId="0000005C">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Dobbs, M.E., 2014. Guidelines for applying Porter's five forces framework: a set of industry analysis templates. </w:t>
      </w:r>
      <w:r w:rsidDel="00000000" w:rsidR="00000000" w:rsidRPr="00000000">
        <w:rPr>
          <w:rFonts w:ascii="Times New Roman" w:cs="Times New Roman" w:eastAsia="Times New Roman" w:hAnsi="Times New Roman"/>
          <w:i w:val="1"/>
          <w:color w:val="222222"/>
          <w:sz w:val="24"/>
          <w:szCs w:val="24"/>
          <w:highlight w:val="white"/>
          <w:rtl w:val="0"/>
        </w:rPr>
        <w:t xml:space="preserve">Competitiveness Review</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5D">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Eskandari, M.J., Miri, M., Gholami, S. and Nia, H.R.S., 2015. Factors Affecting the Competitiveness of the Food Industry By Using Porters Five Forces Model Case Study in Hamadan Province, Iran. </w:t>
      </w:r>
      <w:r w:rsidDel="00000000" w:rsidR="00000000" w:rsidRPr="00000000">
        <w:rPr>
          <w:rFonts w:ascii="Times New Roman" w:cs="Times New Roman" w:eastAsia="Times New Roman" w:hAnsi="Times New Roman"/>
          <w:i w:val="1"/>
          <w:color w:val="222222"/>
          <w:sz w:val="24"/>
          <w:szCs w:val="24"/>
          <w:highlight w:val="white"/>
          <w:rtl w:val="0"/>
        </w:rPr>
        <w:t xml:space="preserve">Journal of Asian Scientific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(4), pp.185-197.</w:t>
      </w:r>
    </w:p>
    <w:p w:rsidR="00000000" w:rsidDel="00000000" w:rsidP="00000000" w:rsidRDefault="00000000" w:rsidRPr="00000000" w14:paraId="0000005E">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Fairlie, R. and Fossen, F.M. (2021). The early impacts of the COVID-19 pandemic on business sales. </w:t>
      </w:r>
      <w:r w:rsidDel="00000000" w:rsidR="00000000" w:rsidRPr="00000000">
        <w:rPr>
          <w:rFonts w:ascii="Times New Roman" w:cs="Times New Roman" w:eastAsia="Times New Roman" w:hAnsi="Times New Roman"/>
          <w:i w:val="1"/>
          <w:color w:val="222222"/>
          <w:sz w:val="24"/>
          <w:szCs w:val="24"/>
          <w:highlight w:val="white"/>
          <w:rtl w:val="0"/>
        </w:rPr>
        <w:t xml:space="preserve">Small Business Economics</w:t>
      </w:r>
      <w:r w:rsidDel="00000000" w:rsidR="00000000" w:rsidRPr="00000000">
        <w:rPr>
          <w:rFonts w:ascii="Times New Roman" w:cs="Times New Roman" w:eastAsia="Times New Roman" w:hAnsi="Times New Roman"/>
          <w:color w:val="222222"/>
          <w:sz w:val="24"/>
          <w:szCs w:val="24"/>
          <w:highlight w:val="white"/>
          <w:rtl w:val="0"/>
        </w:rPr>
        <w:t xml:space="preserve">, pp.1-12.</w:t>
      </w:r>
    </w:p>
    <w:p w:rsidR="00000000" w:rsidDel="00000000" w:rsidP="00000000" w:rsidRDefault="00000000" w:rsidRPr="00000000" w14:paraId="0000005F">
      <w:pPr>
        <w:ind w:left="777"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Garetti, M. and Taisch, M. (2012). Sustainable manufacturing: trends and research challenges. </w:t>
      </w:r>
      <w:r w:rsidDel="00000000" w:rsidR="00000000" w:rsidRPr="00000000">
        <w:rPr>
          <w:rFonts w:ascii="Times New Roman" w:cs="Times New Roman" w:eastAsia="Times New Roman" w:hAnsi="Times New Roman"/>
          <w:i w:val="1"/>
          <w:color w:val="222222"/>
          <w:sz w:val="24"/>
          <w:szCs w:val="24"/>
          <w:highlight w:val="white"/>
          <w:rtl w:val="0"/>
        </w:rPr>
        <w:t xml:space="preserve">Production planning &amp; control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23</w:t>
      </w:r>
      <w:r w:rsidDel="00000000" w:rsidR="00000000" w:rsidRPr="00000000">
        <w:rPr>
          <w:rFonts w:ascii="Times New Roman" w:cs="Times New Roman" w:eastAsia="Times New Roman" w:hAnsi="Times New Roman"/>
          <w:color w:val="222222"/>
          <w:sz w:val="24"/>
          <w:szCs w:val="24"/>
          <w:highlight w:val="white"/>
          <w:rtl w:val="0"/>
        </w:rPr>
        <w:t xml:space="preserve">(2-3), pp.83-104.</w:t>
      </w:r>
      <w:r w:rsidDel="00000000" w:rsidR="00000000" w:rsidRPr="00000000">
        <w:rPr>
          <w:rtl w:val="0"/>
        </w:rPr>
      </w:r>
    </w:p>
    <w:p w:rsidR="00000000" w:rsidDel="00000000" w:rsidP="00000000" w:rsidRDefault="00000000" w:rsidRPr="00000000" w14:paraId="00000060">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Huggins, R. and Thompson, P. (2015). Local entrepreneurial resilience and culture: the role of social values in fostering economic recovery. </w:t>
      </w:r>
      <w:r w:rsidDel="00000000" w:rsidR="00000000" w:rsidRPr="00000000">
        <w:rPr>
          <w:rFonts w:ascii="Times New Roman" w:cs="Times New Roman" w:eastAsia="Times New Roman" w:hAnsi="Times New Roman"/>
          <w:i w:val="1"/>
          <w:color w:val="222222"/>
          <w:sz w:val="24"/>
          <w:szCs w:val="24"/>
          <w:highlight w:val="white"/>
          <w:rtl w:val="0"/>
        </w:rPr>
        <w:t xml:space="preserve">Cambridge Journal of Regions, Economy and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w:t>
      </w:r>
      <w:r w:rsidDel="00000000" w:rsidR="00000000" w:rsidRPr="00000000">
        <w:rPr>
          <w:rFonts w:ascii="Times New Roman" w:cs="Times New Roman" w:eastAsia="Times New Roman" w:hAnsi="Times New Roman"/>
          <w:color w:val="222222"/>
          <w:sz w:val="24"/>
          <w:szCs w:val="24"/>
          <w:highlight w:val="white"/>
          <w:rtl w:val="0"/>
        </w:rPr>
        <w:t xml:space="preserve">(2), pp.313-330.</w:t>
      </w:r>
    </w:p>
    <w:p w:rsidR="00000000" w:rsidDel="00000000" w:rsidP="00000000" w:rsidRDefault="00000000" w:rsidRPr="00000000" w14:paraId="00000061">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Johnson, M.L.L.S.F. (2014). </w:t>
      </w:r>
      <w:r w:rsidDel="00000000" w:rsidR="00000000" w:rsidRPr="00000000">
        <w:rPr>
          <w:rFonts w:ascii="Times New Roman" w:cs="Times New Roman" w:eastAsia="Times New Roman" w:hAnsi="Times New Roman"/>
          <w:i w:val="1"/>
          <w:color w:val="222222"/>
          <w:sz w:val="24"/>
          <w:szCs w:val="24"/>
          <w:highlight w:val="white"/>
          <w:rtl w:val="0"/>
        </w:rPr>
        <w:t xml:space="preserve">The five competitive forces framework in a technology mediated environment: do these forces still hold in the industry of the 21st century?</w:t>
      </w:r>
      <w:r w:rsidDel="00000000" w:rsidR="00000000" w:rsidRPr="00000000">
        <w:rPr>
          <w:rFonts w:ascii="Times New Roman" w:cs="Times New Roman" w:eastAsia="Times New Roman" w:hAnsi="Times New Roman"/>
          <w:color w:val="222222"/>
          <w:sz w:val="24"/>
          <w:szCs w:val="24"/>
          <w:highlight w:val="white"/>
          <w:rtl w:val="0"/>
        </w:rPr>
        <w:t xml:space="preserve"> (Bachelor's thesis, University of Twente).</w:t>
      </w:r>
    </w:p>
    <w:p w:rsidR="00000000" w:rsidDel="00000000" w:rsidP="00000000" w:rsidRDefault="00000000" w:rsidRPr="00000000" w14:paraId="00000062">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Lüttgens, D. and Diener, K. (2016). Business model patterns used as a tool for creating (new) innovative business models.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Models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rtl w:val="0"/>
        </w:rPr>
        <w:t xml:space="preserve">(3).</w:t>
      </w:r>
    </w:p>
    <w:p w:rsidR="00000000" w:rsidDel="00000000" w:rsidP="00000000" w:rsidRDefault="00000000" w:rsidRPr="00000000" w14:paraId="00000063">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MalekShirabadi, F., Hamidizadeh, M.R. and Jaberi, G.K., 2013. Studying the Role of Porter’s Competitive Force in the Formation of Car Industry’s Value Chain (Case Study: Iran Khodro Company). </w:t>
      </w:r>
      <w:r w:rsidDel="00000000" w:rsidR="00000000" w:rsidRPr="00000000">
        <w:rPr>
          <w:rFonts w:ascii="Times New Roman" w:cs="Times New Roman" w:eastAsia="Times New Roman" w:hAnsi="Times New Roman"/>
          <w:i w:val="1"/>
          <w:color w:val="222222"/>
          <w:sz w:val="24"/>
          <w:szCs w:val="24"/>
          <w:highlight w:val="white"/>
          <w:rtl w:val="0"/>
        </w:rPr>
        <w:t xml:space="preserve">Life Science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(6), pp.674-683.</w:t>
      </w:r>
    </w:p>
    <w:p w:rsidR="00000000" w:rsidDel="00000000" w:rsidP="00000000" w:rsidRDefault="00000000" w:rsidRPr="00000000" w14:paraId="00000064">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Rothaermel, F.T., 2016. Competitive advantage in technology intensive industries. In </w:t>
      </w:r>
      <w:r w:rsidDel="00000000" w:rsidR="00000000" w:rsidRPr="00000000">
        <w:rPr>
          <w:rFonts w:ascii="Times New Roman" w:cs="Times New Roman" w:eastAsia="Times New Roman" w:hAnsi="Times New Roman"/>
          <w:i w:val="1"/>
          <w:color w:val="222222"/>
          <w:sz w:val="24"/>
          <w:szCs w:val="24"/>
          <w:highlight w:val="white"/>
          <w:rtl w:val="0"/>
        </w:rPr>
        <w:t xml:space="preserve">Technological innovation: Generating economic results</w:t>
      </w:r>
      <w:r w:rsidDel="00000000" w:rsidR="00000000" w:rsidRPr="00000000">
        <w:rPr>
          <w:rFonts w:ascii="Times New Roman" w:cs="Times New Roman" w:eastAsia="Times New Roman" w:hAnsi="Times New Roman"/>
          <w:color w:val="222222"/>
          <w:sz w:val="24"/>
          <w:szCs w:val="24"/>
          <w:highlight w:val="white"/>
          <w:rtl w:val="0"/>
        </w:rPr>
        <w:t xml:space="preserve">. Emerald Group Publishing Limited.</w:t>
      </w:r>
    </w:p>
    <w:p w:rsidR="00000000" w:rsidDel="00000000" w:rsidP="00000000" w:rsidRDefault="00000000" w:rsidRPr="00000000" w14:paraId="00000065">
      <w:pPr>
        <w:ind w:left="777"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Sierzchula, W., Bakker, S., Maat, K. and Van Wee, B. (2014). The influence of financial incentives and other socio-economic factors on electric vehicle adoption. </w:t>
      </w:r>
      <w:r w:rsidDel="00000000" w:rsidR="00000000" w:rsidRPr="00000000">
        <w:rPr>
          <w:rFonts w:ascii="Times New Roman" w:cs="Times New Roman" w:eastAsia="Times New Roman" w:hAnsi="Times New Roman"/>
          <w:i w:val="1"/>
          <w:color w:val="222222"/>
          <w:sz w:val="24"/>
          <w:szCs w:val="24"/>
          <w:highlight w:val="white"/>
          <w:rtl w:val="0"/>
        </w:rPr>
        <w:t xml:space="preserve">Energy Policy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68</w:t>
      </w:r>
      <w:r w:rsidDel="00000000" w:rsidR="00000000" w:rsidRPr="00000000">
        <w:rPr>
          <w:rFonts w:ascii="Times New Roman" w:cs="Times New Roman" w:eastAsia="Times New Roman" w:hAnsi="Times New Roman"/>
          <w:color w:val="222222"/>
          <w:sz w:val="24"/>
          <w:szCs w:val="24"/>
          <w:highlight w:val="white"/>
          <w:rtl w:val="0"/>
        </w:rPr>
        <w:t xml:space="preserve">, pp.183-194.</w:t>
      </w:r>
    </w:p>
    <w:p w:rsidR="00000000" w:rsidDel="00000000" w:rsidP="00000000" w:rsidRDefault="00000000" w:rsidRPr="00000000" w14:paraId="00000066">
      <w:pPr>
        <w:ind w:left="777"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Wheelen, T.L., Hunger, J.D., Hoffman, A.N. and Bamford, C.E. (2017). </w:t>
      </w:r>
      <w:r w:rsidDel="00000000" w:rsidR="00000000" w:rsidRPr="00000000">
        <w:rPr>
          <w:rFonts w:ascii="Times New Roman" w:cs="Times New Roman" w:eastAsia="Times New Roman" w:hAnsi="Times New Roman"/>
          <w:i w:val="1"/>
          <w:color w:val="222222"/>
          <w:sz w:val="24"/>
          <w:szCs w:val="24"/>
          <w:highlight w:val="white"/>
          <w:rtl w:val="0"/>
        </w:rPr>
        <w:t xml:space="preserve">Strategic management and business policy</w:t>
      </w:r>
      <w:r w:rsidDel="00000000" w:rsidR="00000000" w:rsidRPr="00000000">
        <w:rPr>
          <w:rFonts w:ascii="Times New Roman" w:cs="Times New Roman" w:eastAsia="Times New Roman" w:hAnsi="Times New Roman"/>
          <w:color w:val="222222"/>
          <w:sz w:val="24"/>
          <w:szCs w:val="24"/>
          <w:highlight w:val="white"/>
          <w:rtl w:val="0"/>
        </w:rPr>
        <w:t xml:space="preserve"> (Vol. 55). Boston: pearson.</w:t>
      </w:r>
      <w:r w:rsidDel="00000000" w:rsidR="00000000" w:rsidRPr="00000000">
        <w:rPr>
          <w:rtl w:val="0"/>
        </w:rPr>
      </w:r>
    </w:p>
    <w:p w:rsidR="00000000" w:rsidDel="00000000" w:rsidP="00000000" w:rsidRDefault="00000000" w:rsidRPr="00000000" w14:paraId="00000067">
      <w:pPr>
        <w:ind w:firstLine="57"/>
        <w:rPr/>
      </w:pPr>
      <w:r w:rsidDel="00000000" w:rsidR="00000000" w:rsidRPr="00000000">
        <w:rPr>
          <w:rtl w:val="0"/>
        </w:rPr>
      </w:r>
    </w:p>
    <w:sectPr>
      <w:headerReference r:id="rId6" w:type="default"/>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57"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57"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ind w:firstLine="57"/>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Environmental Analysis of Industry</w:t>
    </w: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57"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360" w:lineRule="auto"/>
        <w:ind w:left="57"/>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