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D98FE1" w14:textId="72DF8328" w:rsidR="00F73C87" w:rsidRDefault="007B6F95" w:rsidP="00405D38">
      <w:pPr>
        <w:spacing w:line="360" w:lineRule="auto"/>
        <w:jc w:val="both"/>
        <w:rPr>
          <w:b/>
          <w:i/>
          <w:iCs/>
          <w:sz w:val="40"/>
          <w:szCs w:val="40"/>
        </w:rPr>
      </w:pPr>
      <w:r>
        <w:rPr>
          <w:b/>
          <w:i/>
          <w:iCs/>
          <w:noProof/>
          <w:sz w:val="40"/>
          <w:szCs w:val="40"/>
        </w:rPr>
        <w:drawing>
          <wp:inline distT="0" distB="0" distL="0" distR="0" wp14:anchorId="03B7955D" wp14:editId="34E9BFC4">
            <wp:extent cx="1958510" cy="746825"/>
            <wp:effectExtent l="0" t="0" r="3810" b="0"/>
            <wp:docPr id="153449654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496543" name="Picture 1534496543"/>
                    <pic:cNvPicPr/>
                  </pic:nvPicPr>
                  <pic:blipFill>
                    <a:blip r:embed="rId6">
                      <a:extLst>
                        <a:ext uri="{28A0092B-C50C-407E-A947-70E740481C1C}">
                          <a14:useLocalDpi xmlns:a14="http://schemas.microsoft.com/office/drawing/2010/main" val="0"/>
                        </a:ext>
                      </a:extLst>
                    </a:blip>
                    <a:stretch>
                      <a:fillRect/>
                    </a:stretch>
                  </pic:blipFill>
                  <pic:spPr>
                    <a:xfrm>
                      <a:off x="0" y="0"/>
                      <a:ext cx="1958510" cy="746825"/>
                    </a:xfrm>
                    <a:prstGeom prst="rect">
                      <a:avLst/>
                    </a:prstGeom>
                  </pic:spPr>
                </pic:pic>
              </a:graphicData>
            </a:graphic>
          </wp:inline>
        </w:drawing>
      </w:r>
      <w:r w:rsidR="00F73C87">
        <w:rPr>
          <w:b/>
          <w:i/>
          <w:iCs/>
          <w:sz w:val="40"/>
          <w:szCs w:val="40"/>
        </w:rPr>
        <w:t xml:space="preserve">              </w:t>
      </w:r>
    </w:p>
    <w:p w14:paraId="42402739" w14:textId="77777777" w:rsidR="00F73C87" w:rsidRDefault="00F73C87" w:rsidP="00405D38">
      <w:pPr>
        <w:spacing w:line="360" w:lineRule="auto"/>
        <w:jc w:val="both"/>
        <w:rPr>
          <w:b/>
          <w:i/>
          <w:iCs/>
          <w:sz w:val="40"/>
          <w:szCs w:val="40"/>
        </w:rPr>
      </w:pPr>
    </w:p>
    <w:p w14:paraId="743F4FBC" w14:textId="4AD8B269" w:rsidR="00530013" w:rsidRDefault="00F73C87" w:rsidP="00405D38">
      <w:pPr>
        <w:spacing w:line="360" w:lineRule="auto"/>
        <w:jc w:val="both"/>
        <w:rPr>
          <w:b/>
          <w:i/>
          <w:iCs/>
          <w:sz w:val="40"/>
          <w:szCs w:val="40"/>
        </w:rPr>
      </w:pPr>
      <w:r>
        <w:rPr>
          <w:b/>
          <w:i/>
          <w:iCs/>
          <w:sz w:val="40"/>
          <w:szCs w:val="40"/>
        </w:rPr>
        <w:t xml:space="preserve">                </w:t>
      </w:r>
      <w:r w:rsidR="00546428" w:rsidRPr="00546428">
        <w:rPr>
          <w:b/>
          <w:i/>
          <w:iCs/>
          <w:sz w:val="40"/>
          <w:szCs w:val="40"/>
        </w:rPr>
        <w:t>Individual Report</w:t>
      </w:r>
      <w:r w:rsidR="00546428" w:rsidRPr="00F73C87">
        <w:rPr>
          <w:b/>
          <w:i/>
          <w:iCs/>
          <w:sz w:val="40"/>
          <w:szCs w:val="40"/>
        </w:rPr>
        <w:t xml:space="preserve"> </w:t>
      </w:r>
      <w:r w:rsidRPr="00F73C87">
        <w:rPr>
          <w:b/>
          <w:i/>
          <w:iCs/>
          <w:sz w:val="40"/>
          <w:szCs w:val="40"/>
        </w:rPr>
        <w:t>-</w:t>
      </w:r>
      <w:r w:rsidR="00546428" w:rsidRPr="00F73C87">
        <w:rPr>
          <w:b/>
          <w:i/>
          <w:iCs/>
          <w:sz w:val="40"/>
          <w:szCs w:val="40"/>
        </w:rPr>
        <w:t xml:space="preserve"> </w:t>
      </w:r>
      <w:r w:rsidRPr="00F73C87">
        <w:rPr>
          <w:b/>
          <w:i/>
          <w:iCs/>
          <w:sz w:val="40"/>
          <w:szCs w:val="40"/>
        </w:rPr>
        <w:t>Innocent Drinks</w:t>
      </w:r>
    </w:p>
    <w:p w14:paraId="622FEE67" w14:textId="0450D5E3" w:rsidR="007B6F95" w:rsidRPr="00530013" w:rsidRDefault="00E13B65" w:rsidP="00405D38">
      <w:pPr>
        <w:spacing w:before="120" w:after="120" w:line="360" w:lineRule="auto"/>
        <w:jc w:val="both"/>
        <w:rPr>
          <w:rFonts w:ascii="Arial" w:hAnsi="Arial" w:cs="Arial"/>
          <w:b/>
          <w:sz w:val="32"/>
          <w:szCs w:val="32"/>
        </w:rPr>
      </w:pPr>
      <w:r w:rsidRPr="00530013">
        <w:rPr>
          <w:rFonts w:ascii="Arial" w:hAnsi="Arial" w:cs="Arial"/>
          <w:b/>
          <w:sz w:val="32"/>
          <w:szCs w:val="32"/>
        </w:rPr>
        <w:t>Programme:</w:t>
      </w:r>
      <w:r w:rsidR="00BF3791" w:rsidRPr="00530013">
        <w:rPr>
          <w:rFonts w:ascii="Arial" w:hAnsi="Arial" w:cs="Arial"/>
          <w:b/>
          <w:sz w:val="32"/>
          <w:szCs w:val="32"/>
        </w:rPr>
        <w:t xml:space="preserve"> </w:t>
      </w:r>
      <w:r w:rsidR="00F722DE" w:rsidRPr="00530013">
        <w:rPr>
          <w:rFonts w:ascii="Arial" w:hAnsi="Arial" w:cs="Arial"/>
          <w:b/>
          <w:sz w:val="32"/>
          <w:szCs w:val="32"/>
        </w:rPr>
        <w:t xml:space="preserve">BA (Hons) Leadership and Management Skills for the Workplace   </w:t>
      </w:r>
    </w:p>
    <w:p w14:paraId="38FA5A0E" w14:textId="42A1E1B5" w:rsidR="007B6F95" w:rsidRPr="00530013" w:rsidRDefault="00C12D65" w:rsidP="00405D38">
      <w:pPr>
        <w:spacing w:line="360" w:lineRule="auto"/>
        <w:jc w:val="both"/>
        <w:rPr>
          <w:rFonts w:ascii="Arial" w:hAnsi="Arial" w:cs="Arial"/>
          <w:b/>
          <w:sz w:val="32"/>
          <w:szCs w:val="32"/>
        </w:rPr>
      </w:pPr>
      <w:r w:rsidRPr="00530013">
        <w:rPr>
          <w:rFonts w:ascii="Arial" w:hAnsi="Arial" w:cs="Arial"/>
          <w:b/>
          <w:sz w:val="32"/>
          <w:szCs w:val="32"/>
        </w:rPr>
        <w:t>Module:</w:t>
      </w:r>
      <w:r w:rsidR="00944B3D" w:rsidRPr="00530013">
        <w:rPr>
          <w:rFonts w:ascii="Arial" w:hAnsi="Arial" w:cs="Arial"/>
          <w:b/>
          <w:sz w:val="32"/>
          <w:szCs w:val="32"/>
        </w:rPr>
        <w:t xml:space="preserve"> Strategic Management for Business</w:t>
      </w:r>
    </w:p>
    <w:p w14:paraId="172686CC" w14:textId="77777777" w:rsidR="000569ED" w:rsidRDefault="00293282" w:rsidP="000569ED">
      <w:pPr>
        <w:spacing w:before="120" w:after="120" w:line="360" w:lineRule="auto"/>
        <w:jc w:val="both"/>
        <w:rPr>
          <w:rFonts w:ascii="Arial" w:hAnsi="Arial" w:cs="Arial"/>
          <w:b/>
          <w:sz w:val="32"/>
          <w:szCs w:val="32"/>
        </w:rPr>
      </w:pPr>
      <w:r w:rsidRPr="00530013">
        <w:rPr>
          <w:rFonts w:ascii="Arial" w:hAnsi="Arial" w:cs="Arial"/>
          <w:b/>
          <w:sz w:val="32"/>
          <w:szCs w:val="32"/>
        </w:rPr>
        <w:t>Module code:</w:t>
      </w:r>
      <w:r w:rsidR="00EC2712" w:rsidRPr="00530013">
        <w:rPr>
          <w:rFonts w:ascii="Arial" w:hAnsi="Arial" w:cs="Arial"/>
          <w:b/>
          <w:sz w:val="32"/>
          <w:szCs w:val="32"/>
        </w:rPr>
        <w:t xml:space="preserve"> LCLM  6001</w:t>
      </w:r>
    </w:p>
    <w:p w14:paraId="7724DF1D" w14:textId="3C0E0797" w:rsidR="007B6F95" w:rsidRPr="00530013" w:rsidRDefault="00BF3791" w:rsidP="000569ED">
      <w:pPr>
        <w:spacing w:before="120" w:after="120" w:line="360" w:lineRule="auto"/>
        <w:jc w:val="both"/>
        <w:rPr>
          <w:rFonts w:ascii="Arial" w:hAnsi="Arial" w:cs="Arial"/>
          <w:b/>
          <w:sz w:val="32"/>
          <w:szCs w:val="32"/>
        </w:rPr>
      </w:pPr>
      <w:r w:rsidRPr="00530013">
        <w:rPr>
          <w:rFonts w:ascii="Arial" w:hAnsi="Arial" w:cs="Arial"/>
          <w:b/>
          <w:sz w:val="32"/>
          <w:szCs w:val="32"/>
        </w:rPr>
        <w:t>Student name:</w:t>
      </w:r>
      <w:r w:rsidR="004401C5" w:rsidRPr="00530013">
        <w:rPr>
          <w:rFonts w:ascii="Arial" w:hAnsi="Arial" w:cs="Arial"/>
          <w:b/>
          <w:sz w:val="32"/>
          <w:szCs w:val="32"/>
        </w:rPr>
        <w:t xml:space="preserve"> Constantin Madalin Boboc </w:t>
      </w:r>
    </w:p>
    <w:p w14:paraId="183C63DF" w14:textId="2EC62C54" w:rsidR="00BF3791" w:rsidRPr="00546428" w:rsidRDefault="00BF3791" w:rsidP="00405D38">
      <w:pPr>
        <w:spacing w:line="360" w:lineRule="auto"/>
        <w:jc w:val="both"/>
        <w:rPr>
          <w:rFonts w:ascii="Arial" w:hAnsi="Arial" w:cs="Arial"/>
          <w:b/>
          <w:sz w:val="32"/>
          <w:szCs w:val="32"/>
        </w:rPr>
      </w:pPr>
      <w:r w:rsidRPr="00530013">
        <w:rPr>
          <w:rFonts w:ascii="Arial" w:hAnsi="Arial" w:cs="Arial"/>
          <w:b/>
          <w:sz w:val="32"/>
          <w:szCs w:val="32"/>
        </w:rPr>
        <w:t>Student ID:</w:t>
      </w:r>
      <w:r w:rsidR="00530013" w:rsidRPr="00530013">
        <w:rPr>
          <w:rFonts w:ascii="Arial" w:hAnsi="Arial" w:cs="Arial"/>
          <w:color w:val="242130"/>
          <w:sz w:val="32"/>
          <w:szCs w:val="32"/>
          <w:shd w:val="clear" w:color="auto" w:fill="FFFFFF"/>
        </w:rPr>
        <w:t xml:space="preserve"> </w:t>
      </w:r>
      <w:r w:rsidR="00530013" w:rsidRPr="00530013">
        <w:rPr>
          <w:rFonts w:ascii="Arial" w:hAnsi="Arial" w:cs="Arial"/>
          <w:b/>
          <w:sz w:val="32"/>
          <w:szCs w:val="32"/>
        </w:rPr>
        <w:t>2324058</w:t>
      </w:r>
    </w:p>
    <w:p w14:paraId="31E749E4" w14:textId="7E6C02E6" w:rsidR="00C40EFF" w:rsidRDefault="00C40EFF" w:rsidP="00405D38">
      <w:pPr>
        <w:spacing w:line="360" w:lineRule="auto"/>
        <w:jc w:val="both"/>
      </w:pPr>
    </w:p>
    <w:p w14:paraId="6B73E272" w14:textId="77777777" w:rsidR="007B6F95" w:rsidRDefault="007B6F95" w:rsidP="000569ED"/>
    <w:p w14:paraId="174E3831" w14:textId="77777777" w:rsidR="000569ED" w:rsidRDefault="000569ED" w:rsidP="000569ED"/>
    <w:p w14:paraId="3DC397FA" w14:textId="77777777" w:rsidR="000569ED" w:rsidRDefault="000569ED" w:rsidP="000569ED"/>
    <w:p w14:paraId="7FC1C1F0" w14:textId="77777777" w:rsidR="000569ED" w:rsidRDefault="000569ED" w:rsidP="000569ED"/>
    <w:p w14:paraId="190ABF37" w14:textId="77777777" w:rsidR="000569ED" w:rsidRDefault="000569ED" w:rsidP="000569ED"/>
    <w:p w14:paraId="281AF0DB" w14:textId="77777777" w:rsidR="000569ED" w:rsidRDefault="000569ED" w:rsidP="000569ED"/>
    <w:p w14:paraId="31FB8EC5" w14:textId="77777777" w:rsidR="000569ED" w:rsidRDefault="000569ED" w:rsidP="000569ED"/>
    <w:p w14:paraId="2CF8FCB0" w14:textId="77777777" w:rsidR="000569ED" w:rsidRDefault="000569ED" w:rsidP="000569ED"/>
    <w:p w14:paraId="6BE3C915" w14:textId="77777777" w:rsidR="000569ED" w:rsidRDefault="000569ED" w:rsidP="000569ED"/>
    <w:p w14:paraId="29A14EEC" w14:textId="77777777" w:rsidR="000569ED" w:rsidRDefault="000569ED" w:rsidP="000569ED"/>
    <w:p w14:paraId="0618F3FE" w14:textId="2910254E" w:rsidR="004467E6" w:rsidRPr="00112FD1" w:rsidRDefault="004467E6" w:rsidP="00405D38">
      <w:pPr>
        <w:pStyle w:val="Heading1"/>
        <w:spacing w:line="360" w:lineRule="auto"/>
        <w:jc w:val="both"/>
        <w:rPr>
          <w:rFonts w:ascii="Arial" w:hAnsi="Arial" w:cs="Arial"/>
        </w:rPr>
      </w:pPr>
      <w:bookmarkStart w:id="0" w:name="_Toc224479678"/>
      <w:r w:rsidRPr="00112FD1">
        <w:rPr>
          <w:rFonts w:ascii="Arial" w:hAnsi="Arial" w:cs="Arial"/>
        </w:rPr>
        <w:lastRenderedPageBreak/>
        <w:t>Executive Summary</w:t>
      </w:r>
      <w:bookmarkEnd w:id="0"/>
      <w:r w:rsidRPr="00112FD1">
        <w:rPr>
          <w:rFonts w:ascii="Arial" w:hAnsi="Arial" w:cs="Arial"/>
        </w:rPr>
        <w:t xml:space="preserve"> </w:t>
      </w:r>
    </w:p>
    <w:p w14:paraId="540CF6C7" w14:textId="77777777" w:rsidR="006943E3" w:rsidRPr="008527B2" w:rsidRDefault="006943E3" w:rsidP="00405D38">
      <w:pPr>
        <w:spacing w:line="360" w:lineRule="auto"/>
        <w:jc w:val="both"/>
        <w:rPr>
          <w:rFonts w:ascii="Arial" w:hAnsi="Arial" w:cs="Arial"/>
        </w:rPr>
      </w:pPr>
      <w:r w:rsidRPr="008527B2">
        <w:rPr>
          <w:rFonts w:ascii="Arial" w:hAnsi="Arial" w:cs="Arial"/>
        </w:rPr>
        <w:t>This report evaluates the strategic position of Innocent Drinks and proposes a growth strategy to support the company’s long-term development in the competitive health and wellness beverage market. Strategic management involves analysing internal capabilities and external environmental factors in order to create sustainable competitive advantage (Porter, 1991). As markets evolve, organisations must adapt their strategies to respond to changing consumer preferences, technological developments and environmental pressures.</w:t>
      </w:r>
    </w:p>
    <w:p w14:paraId="10640A36" w14:textId="77777777" w:rsidR="006943E3" w:rsidRPr="008527B2" w:rsidRDefault="006943E3" w:rsidP="00405D38">
      <w:pPr>
        <w:spacing w:line="360" w:lineRule="auto"/>
        <w:jc w:val="both"/>
        <w:rPr>
          <w:rFonts w:ascii="Arial" w:hAnsi="Arial" w:cs="Arial"/>
        </w:rPr>
      </w:pPr>
      <w:r w:rsidRPr="008527B2">
        <w:rPr>
          <w:rFonts w:ascii="Arial" w:hAnsi="Arial" w:cs="Arial"/>
        </w:rPr>
        <w:t>The report analyses Innocent Drinks’ current market environment using key strategic frameworks, including PESTEL analysis, Porter’s Five Forces and SWOT analysis. These tools help organisations understand industry conditions and align their resources with market opportunities in order to achieve long-term performance (Miles and Snow, 1978; Porter, 1991).</w:t>
      </w:r>
    </w:p>
    <w:p w14:paraId="68E8775B" w14:textId="77777777" w:rsidR="006943E3" w:rsidRPr="008527B2" w:rsidRDefault="006943E3" w:rsidP="00405D38">
      <w:pPr>
        <w:spacing w:line="360" w:lineRule="auto"/>
        <w:jc w:val="both"/>
        <w:rPr>
          <w:rFonts w:ascii="Arial" w:hAnsi="Arial" w:cs="Arial"/>
        </w:rPr>
      </w:pPr>
      <w:r w:rsidRPr="008527B2">
        <w:rPr>
          <w:rFonts w:ascii="Arial" w:hAnsi="Arial" w:cs="Arial"/>
        </w:rPr>
        <w:t xml:space="preserve">Based on this analysis, the report explores growth options using the Ansoff Matrix and Porter’s Generic Strategies and recommends a product development strategy supported by differentiation. This approach focuses on innovative and sustainable beverage products that create unique value for consumers (Porter, 1980). Innovation is essential for maintaining competitiveness and responding to evolving market demands (Girotra, </w:t>
      </w:r>
      <w:proofErr w:type="spellStart"/>
      <w:r w:rsidRPr="008527B2">
        <w:rPr>
          <w:rFonts w:ascii="Arial" w:hAnsi="Arial" w:cs="Arial"/>
        </w:rPr>
        <w:t>Terwiesch</w:t>
      </w:r>
      <w:proofErr w:type="spellEnd"/>
      <w:r w:rsidRPr="008527B2">
        <w:rPr>
          <w:rFonts w:ascii="Arial" w:hAnsi="Arial" w:cs="Arial"/>
        </w:rPr>
        <w:t xml:space="preserve"> and Ulrich, 2012).</w:t>
      </w:r>
    </w:p>
    <w:p w14:paraId="3937D1AC" w14:textId="77777777" w:rsidR="006943E3" w:rsidRPr="008527B2" w:rsidRDefault="006943E3" w:rsidP="00405D38">
      <w:pPr>
        <w:spacing w:line="360" w:lineRule="auto"/>
        <w:jc w:val="both"/>
        <w:rPr>
          <w:rFonts w:ascii="Arial" w:hAnsi="Arial" w:cs="Arial"/>
        </w:rPr>
      </w:pPr>
      <w:r w:rsidRPr="008527B2">
        <w:rPr>
          <w:rFonts w:ascii="Arial" w:hAnsi="Arial" w:cs="Arial"/>
        </w:rPr>
        <w:t>Finally, the strategy is evaluated using the Suitability, Feasibility and Acceptability (SFA) framework, supported by an implementation plan with clear objectives and Key Performance Indicators (KPIs). Stakeholder engagement is also essential for successful strategy implementation (Grunig and Repper, 1992).</w:t>
      </w:r>
    </w:p>
    <w:p w14:paraId="10D23AE3" w14:textId="77777777" w:rsidR="000C48AE" w:rsidRPr="00112FD1" w:rsidRDefault="000C48AE" w:rsidP="00405D38">
      <w:pPr>
        <w:spacing w:line="360" w:lineRule="auto"/>
        <w:jc w:val="both"/>
        <w:rPr>
          <w:rFonts w:ascii="Arial" w:hAnsi="Arial" w:cs="Arial"/>
        </w:rPr>
      </w:pPr>
    </w:p>
    <w:p w14:paraId="6DA671D9" w14:textId="77777777" w:rsidR="004467E6" w:rsidRDefault="004467E6" w:rsidP="00405D38">
      <w:pPr>
        <w:spacing w:line="360" w:lineRule="auto"/>
        <w:jc w:val="both"/>
        <w:rPr>
          <w:rFonts w:ascii="Arial" w:hAnsi="Arial" w:cs="Arial"/>
        </w:rPr>
      </w:pPr>
    </w:p>
    <w:p w14:paraId="70A65D54" w14:textId="77777777" w:rsidR="008527B2" w:rsidRDefault="008527B2" w:rsidP="00405D38">
      <w:pPr>
        <w:spacing w:line="360" w:lineRule="auto"/>
        <w:jc w:val="both"/>
        <w:rPr>
          <w:rFonts w:ascii="Arial" w:hAnsi="Arial" w:cs="Arial"/>
        </w:rPr>
      </w:pPr>
    </w:p>
    <w:p w14:paraId="64D54C0F" w14:textId="77777777" w:rsidR="008527B2" w:rsidRDefault="008527B2" w:rsidP="00405D38">
      <w:pPr>
        <w:spacing w:line="360" w:lineRule="auto"/>
        <w:jc w:val="both"/>
        <w:rPr>
          <w:rFonts w:ascii="Arial" w:hAnsi="Arial" w:cs="Arial"/>
        </w:rPr>
      </w:pPr>
    </w:p>
    <w:p w14:paraId="0887EAE8" w14:textId="77777777" w:rsidR="008527B2" w:rsidRDefault="008527B2" w:rsidP="00405D38">
      <w:pPr>
        <w:spacing w:line="360" w:lineRule="auto"/>
        <w:jc w:val="both"/>
        <w:rPr>
          <w:rFonts w:ascii="Arial" w:hAnsi="Arial" w:cs="Arial"/>
        </w:rPr>
      </w:pPr>
    </w:p>
    <w:p w14:paraId="2A95D61A" w14:textId="77777777" w:rsidR="008527B2" w:rsidRDefault="008527B2" w:rsidP="00405D38">
      <w:pPr>
        <w:spacing w:line="360" w:lineRule="auto"/>
        <w:jc w:val="both"/>
        <w:rPr>
          <w:rFonts w:ascii="Arial" w:hAnsi="Arial" w:cs="Arial"/>
        </w:rPr>
      </w:pPr>
    </w:p>
    <w:p w14:paraId="24751357" w14:textId="77777777" w:rsidR="008527B2" w:rsidRDefault="008527B2" w:rsidP="00405D38">
      <w:pPr>
        <w:spacing w:line="360" w:lineRule="auto"/>
        <w:jc w:val="both"/>
        <w:rPr>
          <w:rFonts w:ascii="Arial" w:hAnsi="Arial" w:cs="Arial"/>
        </w:rPr>
      </w:pPr>
    </w:p>
    <w:p w14:paraId="05C2F941" w14:textId="77777777" w:rsidR="008527B2" w:rsidRDefault="008527B2" w:rsidP="00405D38">
      <w:pPr>
        <w:spacing w:line="360" w:lineRule="auto"/>
        <w:jc w:val="both"/>
        <w:rPr>
          <w:rFonts w:ascii="Arial" w:hAnsi="Arial" w:cs="Arial"/>
        </w:rPr>
      </w:pPr>
    </w:p>
    <w:p w14:paraId="1BFEB2B9" w14:textId="77777777" w:rsidR="000569ED" w:rsidRDefault="000569ED" w:rsidP="00405D38">
      <w:pPr>
        <w:spacing w:line="360" w:lineRule="auto"/>
        <w:jc w:val="both"/>
        <w:rPr>
          <w:rFonts w:ascii="Arial" w:hAnsi="Arial" w:cs="Arial"/>
        </w:rPr>
      </w:pPr>
    </w:p>
    <w:sdt>
      <w:sdtPr>
        <w:id w:val="1148554530"/>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79705541" w14:textId="002EE604" w:rsidR="000569ED" w:rsidRDefault="000569ED">
          <w:pPr>
            <w:pStyle w:val="TOCHeading"/>
          </w:pPr>
          <w:r>
            <w:t>Table of Contents</w:t>
          </w:r>
        </w:p>
        <w:p w14:paraId="5ED3C426" w14:textId="5CE140CF" w:rsidR="00602B94" w:rsidRDefault="000569E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4479678" w:history="1">
            <w:r w:rsidR="00602B94" w:rsidRPr="00964B60">
              <w:rPr>
                <w:rStyle w:val="Hyperlink"/>
                <w:rFonts w:ascii="Arial" w:hAnsi="Arial" w:cs="Arial"/>
                <w:noProof/>
              </w:rPr>
              <w:t>Executive Summary</w:t>
            </w:r>
            <w:r w:rsidR="00602B94">
              <w:rPr>
                <w:noProof/>
                <w:webHidden/>
              </w:rPr>
              <w:tab/>
            </w:r>
            <w:r w:rsidR="00602B94">
              <w:rPr>
                <w:noProof/>
                <w:webHidden/>
              </w:rPr>
              <w:fldChar w:fldCharType="begin"/>
            </w:r>
            <w:r w:rsidR="00602B94">
              <w:rPr>
                <w:noProof/>
                <w:webHidden/>
              </w:rPr>
              <w:instrText xml:space="preserve"> PAGEREF _Toc224479678 \h </w:instrText>
            </w:r>
            <w:r w:rsidR="00602B94">
              <w:rPr>
                <w:noProof/>
                <w:webHidden/>
              </w:rPr>
            </w:r>
            <w:r w:rsidR="00602B94">
              <w:rPr>
                <w:noProof/>
                <w:webHidden/>
              </w:rPr>
              <w:fldChar w:fldCharType="separate"/>
            </w:r>
            <w:r w:rsidR="00602B94">
              <w:rPr>
                <w:noProof/>
                <w:webHidden/>
              </w:rPr>
              <w:t>2</w:t>
            </w:r>
            <w:r w:rsidR="00602B94">
              <w:rPr>
                <w:noProof/>
                <w:webHidden/>
              </w:rPr>
              <w:fldChar w:fldCharType="end"/>
            </w:r>
          </w:hyperlink>
        </w:p>
        <w:p w14:paraId="7D18DE83" w14:textId="796C8F2F" w:rsidR="00602B94" w:rsidRDefault="00602B94">
          <w:pPr>
            <w:pStyle w:val="TOC1"/>
            <w:tabs>
              <w:tab w:val="right" w:leader="dot" w:pos="9016"/>
            </w:tabs>
            <w:rPr>
              <w:rFonts w:eastAsiaTheme="minorEastAsia"/>
              <w:noProof/>
              <w:sz w:val="24"/>
              <w:szCs w:val="24"/>
              <w:lang w:eastAsia="en-GB"/>
            </w:rPr>
          </w:pPr>
          <w:hyperlink w:anchor="_Toc224479679" w:history="1">
            <w:r w:rsidRPr="00964B6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_Toc224479679 \h </w:instrText>
            </w:r>
            <w:r>
              <w:rPr>
                <w:noProof/>
                <w:webHidden/>
              </w:rPr>
            </w:r>
            <w:r>
              <w:rPr>
                <w:noProof/>
                <w:webHidden/>
              </w:rPr>
              <w:fldChar w:fldCharType="separate"/>
            </w:r>
            <w:r>
              <w:rPr>
                <w:noProof/>
                <w:webHidden/>
              </w:rPr>
              <w:t>4</w:t>
            </w:r>
            <w:r>
              <w:rPr>
                <w:noProof/>
                <w:webHidden/>
              </w:rPr>
              <w:fldChar w:fldCharType="end"/>
            </w:r>
          </w:hyperlink>
        </w:p>
        <w:p w14:paraId="3E1D3955" w14:textId="18B990FE" w:rsidR="00602B94" w:rsidRDefault="00602B94">
          <w:pPr>
            <w:pStyle w:val="TOC1"/>
            <w:tabs>
              <w:tab w:val="right" w:leader="dot" w:pos="9016"/>
            </w:tabs>
            <w:rPr>
              <w:rFonts w:eastAsiaTheme="minorEastAsia"/>
              <w:noProof/>
              <w:sz w:val="24"/>
              <w:szCs w:val="24"/>
              <w:lang w:eastAsia="en-GB"/>
            </w:rPr>
          </w:pPr>
          <w:hyperlink w:anchor="_Toc224479680" w:history="1">
            <w:r w:rsidRPr="00964B60">
              <w:rPr>
                <w:rStyle w:val="Hyperlink"/>
                <w:rFonts w:ascii="Arial" w:hAnsi="Arial" w:cs="Arial"/>
                <w:noProof/>
              </w:rPr>
              <w:t>3. Market Analysis</w:t>
            </w:r>
            <w:r>
              <w:rPr>
                <w:noProof/>
                <w:webHidden/>
              </w:rPr>
              <w:tab/>
            </w:r>
            <w:r>
              <w:rPr>
                <w:noProof/>
                <w:webHidden/>
              </w:rPr>
              <w:fldChar w:fldCharType="begin"/>
            </w:r>
            <w:r>
              <w:rPr>
                <w:noProof/>
                <w:webHidden/>
              </w:rPr>
              <w:instrText xml:space="preserve"> PAGEREF _Toc224479680 \h </w:instrText>
            </w:r>
            <w:r>
              <w:rPr>
                <w:noProof/>
                <w:webHidden/>
              </w:rPr>
            </w:r>
            <w:r>
              <w:rPr>
                <w:noProof/>
                <w:webHidden/>
              </w:rPr>
              <w:fldChar w:fldCharType="separate"/>
            </w:r>
            <w:r>
              <w:rPr>
                <w:noProof/>
                <w:webHidden/>
              </w:rPr>
              <w:t>5</w:t>
            </w:r>
            <w:r>
              <w:rPr>
                <w:noProof/>
                <w:webHidden/>
              </w:rPr>
              <w:fldChar w:fldCharType="end"/>
            </w:r>
          </w:hyperlink>
        </w:p>
        <w:p w14:paraId="022D4188" w14:textId="60350B69" w:rsidR="00602B94" w:rsidRDefault="00602B94">
          <w:pPr>
            <w:pStyle w:val="TOC2"/>
            <w:tabs>
              <w:tab w:val="right" w:leader="dot" w:pos="9016"/>
            </w:tabs>
            <w:rPr>
              <w:noProof/>
            </w:rPr>
          </w:pPr>
          <w:hyperlink w:anchor="_Toc224479681" w:history="1">
            <w:r w:rsidRPr="00964B60">
              <w:rPr>
                <w:rStyle w:val="Hyperlink"/>
                <w:noProof/>
              </w:rPr>
              <w:t>3.1 PESTEL Analysis</w:t>
            </w:r>
            <w:r>
              <w:rPr>
                <w:noProof/>
                <w:webHidden/>
              </w:rPr>
              <w:tab/>
            </w:r>
            <w:r>
              <w:rPr>
                <w:noProof/>
                <w:webHidden/>
              </w:rPr>
              <w:fldChar w:fldCharType="begin"/>
            </w:r>
            <w:r>
              <w:rPr>
                <w:noProof/>
                <w:webHidden/>
              </w:rPr>
              <w:instrText xml:space="preserve"> PAGEREF _Toc224479681 \h </w:instrText>
            </w:r>
            <w:r>
              <w:rPr>
                <w:noProof/>
                <w:webHidden/>
              </w:rPr>
            </w:r>
            <w:r>
              <w:rPr>
                <w:noProof/>
                <w:webHidden/>
              </w:rPr>
              <w:fldChar w:fldCharType="separate"/>
            </w:r>
            <w:r>
              <w:rPr>
                <w:noProof/>
                <w:webHidden/>
              </w:rPr>
              <w:t>5</w:t>
            </w:r>
            <w:r>
              <w:rPr>
                <w:noProof/>
                <w:webHidden/>
              </w:rPr>
              <w:fldChar w:fldCharType="end"/>
            </w:r>
          </w:hyperlink>
        </w:p>
        <w:p w14:paraId="1D37B51B" w14:textId="1B99AC29" w:rsidR="00602B94" w:rsidRDefault="00602B94">
          <w:pPr>
            <w:pStyle w:val="TOC2"/>
            <w:tabs>
              <w:tab w:val="right" w:leader="dot" w:pos="9016"/>
            </w:tabs>
            <w:rPr>
              <w:noProof/>
            </w:rPr>
          </w:pPr>
          <w:hyperlink w:anchor="_Toc224479682" w:history="1">
            <w:r w:rsidRPr="00964B60">
              <w:rPr>
                <w:rStyle w:val="Hyperlink"/>
                <w:b/>
                <w:bCs/>
                <w:noProof/>
              </w:rPr>
              <w:t>3.2 Porter’s Five Forces</w:t>
            </w:r>
            <w:r>
              <w:rPr>
                <w:noProof/>
                <w:webHidden/>
              </w:rPr>
              <w:tab/>
            </w:r>
            <w:r>
              <w:rPr>
                <w:noProof/>
                <w:webHidden/>
              </w:rPr>
              <w:fldChar w:fldCharType="begin"/>
            </w:r>
            <w:r>
              <w:rPr>
                <w:noProof/>
                <w:webHidden/>
              </w:rPr>
              <w:instrText xml:space="preserve"> PAGEREF _Toc224479682 \h </w:instrText>
            </w:r>
            <w:r>
              <w:rPr>
                <w:noProof/>
                <w:webHidden/>
              </w:rPr>
            </w:r>
            <w:r>
              <w:rPr>
                <w:noProof/>
                <w:webHidden/>
              </w:rPr>
              <w:fldChar w:fldCharType="separate"/>
            </w:r>
            <w:r>
              <w:rPr>
                <w:noProof/>
                <w:webHidden/>
              </w:rPr>
              <w:t>7</w:t>
            </w:r>
            <w:r>
              <w:rPr>
                <w:noProof/>
                <w:webHidden/>
              </w:rPr>
              <w:fldChar w:fldCharType="end"/>
            </w:r>
          </w:hyperlink>
        </w:p>
        <w:p w14:paraId="7D2B9736" w14:textId="317688E0" w:rsidR="00602B94" w:rsidRDefault="00602B94">
          <w:pPr>
            <w:pStyle w:val="TOC2"/>
            <w:tabs>
              <w:tab w:val="right" w:leader="dot" w:pos="9016"/>
            </w:tabs>
            <w:rPr>
              <w:noProof/>
            </w:rPr>
          </w:pPr>
          <w:hyperlink w:anchor="_Toc224479683" w:history="1">
            <w:r w:rsidRPr="00964B60">
              <w:rPr>
                <w:rStyle w:val="Hyperlink"/>
                <w:noProof/>
              </w:rPr>
              <w:t>3.3 SWOT Analysis</w:t>
            </w:r>
            <w:r>
              <w:rPr>
                <w:noProof/>
                <w:webHidden/>
              </w:rPr>
              <w:tab/>
            </w:r>
            <w:r>
              <w:rPr>
                <w:noProof/>
                <w:webHidden/>
              </w:rPr>
              <w:fldChar w:fldCharType="begin"/>
            </w:r>
            <w:r>
              <w:rPr>
                <w:noProof/>
                <w:webHidden/>
              </w:rPr>
              <w:instrText xml:space="preserve"> PAGEREF _Toc224479683 \h </w:instrText>
            </w:r>
            <w:r>
              <w:rPr>
                <w:noProof/>
                <w:webHidden/>
              </w:rPr>
            </w:r>
            <w:r>
              <w:rPr>
                <w:noProof/>
                <w:webHidden/>
              </w:rPr>
              <w:fldChar w:fldCharType="separate"/>
            </w:r>
            <w:r>
              <w:rPr>
                <w:noProof/>
                <w:webHidden/>
              </w:rPr>
              <w:t>9</w:t>
            </w:r>
            <w:r>
              <w:rPr>
                <w:noProof/>
                <w:webHidden/>
              </w:rPr>
              <w:fldChar w:fldCharType="end"/>
            </w:r>
          </w:hyperlink>
        </w:p>
        <w:p w14:paraId="0C54F1A0" w14:textId="2B0867CC" w:rsidR="00602B94" w:rsidRDefault="00602B94">
          <w:pPr>
            <w:pStyle w:val="TOC1"/>
            <w:tabs>
              <w:tab w:val="right" w:leader="dot" w:pos="9016"/>
            </w:tabs>
            <w:rPr>
              <w:rFonts w:eastAsiaTheme="minorEastAsia"/>
              <w:noProof/>
              <w:sz w:val="24"/>
              <w:szCs w:val="24"/>
              <w:lang w:eastAsia="en-GB"/>
            </w:rPr>
          </w:pPr>
          <w:hyperlink w:anchor="_Toc224479684" w:history="1">
            <w:r w:rsidRPr="00964B60">
              <w:rPr>
                <w:rStyle w:val="Hyperlink"/>
                <w:rFonts w:ascii="Arial" w:hAnsi="Arial" w:cs="Arial"/>
                <w:noProof/>
              </w:rPr>
              <w:t>4. Strategic Growth Options and Proposed Strategy</w:t>
            </w:r>
            <w:r>
              <w:rPr>
                <w:noProof/>
                <w:webHidden/>
              </w:rPr>
              <w:tab/>
            </w:r>
            <w:r>
              <w:rPr>
                <w:noProof/>
                <w:webHidden/>
              </w:rPr>
              <w:fldChar w:fldCharType="begin"/>
            </w:r>
            <w:r>
              <w:rPr>
                <w:noProof/>
                <w:webHidden/>
              </w:rPr>
              <w:instrText xml:space="preserve"> PAGEREF _Toc224479684 \h </w:instrText>
            </w:r>
            <w:r>
              <w:rPr>
                <w:noProof/>
                <w:webHidden/>
              </w:rPr>
            </w:r>
            <w:r>
              <w:rPr>
                <w:noProof/>
                <w:webHidden/>
              </w:rPr>
              <w:fldChar w:fldCharType="separate"/>
            </w:r>
            <w:r>
              <w:rPr>
                <w:noProof/>
                <w:webHidden/>
              </w:rPr>
              <w:t>11</w:t>
            </w:r>
            <w:r>
              <w:rPr>
                <w:noProof/>
                <w:webHidden/>
              </w:rPr>
              <w:fldChar w:fldCharType="end"/>
            </w:r>
          </w:hyperlink>
        </w:p>
        <w:p w14:paraId="31C6361B" w14:textId="416346A0" w:rsidR="00602B94" w:rsidRDefault="00602B94">
          <w:pPr>
            <w:pStyle w:val="TOC2"/>
            <w:tabs>
              <w:tab w:val="right" w:leader="dot" w:pos="9016"/>
            </w:tabs>
            <w:rPr>
              <w:noProof/>
            </w:rPr>
          </w:pPr>
          <w:hyperlink w:anchor="_Toc224479685" w:history="1">
            <w:r w:rsidRPr="00964B60">
              <w:rPr>
                <w:rStyle w:val="Hyperlink"/>
                <w:noProof/>
              </w:rPr>
              <w:t>4.1Market Penetration</w:t>
            </w:r>
            <w:r>
              <w:rPr>
                <w:noProof/>
                <w:webHidden/>
              </w:rPr>
              <w:tab/>
            </w:r>
            <w:r>
              <w:rPr>
                <w:noProof/>
                <w:webHidden/>
              </w:rPr>
              <w:fldChar w:fldCharType="begin"/>
            </w:r>
            <w:r>
              <w:rPr>
                <w:noProof/>
                <w:webHidden/>
              </w:rPr>
              <w:instrText xml:space="preserve"> PAGEREF _Toc224479685 \h </w:instrText>
            </w:r>
            <w:r>
              <w:rPr>
                <w:noProof/>
                <w:webHidden/>
              </w:rPr>
            </w:r>
            <w:r>
              <w:rPr>
                <w:noProof/>
                <w:webHidden/>
              </w:rPr>
              <w:fldChar w:fldCharType="separate"/>
            </w:r>
            <w:r>
              <w:rPr>
                <w:noProof/>
                <w:webHidden/>
              </w:rPr>
              <w:t>12</w:t>
            </w:r>
            <w:r>
              <w:rPr>
                <w:noProof/>
                <w:webHidden/>
              </w:rPr>
              <w:fldChar w:fldCharType="end"/>
            </w:r>
          </w:hyperlink>
        </w:p>
        <w:p w14:paraId="1C167F61" w14:textId="47BB927A" w:rsidR="00602B94" w:rsidRDefault="00602B94">
          <w:pPr>
            <w:pStyle w:val="TOC2"/>
            <w:tabs>
              <w:tab w:val="right" w:leader="dot" w:pos="9016"/>
            </w:tabs>
            <w:rPr>
              <w:noProof/>
            </w:rPr>
          </w:pPr>
          <w:hyperlink w:anchor="_Toc224479686" w:history="1">
            <w:r w:rsidRPr="00964B60">
              <w:rPr>
                <w:rStyle w:val="Hyperlink"/>
                <w:noProof/>
              </w:rPr>
              <w:t>4.2Market Development</w:t>
            </w:r>
            <w:r>
              <w:rPr>
                <w:noProof/>
                <w:webHidden/>
              </w:rPr>
              <w:tab/>
            </w:r>
            <w:r>
              <w:rPr>
                <w:noProof/>
                <w:webHidden/>
              </w:rPr>
              <w:fldChar w:fldCharType="begin"/>
            </w:r>
            <w:r>
              <w:rPr>
                <w:noProof/>
                <w:webHidden/>
              </w:rPr>
              <w:instrText xml:space="preserve"> PAGEREF _Toc224479686 \h </w:instrText>
            </w:r>
            <w:r>
              <w:rPr>
                <w:noProof/>
                <w:webHidden/>
              </w:rPr>
            </w:r>
            <w:r>
              <w:rPr>
                <w:noProof/>
                <w:webHidden/>
              </w:rPr>
              <w:fldChar w:fldCharType="separate"/>
            </w:r>
            <w:r>
              <w:rPr>
                <w:noProof/>
                <w:webHidden/>
              </w:rPr>
              <w:t>12</w:t>
            </w:r>
            <w:r>
              <w:rPr>
                <w:noProof/>
                <w:webHidden/>
              </w:rPr>
              <w:fldChar w:fldCharType="end"/>
            </w:r>
          </w:hyperlink>
        </w:p>
        <w:p w14:paraId="2621705A" w14:textId="4D5BCB23" w:rsidR="00602B94" w:rsidRDefault="00602B94">
          <w:pPr>
            <w:pStyle w:val="TOC2"/>
            <w:tabs>
              <w:tab w:val="right" w:leader="dot" w:pos="9016"/>
            </w:tabs>
            <w:rPr>
              <w:noProof/>
            </w:rPr>
          </w:pPr>
          <w:hyperlink w:anchor="_Toc224479687" w:history="1">
            <w:r w:rsidRPr="00964B60">
              <w:rPr>
                <w:rStyle w:val="Hyperlink"/>
                <w:noProof/>
              </w:rPr>
              <w:t>4.3Product Development</w:t>
            </w:r>
            <w:r>
              <w:rPr>
                <w:noProof/>
                <w:webHidden/>
              </w:rPr>
              <w:tab/>
            </w:r>
            <w:r>
              <w:rPr>
                <w:noProof/>
                <w:webHidden/>
              </w:rPr>
              <w:fldChar w:fldCharType="begin"/>
            </w:r>
            <w:r>
              <w:rPr>
                <w:noProof/>
                <w:webHidden/>
              </w:rPr>
              <w:instrText xml:space="preserve"> PAGEREF _Toc224479687 \h </w:instrText>
            </w:r>
            <w:r>
              <w:rPr>
                <w:noProof/>
                <w:webHidden/>
              </w:rPr>
            </w:r>
            <w:r>
              <w:rPr>
                <w:noProof/>
                <w:webHidden/>
              </w:rPr>
              <w:fldChar w:fldCharType="separate"/>
            </w:r>
            <w:r>
              <w:rPr>
                <w:noProof/>
                <w:webHidden/>
              </w:rPr>
              <w:t>12</w:t>
            </w:r>
            <w:r>
              <w:rPr>
                <w:noProof/>
                <w:webHidden/>
              </w:rPr>
              <w:fldChar w:fldCharType="end"/>
            </w:r>
          </w:hyperlink>
        </w:p>
        <w:p w14:paraId="6BDFE471" w14:textId="1980B0E2" w:rsidR="00602B94" w:rsidRDefault="00602B94">
          <w:pPr>
            <w:pStyle w:val="TOC2"/>
            <w:tabs>
              <w:tab w:val="right" w:leader="dot" w:pos="9016"/>
            </w:tabs>
            <w:rPr>
              <w:noProof/>
            </w:rPr>
          </w:pPr>
          <w:hyperlink w:anchor="_Toc224479688" w:history="1">
            <w:r w:rsidRPr="00964B60">
              <w:rPr>
                <w:rStyle w:val="Hyperlink"/>
                <w:noProof/>
              </w:rPr>
              <w:t>4.4Diversification</w:t>
            </w:r>
            <w:r>
              <w:rPr>
                <w:noProof/>
                <w:webHidden/>
              </w:rPr>
              <w:tab/>
            </w:r>
            <w:r>
              <w:rPr>
                <w:noProof/>
                <w:webHidden/>
              </w:rPr>
              <w:fldChar w:fldCharType="begin"/>
            </w:r>
            <w:r>
              <w:rPr>
                <w:noProof/>
                <w:webHidden/>
              </w:rPr>
              <w:instrText xml:space="preserve"> PAGEREF _Toc224479688 \h </w:instrText>
            </w:r>
            <w:r>
              <w:rPr>
                <w:noProof/>
                <w:webHidden/>
              </w:rPr>
            </w:r>
            <w:r>
              <w:rPr>
                <w:noProof/>
                <w:webHidden/>
              </w:rPr>
              <w:fldChar w:fldCharType="separate"/>
            </w:r>
            <w:r>
              <w:rPr>
                <w:noProof/>
                <w:webHidden/>
              </w:rPr>
              <w:t>13</w:t>
            </w:r>
            <w:r>
              <w:rPr>
                <w:noProof/>
                <w:webHidden/>
              </w:rPr>
              <w:fldChar w:fldCharType="end"/>
            </w:r>
          </w:hyperlink>
        </w:p>
        <w:p w14:paraId="074BA24A" w14:textId="3B9F472C" w:rsidR="00602B94" w:rsidRDefault="00602B94">
          <w:pPr>
            <w:pStyle w:val="TOC2"/>
            <w:tabs>
              <w:tab w:val="right" w:leader="dot" w:pos="9016"/>
            </w:tabs>
            <w:rPr>
              <w:noProof/>
            </w:rPr>
          </w:pPr>
          <w:hyperlink w:anchor="_Toc224479689" w:history="1">
            <w:r w:rsidRPr="00964B60">
              <w:rPr>
                <w:rStyle w:val="Hyperlink"/>
                <w:noProof/>
              </w:rPr>
              <w:t>4.5Proposed Strategy</w:t>
            </w:r>
            <w:r>
              <w:rPr>
                <w:noProof/>
                <w:webHidden/>
              </w:rPr>
              <w:tab/>
            </w:r>
            <w:r>
              <w:rPr>
                <w:noProof/>
                <w:webHidden/>
              </w:rPr>
              <w:fldChar w:fldCharType="begin"/>
            </w:r>
            <w:r>
              <w:rPr>
                <w:noProof/>
                <w:webHidden/>
              </w:rPr>
              <w:instrText xml:space="preserve"> PAGEREF _Toc224479689 \h </w:instrText>
            </w:r>
            <w:r>
              <w:rPr>
                <w:noProof/>
                <w:webHidden/>
              </w:rPr>
            </w:r>
            <w:r>
              <w:rPr>
                <w:noProof/>
                <w:webHidden/>
              </w:rPr>
              <w:fldChar w:fldCharType="separate"/>
            </w:r>
            <w:r>
              <w:rPr>
                <w:noProof/>
                <w:webHidden/>
              </w:rPr>
              <w:t>13</w:t>
            </w:r>
            <w:r>
              <w:rPr>
                <w:noProof/>
                <w:webHidden/>
              </w:rPr>
              <w:fldChar w:fldCharType="end"/>
            </w:r>
          </w:hyperlink>
        </w:p>
        <w:p w14:paraId="7B9D9F43" w14:textId="33F24288" w:rsidR="00602B94" w:rsidRDefault="00602B94">
          <w:pPr>
            <w:pStyle w:val="TOC1"/>
            <w:tabs>
              <w:tab w:val="right" w:leader="dot" w:pos="9016"/>
            </w:tabs>
            <w:rPr>
              <w:rFonts w:eastAsiaTheme="minorEastAsia"/>
              <w:noProof/>
              <w:sz w:val="24"/>
              <w:szCs w:val="24"/>
              <w:lang w:eastAsia="en-GB"/>
            </w:rPr>
          </w:pPr>
          <w:hyperlink w:anchor="_Toc224479690" w:history="1">
            <w:r w:rsidRPr="00964B60">
              <w:rPr>
                <w:rStyle w:val="Hyperlink"/>
                <w:rFonts w:ascii="Arial" w:hAnsi="Arial" w:cs="Arial"/>
                <w:noProof/>
              </w:rPr>
              <w:t>5. Strategy Evaluation</w:t>
            </w:r>
            <w:r>
              <w:rPr>
                <w:noProof/>
                <w:webHidden/>
              </w:rPr>
              <w:tab/>
            </w:r>
            <w:r>
              <w:rPr>
                <w:noProof/>
                <w:webHidden/>
              </w:rPr>
              <w:fldChar w:fldCharType="begin"/>
            </w:r>
            <w:r>
              <w:rPr>
                <w:noProof/>
                <w:webHidden/>
              </w:rPr>
              <w:instrText xml:space="preserve"> PAGEREF _Toc224479690 \h </w:instrText>
            </w:r>
            <w:r>
              <w:rPr>
                <w:noProof/>
                <w:webHidden/>
              </w:rPr>
            </w:r>
            <w:r>
              <w:rPr>
                <w:noProof/>
                <w:webHidden/>
              </w:rPr>
              <w:fldChar w:fldCharType="separate"/>
            </w:r>
            <w:r>
              <w:rPr>
                <w:noProof/>
                <w:webHidden/>
              </w:rPr>
              <w:t>13</w:t>
            </w:r>
            <w:r>
              <w:rPr>
                <w:noProof/>
                <w:webHidden/>
              </w:rPr>
              <w:fldChar w:fldCharType="end"/>
            </w:r>
          </w:hyperlink>
        </w:p>
        <w:p w14:paraId="68F3B7E3" w14:textId="47AF39FD" w:rsidR="00602B94" w:rsidRDefault="00602B94">
          <w:pPr>
            <w:pStyle w:val="TOC2"/>
            <w:tabs>
              <w:tab w:val="right" w:leader="dot" w:pos="9016"/>
            </w:tabs>
            <w:rPr>
              <w:noProof/>
            </w:rPr>
          </w:pPr>
          <w:hyperlink w:anchor="_Toc224479691" w:history="1">
            <w:r w:rsidRPr="00964B60">
              <w:rPr>
                <w:rStyle w:val="Hyperlink"/>
                <w:noProof/>
              </w:rPr>
              <w:t>5.1Suitability</w:t>
            </w:r>
            <w:r>
              <w:rPr>
                <w:noProof/>
                <w:webHidden/>
              </w:rPr>
              <w:tab/>
            </w:r>
            <w:r>
              <w:rPr>
                <w:noProof/>
                <w:webHidden/>
              </w:rPr>
              <w:fldChar w:fldCharType="begin"/>
            </w:r>
            <w:r>
              <w:rPr>
                <w:noProof/>
                <w:webHidden/>
              </w:rPr>
              <w:instrText xml:space="preserve"> PAGEREF _Toc224479691 \h </w:instrText>
            </w:r>
            <w:r>
              <w:rPr>
                <w:noProof/>
                <w:webHidden/>
              </w:rPr>
            </w:r>
            <w:r>
              <w:rPr>
                <w:noProof/>
                <w:webHidden/>
              </w:rPr>
              <w:fldChar w:fldCharType="separate"/>
            </w:r>
            <w:r>
              <w:rPr>
                <w:noProof/>
                <w:webHidden/>
              </w:rPr>
              <w:t>13</w:t>
            </w:r>
            <w:r>
              <w:rPr>
                <w:noProof/>
                <w:webHidden/>
              </w:rPr>
              <w:fldChar w:fldCharType="end"/>
            </w:r>
          </w:hyperlink>
        </w:p>
        <w:p w14:paraId="68E264B1" w14:textId="326EACD6" w:rsidR="00602B94" w:rsidRDefault="00602B94">
          <w:pPr>
            <w:pStyle w:val="TOC2"/>
            <w:tabs>
              <w:tab w:val="right" w:leader="dot" w:pos="9016"/>
            </w:tabs>
            <w:rPr>
              <w:noProof/>
            </w:rPr>
          </w:pPr>
          <w:hyperlink w:anchor="_Toc224479692" w:history="1">
            <w:r w:rsidRPr="00964B60">
              <w:rPr>
                <w:rStyle w:val="Hyperlink"/>
                <w:noProof/>
              </w:rPr>
              <w:t>5.2Feasibility</w:t>
            </w:r>
            <w:r>
              <w:rPr>
                <w:noProof/>
                <w:webHidden/>
              </w:rPr>
              <w:tab/>
            </w:r>
            <w:r>
              <w:rPr>
                <w:noProof/>
                <w:webHidden/>
              </w:rPr>
              <w:fldChar w:fldCharType="begin"/>
            </w:r>
            <w:r>
              <w:rPr>
                <w:noProof/>
                <w:webHidden/>
              </w:rPr>
              <w:instrText xml:space="preserve"> PAGEREF _Toc224479692 \h </w:instrText>
            </w:r>
            <w:r>
              <w:rPr>
                <w:noProof/>
                <w:webHidden/>
              </w:rPr>
            </w:r>
            <w:r>
              <w:rPr>
                <w:noProof/>
                <w:webHidden/>
              </w:rPr>
              <w:fldChar w:fldCharType="separate"/>
            </w:r>
            <w:r>
              <w:rPr>
                <w:noProof/>
                <w:webHidden/>
              </w:rPr>
              <w:t>14</w:t>
            </w:r>
            <w:r>
              <w:rPr>
                <w:noProof/>
                <w:webHidden/>
              </w:rPr>
              <w:fldChar w:fldCharType="end"/>
            </w:r>
          </w:hyperlink>
        </w:p>
        <w:p w14:paraId="503DC359" w14:textId="464BDB68" w:rsidR="00602B94" w:rsidRDefault="00602B94">
          <w:pPr>
            <w:pStyle w:val="TOC2"/>
            <w:tabs>
              <w:tab w:val="right" w:leader="dot" w:pos="9016"/>
            </w:tabs>
            <w:rPr>
              <w:noProof/>
            </w:rPr>
          </w:pPr>
          <w:hyperlink w:anchor="_Toc224479693" w:history="1">
            <w:r w:rsidRPr="00964B60">
              <w:rPr>
                <w:rStyle w:val="Hyperlink"/>
                <w:noProof/>
              </w:rPr>
              <w:t>5.3Acceptability</w:t>
            </w:r>
            <w:r>
              <w:rPr>
                <w:noProof/>
                <w:webHidden/>
              </w:rPr>
              <w:tab/>
            </w:r>
            <w:r>
              <w:rPr>
                <w:noProof/>
                <w:webHidden/>
              </w:rPr>
              <w:fldChar w:fldCharType="begin"/>
            </w:r>
            <w:r>
              <w:rPr>
                <w:noProof/>
                <w:webHidden/>
              </w:rPr>
              <w:instrText xml:space="preserve"> PAGEREF _Toc224479693 \h </w:instrText>
            </w:r>
            <w:r>
              <w:rPr>
                <w:noProof/>
                <w:webHidden/>
              </w:rPr>
            </w:r>
            <w:r>
              <w:rPr>
                <w:noProof/>
                <w:webHidden/>
              </w:rPr>
              <w:fldChar w:fldCharType="separate"/>
            </w:r>
            <w:r>
              <w:rPr>
                <w:noProof/>
                <w:webHidden/>
              </w:rPr>
              <w:t>14</w:t>
            </w:r>
            <w:r>
              <w:rPr>
                <w:noProof/>
                <w:webHidden/>
              </w:rPr>
              <w:fldChar w:fldCharType="end"/>
            </w:r>
          </w:hyperlink>
        </w:p>
        <w:p w14:paraId="6C7C207F" w14:textId="4305F8E2" w:rsidR="00602B94" w:rsidRDefault="00602B94">
          <w:pPr>
            <w:pStyle w:val="TOC1"/>
            <w:tabs>
              <w:tab w:val="right" w:leader="dot" w:pos="9016"/>
            </w:tabs>
            <w:rPr>
              <w:rFonts w:eastAsiaTheme="minorEastAsia"/>
              <w:noProof/>
              <w:sz w:val="24"/>
              <w:szCs w:val="24"/>
              <w:lang w:eastAsia="en-GB"/>
            </w:rPr>
          </w:pPr>
          <w:hyperlink w:anchor="_Toc224479694" w:history="1">
            <w:r w:rsidRPr="00964B60">
              <w:rPr>
                <w:rStyle w:val="Hyperlink"/>
                <w:rFonts w:ascii="Arial" w:hAnsi="Arial" w:cs="Arial"/>
                <w:noProof/>
              </w:rPr>
              <w:t>6. Stakeholder Analysis</w:t>
            </w:r>
            <w:r>
              <w:rPr>
                <w:noProof/>
                <w:webHidden/>
              </w:rPr>
              <w:tab/>
            </w:r>
            <w:r>
              <w:rPr>
                <w:noProof/>
                <w:webHidden/>
              </w:rPr>
              <w:fldChar w:fldCharType="begin"/>
            </w:r>
            <w:r>
              <w:rPr>
                <w:noProof/>
                <w:webHidden/>
              </w:rPr>
              <w:instrText xml:space="preserve"> PAGEREF _Toc224479694 \h </w:instrText>
            </w:r>
            <w:r>
              <w:rPr>
                <w:noProof/>
                <w:webHidden/>
              </w:rPr>
            </w:r>
            <w:r>
              <w:rPr>
                <w:noProof/>
                <w:webHidden/>
              </w:rPr>
              <w:fldChar w:fldCharType="separate"/>
            </w:r>
            <w:r>
              <w:rPr>
                <w:noProof/>
                <w:webHidden/>
              </w:rPr>
              <w:t>15</w:t>
            </w:r>
            <w:r>
              <w:rPr>
                <w:noProof/>
                <w:webHidden/>
              </w:rPr>
              <w:fldChar w:fldCharType="end"/>
            </w:r>
          </w:hyperlink>
        </w:p>
        <w:p w14:paraId="70F788F1" w14:textId="7B06D79D" w:rsidR="00602B94" w:rsidRDefault="00602B94">
          <w:pPr>
            <w:pStyle w:val="TOC1"/>
            <w:tabs>
              <w:tab w:val="right" w:leader="dot" w:pos="9016"/>
            </w:tabs>
            <w:rPr>
              <w:rFonts w:eastAsiaTheme="minorEastAsia"/>
              <w:noProof/>
              <w:sz w:val="24"/>
              <w:szCs w:val="24"/>
              <w:lang w:eastAsia="en-GB"/>
            </w:rPr>
          </w:pPr>
          <w:hyperlink w:anchor="_Toc224479695" w:history="1">
            <w:r w:rsidRPr="00964B60">
              <w:rPr>
                <w:rStyle w:val="Hyperlink"/>
                <w:rFonts w:ascii="Arial" w:hAnsi="Arial" w:cs="Arial"/>
                <w:noProof/>
              </w:rPr>
              <w:t>7. Implementation and Monitoring</w:t>
            </w:r>
            <w:r>
              <w:rPr>
                <w:noProof/>
                <w:webHidden/>
              </w:rPr>
              <w:tab/>
            </w:r>
            <w:r>
              <w:rPr>
                <w:noProof/>
                <w:webHidden/>
              </w:rPr>
              <w:fldChar w:fldCharType="begin"/>
            </w:r>
            <w:r>
              <w:rPr>
                <w:noProof/>
                <w:webHidden/>
              </w:rPr>
              <w:instrText xml:space="preserve"> PAGEREF _Toc224479695 \h </w:instrText>
            </w:r>
            <w:r>
              <w:rPr>
                <w:noProof/>
                <w:webHidden/>
              </w:rPr>
            </w:r>
            <w:r>
              <w:rPr>
                <w:noProof/>
                <w:webHidden/>
              </w:rPr>
              <w:fldChar w:fldCharType="separate"/>
            </w:r>
            <w:r>
              <w:rPr>
                <w:noProof/>
                <w:webHidden/>
              </w:rPr>
              <w:t>17</w:t>
            </w:r>
            <w:r>
              <w:rPr>
                <w:noProof/>
                <w:webHidden/>
              </w:rPr>
              <w:fldChar w:fldCharType="end"/>
            </w:r>
          </w:hyperlink>
        </w:p>
        <w:p w14:paraId="634D7977" w14:textId="72874402" w:rsidR="00602B94" w:rsidRDefault="00602B94">
          <w:pPr>
            <w:pStyle w:val="TOC2"/>
            <w:tabs>
              <w:tab w:val="right" w:leader="dot" w:pos="9016"/>
            </w:tabs>
            <w:rPr>
              <w:noProof/>
            </w:rPr>
          </w:pPr>
          <w:hyperlink w:anchor="_Toc224479696" w:history="1">
            <w:r w:rsidRPr="00964B60">
              <w:rPr>
                <w:rStyle w:val="Hyperlink"/>
                <w:noProof/>
              </w:rPr>
              <w:t>7.1Implementation Plan</w:t>
            </w:r>
            <w:r>
              <w:rPr>
                <w:noProof/>
                <w:webHidden/>
              </w:rPr>
              <w:tab/>
            </w:r>
            <w:r>
              <w:rPr>
                <w:noProof/>
                <w:webHidden/>
              </w:rPr>
              <w:fldChar w:fldCharType="begin"/>
            </w:r>
            <w:r>
              <w:rPr>
                <w:noProof/>
                <w:webHidden/>
              </w:rPr>
              <w:instrText xml:space="preserve"> PAGEREF _Toc224479696 \h </w:instrText>
            </w:r>
            <w:r>
              <w:rPr>
                <w:noProof/>
                <w:webHidden/>
              </w:rPr>
            </w:r>
            <w:r>
              <w:rPr>
                <w:noProof/>
                <w:webHidden/>
              </w:rPr>
              <w:fldChar w:fldCharType="separate"/>
            </w:r>
            <w:r>
              <w:rPr>
                <w:noProof/>
                <w:webHidden/>
              </w:rPr>
              <w:t>18</w:t>
            </w:r>
            <w:r>
              <w:rPr>
                <w:noProof/>
                <w:webHidden/>
              </w:rPr>
              <w:fldChar w:fldCharType="end"/>
            </w:r>
          </w:hyperlink>
        </w:p>
        <w:p w14:paraId="2E39A412" w14:textId="699C4B7C" w:rsidR="00602B94" w:rsidRDefault="00602B94">
          <w:pPr>
            <w:pStyle w:val="TOC2"/>
            <w:tabs>
              <w:tab w:val="right" w:leader="dot" w:pos="9016"/>
            </w:tabs>
            <w:rPr>
              <w:noProof/>
            </w:rPr>
          </w:pPr>
          <w:hyperlink w:anchor="_Toc224479697" w:history="1">
            <w:r w:rsidRPr="00964B60">
              <w:rPr>
                <w:rStyle w:val="Hyperlink"/>
                <w:noProof/>
              </w:rPr>
              <w:t>7.2Strategic Objectives and KPIs</w:t>
            </w:r>
            <w:r>
              <w:rPr>
                <w:noProof/>
                <w:webHidden/>
              </w:rPr>
              <w:tab/>
            </w:r>
            <w:r>
              <w:rPr>
                <w:noProof/>
                <w:webHidden/>
              </w:rPr>
              <w:fldChar w:fldCharType="begin"/>
            </w:r>
            <w:r>
              <w:rPr>
                <w:noProof/>
                <w:webHidden/>
              </w:rPr>
              <w:instrText xml:space="preserve"> PAGEREF _Toc224479697 \h </w:instrText>
            </w:r>
            <w:r>
              <w:rPr>
                <w:noProof/>
                <w:webHidden/>
              </w:rPr>
            </w:r>
            <w:r>
              <w:rPr>
                <w:noProof/>
                <w:webHidden/>
              </w:rPr>
              <w:fldChar w:fldCharType="separate"/>
            </w:r>
            <w:r>
              <w:rPr>
                <w:noProof/>
                <w:webHidden/>
              </w:rPr>
              <w:t>18</w:t>
            </w:r>
            <w:r>
              <w:rPr>
                <w:noProof/>
                <w:webHidden/>
              </w:rPr>
              <w:fldChar w:fldCharType="end"/>
            </w:r>
          </w:hyperlink>
        </w:p>
        <w:p w14:paraId="74581835" w14:textId="673CAA05" w:rsidR="00602B94" w:rsidRDefault="00602B94">
          <w:pPr>
            <w:pStyle w:val="TOC1"/>
            <w:tabs>
              <w:tab w:val="right" w:leader="dot" w:pos="9016"/>
            </w:tabs>
            <w:rPr>
              <w:rFonts w:eastAsiaTheme="minorEastAsia"/>
              <w:noProof/>
              <w:sz w:val="24"/>
              <w:szCs w:val="24"/>
              <w:lang w:eastAsia="en-GB"/>
            </w:rPr>
          </w:pPr>
          <w:hyperlink w:anchor="_Toc224479698" w:history="1">
            <w:r w:rsidRPr="00964B60">
              <w:rPr>
                <w:rStyle w:val="Hyperlink"/>
                <w:rFonts w:ascii="Arial" w:hAnsi="Arial" w:cs="Arial"/>
                <w:noProof/>
              </w:rPr>
              <w:t>8. Conclusion</w:t>
            </w:r>
            <w:r>
              <w:rPr>
                <w:noProof/>
                <w:webHidden/>
              </w:rPr>
              <w:tab/>
            </w:r>
            <w:r>
              <w:rPr>
                <w:noProof/>
                <w:webHidden/>
              </w:rPr>
              <w:fldChar w:fldCharType="begin"/>
            </w:r>
            <w:r>
              <w:rPr>
                <w:noProof/>
                <w:webHidden/>
              </w:rPr>
              <w:instrText xml:space="preserve"> PAGEREF _Toc224479698 \h </w:instrText>
            </w:r>
            <w:r>
              <w:rPr>
                <w:noProof/>
                <w:webHidden/>
              </w:rPr>
            </w:r>
            <w:r>
              <w:rPr>
                <w:noProof/>
                <w:webHidden/>
              </w:rPr>
              <w:fldChar w:fldCharType="separate"/>
            </w:r>
            <w:r>
              <w:rPr>
                <w:noProof/>
                <w:webHidden/>
              </w:rPr>
              <w:t>19</w:t>
            </w:r>
            <w:r>
              <w:rPr>
                <w:noProof/>
                <w:webHidden/>
              </w:rPr>
              <w:fldChar w:fldCharType="end"/>
            </w:r>
          </w:hyperlink>
        </w:p>
        <w:p w14:paraId="72A5A901" w14:textId="22D8E33B" w:rsidR="00602B94" w:rsidRDefault="00602B94">
          <w:pPr>
            <w:pStyle w:val="TOC1"/>
            <w:tabs>
              <w:tab w:val="right" w:leader="dot" w:pos="9016"/>
            </w:tabs>
            <w:rPr>
              <w:rFonts w:eastAsiaTheme="minorEastAsia"/>
              <w:noProof/>
              <w:sz w:val="24"/>
              <w:szCs w:val="24"/>
              <w:lang w:eastAsia="en-GB"/>
            </w:rPr>
          </w:pPr>
          <w:hyperlink w:anchor="_Toc224479699" w:history="1">
            <w:r w:rsidRPr="00964B60">
              <w:rPr>
                <w:rStyle w:val="Hyperlink"/>
                <w:rFonts w:ascii="Arial" w:hAnsi="Arial" w:cs="Arial"/>
                <w:noProof/>
              </w:rPr>
              <w:t>9.References</w:t>
            </w:r>
            <w:r>
              <w:rPr>
                <w:noProof/>
                <w:webHidden/>
              </w:rPr>
              <w:tab/>
            </w:r>
            <w:r>
              <w:rPr>
                <w:noProof/>
                <w:webHidden/>
              </w:rPr>
              <w:fldChar w:fldCharType="begin"/>
            </w:r>
            <w:r>
              <w:rPr>
                <w:noProof/>
                <w:webHidden/>
              </w:rPr>
              <w:instrText xml:space="preserve"> PAGEREF _Toc224479699 \h </w:instrText>
            </w:r>
            <w:r>
              <w:rPr>
                <w:noProof/>
                <w:webHidden/>
              </w:rPr>
            </w:r>
            <w:r>
              <w:rPr>
                <w:noProof/>
                <w:webHidden/>
              </w:rPr>
              <w:fldChar w:fldCharType="separate"/>
            </w:r>
            <w:r>
              <w:rPr>
                <w:noProof/>
                <w:webHidden/>
              </w:rPr>
              <w:t>20</w:t>
            </w:r>
            <w:r>
              <w:rPr>
                <w:noProof/>
                <w:webHidden/>
              </w:rPr>
              <w:fldChar w:fldCharType="end"/>
            </w:r>
          </w:hyperlink>
        </w:p>
        <w:p w14:paraId="658384E3" w14:textId="58518007" w:rsidR="000569ED" w:rsidRDefault="000569ED">
          <w:r>
            <w:rPr>
              <w:b/>
              <w:bCs/>
            </w:rPr>
            <w:fldChar w:fldCharType="end"/>
          </w:r>
        </w:p>
      </w:sdtContent>
    </w:sdt>
    <w:p w14:paraId="4E474675" w14:textId="77777777" w:rsidR="000569ED" w:rsidRDefault="000569ED" w:rsidP="00405D38">
      <w:pPr>
        <w:spacing w:line="360" w:lineRule="auto"/>
        <w:jc w:val="both"/>
        <w:rPr>
          <w:rFonts w:ascii="Arial" w:hAnsi="Arial" w:cs="Arial"/>
        </w:rPr>
      </w:pPr>
    </w:p>
    <w:p w14:paraId="46DAAB90" w14:textId="77777777" w:rsidR="000569ED" w:rsidRDefault="000569ED" w:rsidP="00405D38">
      <w:pPr>
        <w:spacing w:line="360" w:lineRule="auto"/>
        <w:jc w:val="both"/>
        <w:rPr>
          <w:rFonts w:ascii="Arial" w:hAnsi="Arial" w:cs="Arial"/>
        </w:rPr>
      </w:pPr>
    </w:p>
    <w:p w14:paraId="397EC6DA" w14:textId="77777777" w:rsidR="000569ED" w:rsidRDefault="000569ED" w:rsidP="00405D38">
      <w:pPr>
        <w:spacing w:line="360" w:lineRule="auto"/>
        <w:jc w:val="both"/>
        <w:rPr>
          <w:rFonts w:ascii="Arial" w:hAnsi="Arial" w:cs="Arial"/>
        </w:rPr>
      </w:pPr>
    </w:p>
    <w:p w14:paraId="2F21BF14" w14:textId="77777777" w:rsidR="000569ED" w:rsidRDefault="000569ED" w:rsidP="00405D38">
      <w:pPr>
        <w:spacing w:line="360" w:lineRule="auto"/>
        <w:jc w:val="both"/>
        <w:rPr>
          <w:rFonts w:ascii="Arial" w:hAnsi="Arial" w:cs="Arial"/>
        </w:rPr>
      </w:pPr>
    </w:p>
    <w:p w14:paraId="338B2C03" w14:textId="77777777" w:rsidR="000569ED" w:rsidRDefault="000569ED" w:rsidP="00405D38">
      <w:pPr>
        <w:spacing w:line="360" w:lineRule="auto"/>
        <w:jc w:val="both"/>
        <w:rPr>
          <w:rFonts w:ascii="Arial" w:hAnsi="Arial" w:cs="Arial"/>
        </w:rPr>
      </w:pPr>
    </w:p>
    <w:p w14:paraId="7228D9FC" w14:textId="77777777" w:rsidR="000569ED" w:rsidRDefault="000569ED" w:rsidP="00405D38">
      <w:pPr>
        <w:spacing w:line="360" w:lineRule="auto"/>
        <w:jc w:val="both"/>
        <w:rPr>
          <w:rFonts w:ascii="Arial" w:hAnsi="Arial" w:cs="Arial"/>
        </w:rPr>
      </w:pPr>
    </w:p>
    <w:p w14:paraId="37A885ED" w14:textId="77777777" w:rsidR="000569ED" w:rsidRDefault="000569ED" w:rsidP="00405D38">
      <w:pPr>
        <w:spacing w:line="360" w:lineRule="auto"/>
        <w:jc w:val="both"/>
        <w:rPr>
          <w:rFonts w:ascii="Arial" w:hAnsi="Arial" w:cs="Arial"/>
        </w:rPr>
      </w:pPr>
    </w:p>
    <w:p w14:paraId="0356D040" w14:textId="77777777" w:rsidR="000569ED" w:rsidRDefault="000569ED" w:rsidP="00405D38">
      <w:pPr>
        <w:spacing w:line="360" w:lineRule="auto"/>
        <w:jc w:val="both"/>
        <w:rPr>
          <w:rFonts w:ascii="Arial" w:hAnsi="Arial" w:cs="Arial"/>
        </w:rPr>
      </w:pPr>
    </w:p>
    <w:p w14:paraId="27198D34" w14:textId="77777777" w:rsidR="000569ED" w:rsidRDefault="000569ED" w:rsidP="00405D38">
      <w:pPr>
        <w:spacing w:line="360" w:lineRule="auto"/>
        <w:jc w:val="both"/>
        <w:rPr>
          <w:rFonts w:ascii="Arial" w:hAnsi="Arial" w:cs="Arial"/>
        </w:rPr>
      </w:pPr>
    </w:p>
    <w:p w14:paraId="40E7B19F" w14:textId="77777777" w:rsidR="000569ED" w:rsidRDefault="000569ED" w:rsidP="00405D38">
      <w:pPr>
        <w:spacing w:line="360" w:lineRule="auto"/>
        <w:jc w:val="both"/>
        <w:rPr>
          <w:rFonts w:ascii="Arial" w:hAnsi="Arial" w:cs="Arial"/>
        </w:rPr>
      </w:pPr>
    </w:p>
    <w:p w14:paraId="7A03EB67" w14:textId="77777777" w:rsidR="000569ED" w:rsidRDefault="000569ED" w:rsidP="00405D38">
      <w:pPr>
        <w:spacing w:line="360" w:lineRule="auto"/>
        <w:jc w:val="both"/>
        <w:rPr>
          <w:rFonts w:ascii="Arial" w:hAnsi="Arial" w:cs="Arial"/>
        </w:rPr>
      </w:pPr>
    </w:p>
    <w:p w14:paraId="30358196" w14:textId="77777777" w:rsidR="000569ED" w:rsidRDefault="000569ED" w:rsidP="00405D38">
      <w:pPr>
        <w:spacing w:line="360" w:lineRule="auto"/>
        <w:jc w:val="both"/>
        <w:rPr>
          <w:rFonts w:ascii="Arial" w:hAnsi="Arial" w:cs="Arial"/>
        </w:rPr>
      </w:pPr>
    </w:p>
    <w:p w14:paraId="4CCC10E4" w14:textId="77777777" w:rsidR="000569ED" w:rsidRDefault="000569ED" w:rsidP="00405D38">
      <w:pPr>
        <w:spacing w:line="360" w:lineRule="auto"/>
        <w:jc w:val="both"/>
        <w:rPr>
          <w:rFonts w:ascii="Arial" w:hAnsi="Arial" w:cs="Arial"/>
        </w:rPr>
      </w:pPr>
    </w:p>
    <w:p w14:paraId="5834E8CD" w14:textId="77777777" w:rsidR="000569ED" w:rsidRDefault="000569ED" w:rsidP="00405D38">
      <w:pPr>
        <w:spacing w:line="360" w:lineRule="auto"/>
        <w:jc w:val="both"/>
        <w:rPr>
          <w:rFonts w:ascii="Arial" w:hAnsi="Arial" w:cs="Arial"/>
        </w:rPr>
      </w:pPr>
    </w:p>
    <w:p w14:paraId="5685E753" w14:textId="77777777" w:rsidR="000569ED" w:rsidRDefault="000569ED" w:rsidP="00405D38">
      <w:pPr>
        <w:spacing w:line="360" w:lineRule="auto"/>
        <w:jc w:val="both"/>
        <w:rPr>
          <w:rFonts w:ascii="Arial" w:hAnsi="Arial" w:cs="Arial"/>
        </w:rPr>
      </w:pPr>
    </w:p>
    <w:p w14:paraId="57280E7B" w14:textId="77777777" w:rsidR="000569ED" w:rsidRPr="00112FD1" w:rsidRDefault="000569ED" w:rsidP="00405D38">
      <w:pPr>
        <w:spacing w:line="360" w:lineRule="auto"/>
        <w:jc w:val="both"/>
        <w:rPr>
          <w:rFonts w:ascii="Arial" w:hAnsi="Arial" w:cs="Arial"/>
        </w:rPr>
      </w:pPr>
    </w:p>
    <w:p w14:paraId="155A8B45" w14:textId="23E0F60D" w:rsidR="004467E6" w:rsidRPr="00112FD1" w:rsidRDefault="004467E6" w:rsidP="00405D38">
      <w:pPr>
        <w:pStyle w:val="Heading1"/>
        <w:spacing w:line="360" w:lineRule="auto"/>
        <w:jc w:val="both"/>
        <w:rPr>
          <w:rFonts w:ascii="Arial" w:hAnsi="Arial" w:cs="Arial"/>
        </w:rPr>
      </w:pPr>
      <w:bookmarkStart w:id="1" w:name="_Toc224479679"/>
      <w:r w:rsidRPr="00112FD1">
        <w:rPr>
          <w:rFonts w:ascii="Arial" w:hAnsi="Arial" w:cs="Arial"/>
        </w:rPr>
        <w:t>Introduction</w:t>
      </w:r>
      <w:bookmarkEnd w:id="1"/>
      <w:r w:rsidRPr="00112FD1">
        <w:rPr>
          <w:rFonts w:ascii="Arial" w:hAnsi="Arial" w:cs="Arial"/>
        </w:rPr>
        <w:t xml:space="preserve"> </w:t>
      </w:r>
    </w:p>
    <w:p w14:paraId="5F241C21" w14:textId="77777777" w:rsidR="00C97685" w:rsidRPr="00C97685" w:rsidRDefault="00C97685" w:rsidP="00405D38">
      <w:pPr>
        <w:spacing w:line="360" w:lineRule="auto"/>
        <w:jc w:val="both"/>
        <w:rPr>
          <w:rFonts w:ascii="Arial" w:hAnsi="Arial" w:cs="Arial"/>
        </w:rPr>
      </w:pPr>
      <w:r w:rsidRPr="00C97685">
        <w:rPr>
          <w:rFonts w:ascii="Arial" w:hAnsi="Arial" w:cs="Arial"/>
        </w:rPr>
        <w:t xml:space="preserve">Innocent Drinks is a UK-based beverage company founded in </w:t>
      </w:r>
      <w:r w:rsidRPr="00C97685">
        <w:rPr>
          <w:rFonts w:ascii="Arial" w:hAnsi="Arial" w:cs="Arial"/>
          <w:b/>
          <w:bCs/>
        </w:rPr>
        <w:t>1998 in London by Richard Reed, Adam Balon and Jon Wright</w:t>
      </w:r>
      <w:r w:rsidRPr="00C97685">
        <w:rPr>
          <w:rFonts w:ascii="Arial" w:hAnsi="Arial" w:cs="Arial"/>
        </w:rPr>
        <w:t>. The idea emerged when the founders recognised a growing demand for healthier beverage alternatives made from natural ingredients. Initially, the company focused on producing smoothies and juices made from fresh fruit without concentrates, additives or preservatives, which helped Innocent differentiate its products within the beverage market (Sahlman, 2004).</w:t>
      </w:r>
    </w:p>
    <w:p w14:paraId="0757F429" w14:textId="77777777" w:rsidR="00C97685" w:rsidRPr="00C97685" w:rsidRDefault="00C97685" w:rsidP="00405D38">
      <w:pPr>
        <w:spacing w:line="360" w:lineRule="auto"/>
        <w:jc w:val="both"/>
        <w:rPr>
          <w:rFonts w:ascii="Arial" w:hAnsi="Arial" w:cs="Arial"/>
        </w:rPr>
      </w:pPr>
      <w:r w:rsidRPr="00C97685">
        <w:rPr>
          <w:rFonts w:ascii="Arial" w:hAnsi="Arial" w:cs="Arial"/>
        </w:rPr>
        <w:t>The founders also recognised that consumers were becoming increasingly interested in healthier lifestyles and convenient food and drink options. As a result, Innocent developed a business model centred on providing natural, high-quality beverages through retail channels such as supermarkets, cafés and convenience stores (Sahlman, 2004). This strong emphasis on natural ingredients and product transparency became a key element of the company’s brand identity.</w:t>
      </w:r>
    </w:p>
    <w:p w14:paraId="543E7806" w14:textId="77777777" w:rsidR="00C97685" w:rsidRPr="00C97685" w:rsidRDefault="00C97685" w:rsidP="00405D38">
      <w:pPr>
        <w:spacing w:line="360" w:lineRule="auto"/>
        <w:jc w:val="both"/>
        <w:rPr>
          <w:rFonts w:ascii="Arial" w:hAnsi="Arial" w:cs="Arial"/>
        </w:rPr>
      </w:pPr>
      <w:r w:rsidRPr="00C97685">
        <w:rPr>
          <w:rFonts w:ascii="Arial" w:hAnsi="Arial" w:cs="Arial"/>
        </w:rPr>
        <w:t>Innocent’s mission is to produce natural drinks that support consumer wellbeing while maintaining a commitment to sustainability and responsible business practices (Innocent Drinks, 2024). These values are reflected in the company’s ethical sourcing, environmentally friendly packaging and transparent communication with customers.</w:t>
      </w:r>
    </w:p>
    <w:p w14:paraId="7B8F61AE" w14:textId="77777777" w:rsidR="00C97685" w:rsidRPr="00C97685" w:rsidRDefault="00C97685" w:rsidP="00405D38">
      <w:pPr>
        <w:spacing w:line="360" w:lineRule="auto"/>
        <w:jc w:val="both"/>
        <w:rPr>
          <w:rFonts w:ascii="Arial" w:hAnsi="Arial" w:cs="Arial"/>
        </w:rPr>
      </w:pPr>
      <w:r w:rsidRPr="00C97685">
        <w:rPr>
          <w:rFonts w:ascii="Arial" w:hAnsi="Arial" w:cs="Arial"/>
        </w:rPr>
        <w:t xml:space="preserve">Over time, Innocent established a strong position in the UK smoothie market, achieving around </w:t>
      </w:r>
      <w:r w:rsidRPr="00C97685">
        <w:rPr>
          <w:rFonts w:ascii="Arial" w:hAnsi="Arial" w:cs="Arial"/>
          <w:b/>
          <w:bCs/>
        </w:rPr>
        <w:t>30% market share</w:t>
      </w:r>
      <w:r w:rsidRPr="00C97685">
        <w:rPr>
          <w:rFonts w:ascii="Arial" w:hAnsi="Arial" w:cs="Arial"/>
        </w:rPr>
        <w:t xml:space="preserve"> and outperforming competitors such as PJ Smoothies (Sahlman, 2004).</w:t>
      </w:r>
    </w:p>
    <w:p w14:paraId="0032A5E8" w14:textId="77777777" w:rsidR="004467E6" w:rsidRPr="00112FD1" w:rsidRDefault="004467E6" w:rsidP="00405D38">
      <w:pPr>
        <w:spacing w:line="360" w:lineRule="auto"/>
        <w:jc w:val="both"/>
        <w:rPr>
          <w:rFonts w:ascii="Arial" w:hAnsi="Arial" w:cs="Arial"/>
        </w:rPr>
      </w:pPr>
    </w:p>
    <w:p w14:paraId="6AAB6CC0" w14:textId="77777777" w:rsidR="005B416A" w:rsidRPr="00112FD1" w:rsidRDefault="005B416A" w:rsidP="00405D38">
      <w:pPr>
        <w:pStyle w:val="Heading1"/>
        <w:spacing w:line="360" w:lineRule="auto"/>
        <w:jc w:val="both"/>
        <w:rPr>
          <w:rFonts w:ascii="Arial" w:hAnsi="Arial" w:cs="Arial"/>
        </w:rPr>
      </w:pPr>
      <w:bookmarkStart w:id="2" w:name="_Toc224479680"/>
      <w:r w:rsidRPr="00112FD1">
        <w:rPr>
          <w:rFonts w:ascii="Arial" w:hAnsi="Arial" w:cs="Arial"/>
        </w:rPr>
        <w:lastRenderedPageBreak/>
        <w:t>3. Market Analysis</w:t>
      </w:r>
      <w:bookmarkEnd w:id="2"/>
    </w:p>
    <w:p w14:paraId="2EB4AC45" w14:textId="77777777" w:rsidR="00CE4AA8" w:rsidRPr="00CE4AA8" w:rsidRDefault="00CE4AA8" w:rsidP="00602B94">
      <w:pPr>
        <w:pStyle w:val="Heading2"/>
      </w:pPr>
      <w:bookmarkStart w:id="3" w:name="_Toc224479681"/>
      <w:r w:rsidRPr="00CE4AA8">
        <w:t>3.1 PESTEL Analysis</w:t>
      </w:r>
      <w:bookmarkEnd w:id="3"/>
    </w:p>
    <w:p w14:paraId="6441A257" w14:textId="77777777" w:rsidR="00CE4AA8" w:rsidRPr="00CE4AA8" w:rsidRDefault="00CE4AA8" w:rsidP="00405D38">
      <w:pPr>
        <w:spacing w:line="360" w:lineRule="auto"/>
        <w:jc w:val="both"/>
        <w:rPr>
          <w:rFonts w:ascii="Arial" w:hAnsi="Arial" w:cs="Arial"/>
        </w:rPr>
      </w:pPr>
      <w:r w:rsidRPr="00CE4AA8">
        <w:rPr>
          <w:rFonts w:ascii="Arial" w:hAnsi="Arial" w:cs="Arial"/>
        </w:rPr>
        <w:t>To understand Innocent Drinks’ strategic position, it is necessary to examine the external environment in which the company operates. Innocent does not simply sell smoothies; it competes in a market shaped by regulation, consumer behaviour, innovation pressures and growing sustainability expectations. Strategic analysis is therefore essential because firms perform differently depending on how effectively they align their internal capabilities with external conditions (Porter, 1981).</w:t>
      </w:r>
    </w:p>
    <w:p w14:paraId="44FDC430" w14:textId="77777777" w:rsidR="00CE4AA8" w:rsidRPr="00CE4AA8" w:rsidRDefault="00CE4AA8" w:rsidP="00405D38">
      <w:pPr>
        <w:spacing w:line="360" w:lineRule="auto"/>
        <w:jc w:val="both"/>
        <w:rPr>
          <w:rFonts w:ascii="Arial" w:hAnsi="Arial" w:cs="Arial"/>
        </w:rPr>
      </w:pPr>
      <w:r w:rsidRPr="00CE4AA8">
        <w:rPr>
          <w:rFonts w:ascii="Arial" w:hAnsi="Arial" w:cs="Arial"/>
        </w:rPr>
        <w:t xml:space="preserve">From a </w:t>
      </w:r>
      <w:r w:rsidRPr="00CE4AA8">
        <w:rPr>
          <w:rFonts w:ascii="Arial" w:hAnsi="Arial" w:cs="Arial"/>
          <w:b/>
          <w:bCs/>
        </w:rPr>
        <w:t>political and legal perspective</w:t>
      </w:r>
      <w:r w:rsidRPr="00CE4AA8">
        <w:rPr>
          <w:rFonts w:ascii="Arial" w:hAnsi="Arial" w:cs="Arial"/>
        </w:rPr>
        <w:t>, the beverage industry is highly regulated. Governments impose strict rules regarding food safety, product labelling, health claims and packaging standards. While such regulations may create compliance costs for many companies, they may also reinforce credibility for brands that already emphasise transparency and ethical sourcing. Innocent’s positioning as a natural and responsible brand means that stricter regulations may actually strengthen its competitive advantage by increasing consumer trust.</w:t>
      </w:r>
    </w:p>
    <w:p w14:paraId="565C4472" w14:textId="77777777" w:rsidR="00CE4AA8" w:rsidRPr="00CE4AA8" w:rsidRDefault="00CE4AA8" w:rsidP="00405D38">
      <w:pPr>
        <w:spacing w:line="360" w:lineRule="auto"/>
        <w:jc w:val="both"/>
        <w:rPr>
          <w:rFonts w:ascii="Arial" w:hAnsi="Arial" w:cs="Arial"/>
        </w:rPr>
      </w:pPr>
      <w:r w:rsidRPr="00CE4AA8">
        <w:rPr>
          <w:rFonts w:ascii="Arial" w:hAnsi="Arial" w:cs="Arial"/>
        </w:rPr>
        <w:t xml:space="preserve">The </w:t>
      </w:r>
      <w:r w:rsidRPr="00CE4AA8">
        <w:rPr>
          <w:rFonts w:ascii="Arial" w:hAnsi="Arial" w:cs="Arial"/>
          <w:b/>
          <w:bCs/>
        </w:rPr>
        <w:t>economic environment</w:t>
      </w:r>
      <w:r w:rsidRPr="00CE4AA8">
        <w:rPr>
          <w:rFonts w:ascii="Arial" w:hAnsi="Arial" w:cs="Arial"/>
        </w:rPr>
        <w:t xml:space="preserve"> presents additional challenges. Innocent products are typically positioned as premium beverages, which raises an important question during periods of economic pressure: will consumers still be willing to pay higher prices? When inflation increases and disposable income declines, some consumers may switch to cheaper alternatives such as supermarket own-brand juices. However, consumer behaviour is not determined solely by price. If customers associate Innocent with quality, health and authenticity, they may continue to perceive the brand as worth the premium price. This highlights the importance of strategic positioning, as firms compete not only on price but also on perceived value and brand differentiation (Porter, 1981).</w:t>
      </w:r>
    </w:p>
    <w:p w14:paraId="2CBAAF8B" w14:textId="77777777" w:rsidR="00CE4AA8" w:rsidRPr="00CE4AA8" w:rsidRDefault="00CE4AA8" w:rsidP="00405D38">
      <w:pPr>
        <w:spacing w:line="360" w:lineRule="auto"/>
        <w:jc w:val="both"/>
        <w:rPr>
          <w:rFonts w:ascii="Arial" w:hAnsi="Arial" w:cs="Arial"/>
        </w:rPr>
      </w:pPr>
      <w:r w:rsidRPr="00CE4AA8">
        <w:rPr>
          <w:rFonts w:ascii="Arial" w:hAnsi="Arial" w:cs="Arial"/>
        </w:rPr>
        <w:t xml:space="preserve">From a </w:t>
      </w:r>
      <w:r w:rsidRPr="00CE4AA8">
        <w:rPr>
          <w:rFonts w:ascii="Arial" w:hAnsi="Arial" w:cs="Arial"/>
          <w:b/>
          <w:bCs/>
        </w:rPr>
        <w:t>social perspective</w:t>
      </w:r>
      <w:r w:rsidRPr="00CE4AA8">
        <w:rPr>
          <w:rFonts w:ascii="Arial" w:hAnsi="Arial" w:cs="Arial"/>
        </w:rPr>
        <w:t>, Innocent benefits from a major long-term trend: growing consumer interest in health and wellbeing. Over the past two decades, consumers have become more aware of nutrition, ingredient transparency and environmental impact. Innocent was originally founded on the idea of producing simple drinks made from real fruit, which aligns strongly with these consumer preferences. The Harvard case study highlights that the company differentiated itself early through freshness, simplicity and a friendly brand voice that felt approachable rather than corporate (Sahlman, 2004). In this context, consumers are not simply buying a beverage but often purchasing a product that reflects their lifestyle choices.</w:t>
      </w:r>
    </w:p>
    <w:p w14:paraId="10ED3114" w14:textId="77777777" w:rsidR="00CE4AA8" w:rsidRPr="00CE4AA8" w:rsidRDefault="00CE4AA8" w:rsidP="00405D38">
      <w:pPr>
        <w:spacing w:line="360" w:lineRule="auto"/>
        <w:jc w:val="both"/>
        <w:rPr>
          <w:rFonts w:ascii="Arial" w:hAnsi="Arial" w:cs="Arial"/>
        </w:rPr>
      </w:pPr>
      <w:r w:rsidRPr="00CE4AA8">
        <w:rPr>
          <w:rFonts w:ascii="Arial" w:hAnsi="Arial" w:cs="Arial"/>
          <w:b/>
          <w:bCs/>
        </w:rPr>
        <w:lastRenderedPageBreak/>
        <w:t>Technological factors</w:t>
      </w:r>
      <w:r w:rsidRPr="00CE4AA8">
        <w:rPr>
          <w:rFonts w:ascii="Arial" w:hAnsi="Arial" w:cs="Arial"/>
        </w:rPr>
        <w:t xml:space="preserve"> also play a significant role in maintaining competitiveness. Innovation in packaging, logistics and product development allows beverage companies to improve efficiency and introduce new products. Innocent cannot rely solely on brand image; it must continue innovating to meet changing consumer expectations. Research on product development shows that successful innovation often depends on systematic market analysis, idea screening and structured testing processes (Cooper and Kleinschmidt, 1986). For Innocent, this means innovation should be strategically planned rather than purely creative.</w:t>
      </w:r>
    </w:p>
    <w:p w14:paraId="76808DFA" w14:textId="77777777" w:rsidR="00CE4AA8" w:rsidRPr="00CE4AA8" w:rsidRDefault="00CE4AA8" w:rsidP="00405D38">
      <w:pPr>
        <w:spacing w:line="360" w:lineRule="auto"/>
        <w:jc w:val="both"/>
        <w:rPr>
          <w:rFonts w:ascii="Arial" w:hAnsi="Arial" w:cs="Arial"/>
        </w:rPr>
      </w:pPr>
      <w:r w:rsidRPr="00CE4AA8">
        <w:rPr>
          <w:rFonts w:ascii="Arial" w:hAnsi="Arial" w:cs="Arial"/>
        </w:rPr>
        <w:t xml:space="preserve">Finally, the </w:t>
      </w:r>
      <w:r w:rsidRPr="00CE4AA8">
        <w:rPr>
          <w:rFonts w:ascii="Arial" w:hAnsi="Arial" w:cs="Arial"/>
          <w:b/>
          <w:bCs/>
        </w:rPr>
        <w:t>environmental dimension</w:t>
      </w:r>
      <w:r w:rsidRPr="00CE4AA8">
        <w:rPr>
          <w:rFonts w:ascii="Arial" w:hAnsi="Arial" w:cs="Arial"/>
        </w:rPr>
        <w:t xml:space="preserve"> is particularly relevant because sustainability forms a core part of Innocent’s brand identity. Issues such as carbon emissions, responsible sourcing and recyclable packaging increasingly influence consumer trust and corporate reputation. For a company built around ethical values, sustainability is not simply a marketing theme but a strategic necessity.</w:t>
      </w:r>
    </w:p>
    <w:p w14:paraId="3CD39520" w14:textId="77777777" w:rsidR="00CE4AA8" w:rsidRDefault="00CE4AA8" w:rsidP="00405D38">
      <w:pPr>
        <w:spacing w:line="360" w:lineRule="auto"/>
        <w:jc w:val="both"/>
        <w:rPr>
          <w:rFonts w:ascii="Arial" w:hAnsi="Arial" w:cs="Arial"/>
        </w:rPr>
      </w:pPr>
      <w:r w:rsidRPr="00CE4AA8">
        <w:rPr>
          <w:rFonts w:ascii="Arial" w:hAnsi="Arial" w:cs="Arial"/>
        </w:rPr>
        <w:t>Overall, the PESTEL analysis suggests that the external environment strongly favours brands that emphasise health, transparency and sustainability. However, these advantages can only be maintained if Innocent continues to justify its premium positioning through innovation and credibility.</w:t>
      </w:r>
    </w:p>
    <w:p w14:paraId="664D5C14" w14:textId="3928422F" w:rsidR="000E653F" w:rsidRDefault="000E653F" w:rsidP="00405D38">
      <w:pPr>
        <w:spacing w:line="360" w:lineRule="auto"/>
        <w:jc w:val="both"/>
        <w:rPr>
          <w:rFonts w:ascii="Arial" w:hAnsi="Arial" w:cs="Arial"/>
        </w:rPr>
      </w:pPr>
      <w:r>
        <w:rPr>
          <w:rFonts w:ascii="Arial" w:hAnsi="Arial" w:cs="Arial"/>
          <w:noProof/>
        </w:rPr>
        <w:lastRenderedPageBreak/>
        <w:drawing>
          <wp:inline distT="0" distB="0" distL="0" distR="0" wp14:anchorId="587FE774" wp14:editId="4611D6A3">
            <wp:extent cx="5061546" cy="5068614"/>
            <wp:effectExtent l="0" t="0" r="6350" b="0"/>
            <wp:docPr id="221194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194660" name="Picture 221194660"/>
                    <pic:cNvPicPr/>
                  </pic:nvPicPr>
                  <pic:blipFill>
                    <a:blip r:embed="rId7">
                      <a:extLst>
                        <a:ext uri="{28A0092B-C50C-407E-A947-70E740481C1C}">
                          <a14:useLocalDpi xmlns:a14="http://schemas.microsoft.com/office/drawing/2010/main" val="0"/>
                        </a:ext>
                      </a:extLst>
                    </a:blip>
                    <a:stretch>
                      <a:fillRect/>
                    </a:stretch>
                  </pic:blipFill>
                  <pic:spPr>
                    <a:xfrm>
                      <a:off x="0" y="0"/>
                      <a:ext cx="5080489" cy="5087584"/>
                    </a:xfrm>
                    <a:prstGeom prst="rect">
                      <a:avLst/>
                    </a:prstGeom>
                  </pic:spPr>
                </pic:pic>
              </a:graphicData>
            </a:graphic>
          </wp:inline>
        </w:drawing>
      </w:r>
    </w:p>
    <w:p w14:paraId="612746A5" w14:textId="77777777" w:rsidR="000E653F" w:rsidRDefault="000E653F" w:rsidP="00405D38">
      <w:pPr>
        <w:spacing w:line="360" w:lineRule="auto"/>
        <w:jc w:val="both"/>
        <w:rPr>
          <w:rFonts w:ascii="Arial" w:hAnsi="Arial" w:cs="Arial"/>
        </w:rPr>
      </w:pPr>
    </w:p>
    <w:p w14:paraId="0409BDA3" w14:textId="4E39AD36" w:rsidR="009C4390" w:rsidRDefault="008527B2" w:rsidP="00405D38">
      <w:pPr>
        <w:spacing w:line="360" w:lineRule="auto"/>
        <w:jc w:val="both"/>
        <w:rPr>
          <w:rFonts w:ascii="Arial" w:hAnsi="Arial" w:cs="Arial"/>
        </w:rPr>
      </w:pPr>
      <w:r>
        <w:rPr>
          <w:rFonts w:ascii="Arial" w:hAnsi="Arial" w:cs="Arial"/>
        </w:rPr>
        <w:t>Figure 1: Pestel analysis</w:t>
      </w:r>
    </w:p>
    <w:p w14:paraId="0DDDE4B0" w14:textId="77777777" w:rsidR="009C4390" w:rsidRDefault="009C4390" w:rsidP="00405D38">
      <w:pPr>
        <w:spacing w:line="360" w:lineRule="auto"/>
        <w:jc w:val="both"/>
        <w:rPr>
          <w:rFonts w:ascii="Arial" w:hAnsi="Arial" w:cs="Arial"/>
        </w:rPr>
      </w:pPr>
    </w:p>
    <w:p w14:paraId="150E864C" w14:textId="77777777" w:rsidR="009C4390" w:rsidRDefault="009C4390" w:rsidP="00405D38">
      <w:pPr>
        <w:spacing w:line="360" w:lineRule="auto"/>
        <w:jc w:val="both"/>
        <w:rPr>
          <w:rFonts w:ascii="Arial" w:hAnsi="Arial" w:cs="Arial"/>
        </w:rPr>
      </w:pPr>
    </w:p>
    <w:p w14:paraId="40F75585" w14:textId="77777777" w:rsidR="009C4390" w:rsidRDefault="009C4390" w:rsidP="00405D38">
      <w:pPr>
        <w:spacing w:line="360" w:lineRule="auto"/>
        <w:jc w:val="both"/>
        <w:rPr>
          <w:rFonts w:ascii="Arial" w:hAnsi="Arial" w:cs="Arial"/>
        </w:rPr>
      </w:pPr>
    </w:p>
    <w:p w14:paraId="58C9AA48" w14:textId="77777777" w:rsidR="009C4390" w:rsidRDefault="009C4390" w:rsidP="00405D38">
      <w:pPr>
        <w:spacing w:line="360" w:lineRule="auto"/>
        <w:jc w:val="both"/>
        <w:rPr>
          <w:rFonts w:ascii="Arial" w:hAnsi="Arial" w:cs="Arial"/>
        </w:rPr>
      </w:pPr>
    </w:p>
    <w:p w14:paraId="11572B95" w14:textId="77777777" w:rsidR="000E653F" w:rsidRPr="00CE4AA8" w:rsidRDefault="000E653F" w:rsidP="00602B94">
      <w:pPr>
        <w:pStyle w:val="Heading2"/>
      </w:pPr>
    </w:p>
    <w:p w14:paraId="1C0CB648" w14:textId="77777777" w:rsidR="00CE4AA8" w:rsidRPr="00CE4AA8" w:rsidRDefault="00CE4AA8" w:rsidP="00602B94">
      <w:pPr>
        <w:pStyle w:val="Heading2"/>
        <w:rPr>
          <w:b/>
          <w:bCs/>
        </w:rPr>
      </w:pPr>
      <w:bookmarkStart w:id="4" w:name="_Toc224479682"/>
      <w:r w:rsidRPr="00CE4AA8">
        <w:rPr>
          <w:b/>
          <w:bCs/>
        </w:rPr>
        <w:t>3.2 Porter’s Five Forces</w:t>
      </w:r>
      <w:bookmarkEnd w:id="4"/>
    </w:p>
    <w:p w14:paraId="2EB9B0D7" w14:textId="77777777" w:rsidR="00CE4AA8" w:rsidRPr="00CE4AA8" w:rsidRDefault="00CE4AA8" w:rsidP="00405D38">
      <w:pPr>
        <w:spacing w:line="360" w:lineRule="auto"/>
        <w:jc w:val="both"/>
        <w:rPr>
          <w:rFonts w:ascii="Arial" w:hAnsi="Arial" w:cs="Arial"/>
        </w:rPr>
      </w:pPr>
      <w:r w:rsidRPr="00CE4AA8">
        <w:rPr>
          <w:rFonts w:ascii="Arial" w:hAnsi="Arial" w:cs="Arial"/>
        </w:rPr>
        <w:t xml:space="preserve">While PESTEL analysis examines the broader environment, </w:t>
      </w:r>
      <w:r w:rsidRPr="00CE4AA8">
        <w:rPr>
          <w:rFonts w:ascii="Arial" w:hAnsi="Arial" w:cs="Arial"/>
          <w:b/>
          <w:bCs/>
        </w:rPr>
        <w:t>Porter’s Five Forces framework</w:t>
      </w:r>
      <w:r w:rsidRPr="00CE4AA8">
        <w:rPr>
          <w:rFonts w:ascii="Arial" w:hAnsi="Arial" w:cs="Arial"/>
        </w:rPr>
        <w:t xml:space="preserve"> helps evaluate the level of competition within the beverage industry. According to Porter </w:t>
      </w:r>
      <w:r w:rsidRPr="00CE4AA8">
        <w:rPr>
          <w:rFonts w:ascii="Arial" w:hAnsi="Arial" w:cs="Arial"/>
        </w:rPr>
        <w:lastRenderedPageBreak/>
        <w:t>(1980), industry profitability is influenced by rivalry among competitors, the threat of new entrants, supplier power, buyer power and the threat of substitute products.</w:t>
      </w:r>
    </w:p>
    <w:p w14:paraId="24C1E2ED" w14:textId="77777777" w:rsidR="00CE4AA8" w:rsidRPr="00CE4AA8" w:rsidRDefault="00CE4AA8" w:rsidP="00405D38">
      <w:pPr>
        <w:spacing w:line="360" w:lineRule="auto"/>
        <w:jc w:val="both"/>
        <w:rPr>
          <w:rFonts w:ascii="Arial" w:hAnsi="Arial" w:cs="Arial"/>
        </w:rPr>
      </w:pPr>
      <w:r w:rsidRPr="00CE4AA8">
        <w:rPr>
          <w:rFonts w:ascii="Arial" w:hAnsi="Arial" w:cs="Arial"/>
        </w:rPr>
        <w:t xml:space="preserve">First, </w:t>
      </w:r>
      <w:r w:rsidRPr="00CE4AA8">
        <w:rPr>
          <w:rFonts w:ascii="Arial" w:hAnsi="Arial" w:cs="Arial"/>
          <w:b/>
          <w:bCs/>
        </w:rPr>
        <w:t>competitive rivalry</w:t>
      </w:r>
      <w:r w:rsidRPr="00CE4AA8">
        <w:rPr>
          <w:rFonts w:ascii="Arial" w:hAnsi="Arial" w:cs="Arial"/>
        </w:rPr>
        <w:t xml:space="preserve"> within the beverage market is extremely intense. Innocent does not compete only with other smoothie brands but also with juices, flavoured waters, energy drinks, plant-based beverages and retailer own-label products. The Harvard case study shows that even after surpassing competitors such as PJ Smoothies in the UK market, Innocent continued to face increasing competition from supermarket brands and multinational beverage companies (Sahlman, 2004). This illustrates an important reality of competitive markets: success often attracts new competitors.</w:t>
      </w:r>
    </w:p>
    <w:p w14:paraId="3D2B6821" w14:textId="77777777" w:rsidR="00CE4AA8" w:rsidRPr="00CE4AA8" w:rsidRDefault="00CE4AA8" w:rsidP="00405D38">
      <w:pPr>
        <w:spacing w:line="360" w:lineRule="auto"/>
        <w:jc w:val="both"/>
        <w:rPr>
          <w:rFonts w:ascii="Arial" w:hAnsi="Arial" w:cs="Arial"/>
        </w:rPr>
      </w:pPr>
      <w:r w:rsidRPr="00CE4AA8">
        <w:rPr>
          <w:rFonts w:ascii="Arial" w:hAnsi="Arial" w:cs="Arial"/>
        </w:rPr>
        <w:t xml:space="preserve">Second, the </w:t>
      </w:r>
      <w:r w:rsidRPr="00CE4AA8">
        <w:rPr>
          <w:rFonts w:ascii="Arial" w:hAnsi="Arial" w:cs="Arial"/>
          <w:b/>
          <w:bCs/>
        </w:rPr>
        <w:t>threat of new entrants</w:t>
      </w:r>
      <w:r w:rsidRPr="00CE4AA8">
        <w:rPr>
          <w:rFonts w:ascii="Arial" w:hAnsi="Arial" w:cs="Arial"/>
        </w:rPr>
        <w:t xml:space="preserve"> is moderate. Launching a beverage product may appear relatively simple, but building a successful brand requires significant investment in marketing, distribution and consumer trust. New companies must secure relationships with retailers and develop a distinctive brand identity. Market research therefore becomes essential in understanding consumer needs and reducing uncertainty when introducing new products (Greenley and Bayus, 1993).</w:t>
      </w:r>
    </w:p>
    <w:p w14:paraId="45467F26" w14:textId="77777777" w:rsidR="00CE4AA8" w:rsidRPr="00CE4AA8" w:rsidRDefault="00CE4AA8" w:rsidP="00405D38">
      <w:pPr>
        <w:spacing w:line="360" w:lineRule="auto"/>
        <w:jc w:val="both"/>
        <w:rPr>
          <w:rFonts w:ascii="Arial" w:hAnsi="Arial" w:cs="Arial"/>
        </w:rPr>
      </w:pPr>
      <w:r w:rsidRPr="00CE4AA8">
        <w:rPr>
          <w:rFonts w:ascii="Arial" w:hAnsi="Arial" w:cs="Arial"/>
        </w:rPr>
        <w:t xml:space="preserve">Third, </w:t>
      </w:r>
      <w:r w:rsidRPr="00CE4AA8">
        <w:rPr>
          <w:rFonts w:ascii="Arial" w:hAnsi="Arial" w:cs="Arial"/>
          <w:b/>
          <w:bCs/>
        </w:rPr>
        <w:t>supplier power</w:t>
      </w:r>
      <w:r w:rsidRPr="00CE4AA8">
        <w:rPr>
          <w:rFonts w:ascii="Arial" w:hAnsi="Arial" w:cs="Arial"/>
        </w:rPr>
        <w:t xml:space="preserve"> can influence operational stability. Innocent relies heavily on agricultural inputs such as fruit and packaging materials, which may be affected by climate conditions, supply disruptions and price volatility. A company committed to natural ingredients may therefore face higher exposure to supply chain risks compared with competitors relying on artificial ingredients.</w:t>
      </w:r>
    </w:p>
    <w:p w14:paraId="3C88A162" w14:textId="77777777" w:rsidR="00CE4AA8" w:rsidRPr="00CE4AA8" w:rsidRDefault="00CE4AA8" w:rsidP="00405D38">
      <w:pPr>
        <w:spacing w:line="360" w:lineRule="auto"/>
        <w:jc w:val="both"/>
        <w:rPr>
          <w:rFonts w:ascii="Arial" w:hAnsi="Arial" w:cs="Arial"/>
        </w:rPr>
      </w:pPr>
      <w:r w:rsidRPr="00CE4AA8">
        <w:rPr>
          <w:rFonts w:ascii="Arial" w:hAnsi="Arial" w:cs="Arial"/>
        </w:rPr>
        <w:t xml:space="preserve">Fourth, </w:t>
      </w:r>
      <w:r w:rsidRPr="00CE4AA8">
        <w:rPr>
          <w:rFonts w:ascii="Arial" w:hAnsi="Arial" w:cs="Arial"/>
          <w:b/>
          <w:bCs/>
        </w:rPr>
        <w:t>buyer power</w:t>
      </w:r>
      <w:r w:rsidRPr="00CE4AA8">
        <w:rPr>
          <w:rFonts w:ascii="Arial" w:hAnsi="Arial" w:cs="Arial"/>
        </w:rPr>
        <w:t xml:space="preserve"> is significant because supermarkets control distribution channels and shelf space. Retailers often negotiate aggressively over pricing and promotional placement, which can reduce margins. Consumers also have strong bargaining power because they can easily switch to alternative beverage products.</w:t>
      </w:r>
    </w:p>
    <w:p w14:paraId="60A3F881" w14:textId="77777777" w:rsidR="00CE4AA8" w:rsidRPr="00CE4AA8" w:rsidRDefault="00CE4AA8" w:rsidP="00405D38">
      <w:pPr>
        <w:spacing w:line="360" w:lineRule="auto"/>
        <w:jc w:val="both"/>
        <w:rPr>
          <w:rFonts w:ascii="Arial" w:hAnsi="Arial" w:cs="Arial"/>
        </w:rPr>
      </w:pPr>
      <w:r w:rsidRPr="00CE4AA8">
        <w:rPr>
          <w:rFonts w:ascii="Arial" w:hAnsi="Arial" w:cs="Arial"/>
        </w:rPr>
        <w:t xml:space="preserve">Finally, the </w:t>
      </w:r>
      <w:r w:rsidRPr="00CE4AA8">
        <w:rPr>
          <w:rFonts w:ascii="Arial" w:hAnsi="Arial" w:cs="Arial"/>
          <w:b/>
          <w:bCs/>
        </w:rPr>
        <w:t>threat of substitutes</w:t>
      </w:r>
      <w:r w:rsidRPr="00CE4AA8">
        <w:rPr>
          <w:rFonts w:ascii="Arial" w:hAnsi="Arial" w:cs="Arial"/>
        </w:rPr>
        <w:t xml:space="preserve"> remains extremely high. A consumer choosing a drink may consider smoothies, juices, energy drinks, protein beverages or bottled water. As a result, Innocent must continuously justify why its products deserve consumer attention.</w:t>
      </w:r>
    </w:p>
    <w:p w14:paraId="0D8146C8" w14:textId="77777777" w:rsidR="00CE4AA8" w:rsidRDefault="00CE4AA8" w:rsidP="00405D38">
      <w:pPr>
        <w:spacing w:line="360" w:lineRule="auto"/>
        <w:jc w:val="both"/>
        <w:rPr>
          <w:rFonts w:ascii="Arial" w:hAnsi="Arial" w:cs="Arial"/>
        </w:rPr>
      </w:pPr>
      <w:r w:rsidRPr="00CE4AA8">
        <w:rPr>
          <w:rFonts w:ascii="Arial" w:hAnsi="Arial" w:cs="Arial"/>
        </w:rPr>
        <w:t>Overall, Porter’s model indicates that Innocent operates in a highly competitive industry where strong branding and differentiation are essential for maintaining market position.</w:t>
      </w:r>
    </w:p>
    <w:p w14:paraId="3F0148AA" w14:textId="77777777" w:rsidR="009C4390" w:rsidRDefault="009C4390" w:rsidP="00405D38">
      <w:pPr>
        <w:spacing w:line="360" w:lineRule="auto"/>
        <w:jc w:val="both"/>
        <w:rPr>
          <w:rFonts w:ascii="Arial" w:hAnsi="Arial" w:cs="Arial"/>
        </w:rPr>
      </w:pPr>
    </w:p>
    <w:p w14:paraId="4C267BC3" w14:textId="77777777" w:rsidR="009C4390" w:rsidRDefault="009C4390" w:rsidP="00405D38">
      <w:pPr>
        <w:spacing w:line="360" w:lineRule="auto"/>
        <w:jc w:val="both"/>
        <w:rPr>
          <w:rFonts w:ascii="Arial" w:hAnsi="Arial" w:cs="Arial"/>
        </w:rPr>
      </w:pPr>
    </w:p>
    <w:p w14:paraId="2DFBFA96" w14:textId="77777777" w:rsidR="009C4390" w:rsidRDefault="009C4390" w:rsidP="00405D38">
      <w:pPr>
        <w:spacing w:line="360" w:lineRule="auto"/>
        <w:jc w:val="both"/>
        <w:rPr>
          <w:rFonts w:ascii="Arial" w:hAnsi="Arial" w:cs="Arial"/>
        </w:rPr>
      </w:pPr>
    </w:p>
    <w:p w14:paraId="5AFBFD24" w14:textId="77777777" w:rsidR="009C4390" w:rsidRDefault="009C4390" w:rsidP="00405D38">
      <w:pPr>
        <w:spacing w:line="360" w:lineRule="auto"/>
        <w:jc w:val="both"/>
        <w:rPr>
          <w:rFonts w:ascii="Arial" w:hAnsi="Arial" w:cs="Arial"/>
        </w:rPr>
      </w:pPr>
    </w:p>
    <w:p w14:paraId="4EF2CCE4" w14:textId="77777777" w:rsidR="009C4390" w:rsidRDefault="009C4390" w:rsidP="00405D38">
      <w:pPr>
        <w:spacing w:line="360" w:lineRule="auto"/>
        <w:jc w:val="both"/>
        <w:rPr>
          <w:rFonts w:ascii="Arial" w:hAnsi="Arial" w:cs="Arial"/>
        </w:rPr>
      </w:pPr>
    </w:p>
    <w:p w14:paraId="46CE6EA0" w14:textId="77777777" w:rsidR="00405D38" w:rsidRDefault="00405D38" w:rsidP="00405D38">
      <w:pPr>
        <w:spacing w:line="360" w:lineRule="auto"/>
        <w:jc w:val="both"/>
        <w:rPr>
          <w:rFonts w:ascii="Arial" w:hAnsi="Arial" w:cs="Arial"/>
        </w:rPr>
      </w:pPr>
    </w:p>
    <w:p w14:paraId="38EC0F91" w14:textId="4310193F" w:rsidR="009C4390" w:rsidRPr="009C4390" w:rsidRDefault="009C4390" w:rsidP="00405D38">
      <w:pPr>
        <w:spacing w:line="360" w:lineRule="auto"/>
        <w:jc w:val="both"/>
        <w:rPr>
          <w:rFonts w:ascii="Arial" w:hAnsi="Arial" w:cs="Arial"/>
          <w:sz w:val="32"/>
          <w:szCs w:val="32"/>
        </w:rPr>
      </w:pPr>
      <w:r w:rsidRPr="00CE4AA8">
        <w:rPr>
          <w:rFonts w:ascii="Arial" w:hAnsi="Arial" w:cs="Arial"/>
          <w:b/>
          <w:bCs/>
          <w:sz w:val="32"/>
          <w:szCs w:val="32"/>
        </w:rPr>
        <w:t>Porter’s Five Forces</w:t>
      </w:r>
    </w:p>
    <w:p w14:paraId="4EECD3C3" w14:textId="4D0CFC32" w:rsidR="009C4390" w:rsidRDefault="009C4390" w:rsidP="00405D38">
      <w:pPr>
        <w:spacing w:line="360" w:lineRule="auto"/>
        <w:jc w:val="both"/>
        <w:rPr>
          <w:rFonts w:ascii="Arial" w:hAnsi="Arial" w:cs="Arial"/>
        </w:rPr>
      </w:pPr>
      <w:r>
        <w:rPr>
          <w:rFonts w:ascii="Arial" w:hAnsi="Arial" w:cs="Arial"/>
          <w:noProof/>
        </w:rPr>
        <w:drawing>
          <wp:inline distT="0" distB="0" distL="0" distR="0" wp14:anchorId="0633F311" wp14:editId="08E45BE7">
            <wp:extent cx="6527776" cy="5229597"/>
            <wp:effectExtent l="0" t="0" r="6985" b="0"/>
            <wp:docPr id="7787229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722966" name="Picture 778722966"/>
                    <pic:cNvPicPr/>
                  </pic:nvPicPr>
                  <pic:blipFill>
                    <a:blip r:embed="rId8">
                      <a:extLst>
                        <a:ext uri="{28A0092B-C50C-407E-A947-70E740481C1C}">
                          <a14:useLocalDpi xmlns:a14="http://schemas.microsoft.com/office/drawing/2010/main" val="0"/>
                        </a:ext>
                      </a:extLst>
                    </a:blip>
                    <a:stretch>
                      <a:fillRect/>
                    </a:stretch>
                  </pic:blipFill>
                  <pic:spPr>
                    <a:xfrm>
                      <a:off x="0" y="0"/>
                      <a:ext cx="6538035" cy="5237816"/>
                    </a:xfrm>
                    <a:prstGeom prst="rect">
                      <a:avLst/>
                    </a:prstGeom>
                  </pic:spPr>
                </pic:pic>
              </a:graphicData>
            </a:graphic>
          </wp:inline>
        </w:drawing>
      </w:r>
    </w:p>
    <w:p w14:paraId="6FA9A61C" w14:textId="7CCBD988" w:rsidR="009C4390" w:rsidRDefault="00405D38" w:rsidP="00405D38">
      <w:pPr>
        <w:spacing w:line="360" w:lineRule="auto"/>
        <w:jc w:val="both"/>
        <w:rPr>
          <w:rFonts w:ascii="Arial" w:hAnsi="Arial" w:cs="Arial"/>
        </w:rPr>
      </w:pPr>
      <w:r>
        <w:rPr>
          <w:rFonts w:ascii="Arial" w:hAnsi="Arial" w:cs="Arial"/>
        </w:rPr>
        <w:t>Figure 2: Porter five force</w:t>
      </w:r>
    </w:p>
    <w:p w14:paraId="40D0B6C4" w14:textId="77777777" w:rsidR="00602B94" w:rsidRPr="00405D38" w:rsidRDefault="00602B94" w:rsidP="00405D38">
      <w:pPr>
        <w:spacing w:line="360" w:lineRule="auto"/>
        <w:jc w:val="both"/>
        <w:rPr>
          <w:rFonts w:ascii="Arial" w:hAnsi="Arial" w:cs="Arial"/>
        </w:rPr>
      </w:pPr>
    </w:p>
    <w:p w14:paraId="338518EF" w14:textId="2FC33A8B" w:rsidR="00CE4AA8" w:rsidRPr="00CE4AA8" w:rsidRDefault="00CE4AA8" w:rsidP="00602B94">
      <w:pPr>
        <w:pStyle w:val="Heading2"/>
      </w:pPr>
      <w:bookmarkStart w:id="5" w:name="_Toc224479683"/>
      <w:r w:rsidRPr="00CE4AA8">
        <w:t>3.3 SWOT Analysis</w:t>
      </w:r>
      <w:bookmarkEnd w:id="5"/>
    </w:p>
    <w:p w14:paraId="141A5E18" w14:textId="77777777" w:rsidR="00CE4AA8" w:rsidRPr="00CE4AA8" w:rsidRDefault="00CE4AA8" w:rsidP="00405D38">
      <w:pPr>
        <w:spacing w:line="360" w:lineRule="auto"/>
        <w:jc w:val="both"/>
        <w:rPr>
          <w:rFonts w:ascii="Arial" w:hAnsi="Arial" w:cs="Arial"/>
        </w:rPr>
      </w:pPr>
      <w:r w:rsidRPr="00CE4AA8">
        <w:rPr>
          <w:rFonts w:ascii="Arial" w:hAnsi="Arial" w:cs="Arial"/>
        </w:rPr>
        <w:t xml:space="preserve">A </w:t>
      </w:r>
      <w:r w:rsidRPr="00CE4AA8">
        <w:rPr>
          <w:rFonts w:ascii="Arial" w:hAnsi="Arial" w:cs="Arial"/>
          <w:b/>
          <w:bCs/>
        </w:rPr>
        <w:t>SWOT analysis</w:t>
      </w:r>
      <w:r w:rsidRPr="00CE4AA8">
        <w:rPr>
          <w:rFonts w:ascii="Arial" w:hAnsi="Arial" w:cs="Arial"/>
        </w:rPr>
        <w:t xml:space="preserve"> further clarifies Innocent’s strategic position.</w:t>
      </w:r>
    </w:p>
    <w:p w14:paraId="52988D51" w14:textId="77777777" w:rsidR="00CE4AA8" w:rsidRPr="00CE4AA8" w:rsidRDefault="00CE4AA8" w:rsidP="00405D38">
      <w:pPr>
        <w:spacing w:line="360" w:lineRule="auto"/>
        <w:jc w:val="both"/>
        <w:rPr>
          <w:rFonts w:ascii="Arial" w:hAnsi="Arial" w:cs="Arial"/>
        </w:rPr>
      </w:pPr>
      <w:r w:rsidRPr="00CE4AA8">
        <w:rPr>
          <w:rFonts w:ascii="Arial" w:hAnsi="Arial" w:cs="Arial"/>
        </w:rPr>
        <w:t xml:space="preserve">The company’s key </w:t>
      </w:r>
      <w:r w:rsidRPr="00CE4AA8">
        <w:rPr>
          <w:rFonts w:ascii="Arial" w:hAnsi="Arial" w:cs="Arial"/>
          <w:b/>
          <w:bCs/>
        </w:rPr>
        <w:t>strengths</w:t>
      </w:r>
      <w:r w:rsidRPr="00CE4AA8">
        <w:rPr>
          <w:rFonts w:ascii="Arial" w:hAnsi="Arial" w:cs="Arial"/>
        </w:rPr>
        <w:t xml:space="preserve"> include its strong brand identity, reputation for natural ingredients and loyal customer base. Innocent has successfully differentiated itself through a </w:t>
      </w:r>
      <w:r w:rsidRPr="00CE4AA8">
        <w:rPr>
          <w:rFonts w:ascii="Arial" w:hAnsi="Arial" w:cs="Arial"/>
        </w:rPr>
        <w:lastRenderedPageBreak/>
        <w:t>friendly brand voice and a values-driven image centred on health and sustainability (Sahlman, 2004).</w:t>
      </w:r>
    </w:p>
    <w:p w14:paraId="41724B05" w14:textId="77777777" w:rsidR="00CE4AA8" w:rsidRPr="00CE4AA8" w:rsidRDefault="00CE4AA8" w:rsidP="00405D38">
      <w:pPr>
        <w:spacing w:line="360" w:lineRule="auto"/>
        <w:jc w:val="both"/>
        <w:rPr>
          <w:rFonts w:ascii="Arial" w:hAnsi="Arial" w:cs="Arial"/>
        </w:rPr>
      </w:pPr>
      <w:r w:rsidRPr="00CE4AA8">
        <w:rPr>
          <w:rFonts w:ascii="Arial" w:hAnsi="Arial" w:cs="Arial"/>
        </w:rPr>
        <w:t xml:space="preserve">However, these strengths also create certain </w:t>
      </w:r>
      <w:r w:rsidRPr="00CE4AA8">
        <w:rPr>
          <w:rFonts w:ascii="Arial" w:hAnsi="Arial" w:cs="Arial"/>
          <w:b/>
          <w:bCs/>
        </w:rPr>
        <w:t>weaknesses</w:t>
      </w:r>
      <w:r w:rsidRPr="00CE4AA8">
        <w:rPr>
          <w:rFonts w:ascii="Arial" w:hAnsi="Arial" w:cs="Arial"/>
        </w:rPr>
        <w:t>. Producing beverages using natural fruit rather than concentrates can increase production costs, making Innocent products more expensive than many competing alternatives. During periods of economic pressure, this premium positioning may limit accessibility for some consumers.</w:t>
      </w:r>
    </w:p>
    <w:p w14:paraId="58B4DC8D" w14:textId="77777777" w:rsidR="00CE4AA8" w:rsidRPr="00CE4AA8" w:rsidRDefault="00CE4AA8" w:rsidP="00405D38">
      <w:pPr>
        <w:spacing w:line="360" w:lineRule="auto"/>
        <w:jc w:val="both"/>
        <w:rPr>
          <w:rFonts w:ascii="Arial" w:hAnsi="Arial" w:cs="Arial"/>
        </w:rPr>
      </w:pPr>
      <w:r w:rsidRPr="00CE4AA8">
        <w:rPr>
          <w:rFonts w:ascii="Arial" w:hAnsi="Arial" w:cs="Arial"/>
        </w:rPr>
        <w:t xml:space="preserve">At the same time, the company faces several </w:t>
      </w:r>
      <w:r w:rsidRPr="00CE4AA8">
        <w:rPr>
          <w:rFonts w:ascii="Arial" w:hAnsi="Arial" w:cs="Arial"/>
          <w:b/>
          <w:bCs/>
        </w:rPr>
        <w:t>opportunities</w:t>
      </w:r>
      <w:r w:rsidRPr="00CE4AA8">
        <w:rPr>
          <w:rFonts w:ascii="Arial" w:hAnsi="Arial" w:cs="Arial"/>
        </w:rPr>
        <w:t>. Global demand for healthy beverages continues to grow, while consumers increasingly seek plant-based or functional drinks that offer additional nutritional benefits. Research on product innovation shows that firms achieve better outcomes when product development is supported by strong market understanding and structured evaluation processes (Cooper and Kleinschmidt, 1986).</w:t>
      </w:r>
    </w:p>
    <w:p w14:paraId="2D7DEFFB" w14:textId="77777777" w:rsidR="00CE4AA8" w:rsidRPr="00CE4AA8" w:rsidRDefault="00CE4AA8" w:rsidP="00405D38">
      <w:pPr>
        <w:spacing w:line="360" w:lineRule="auto"/>
        <w:jc w:val="both"/>
        <w:rPr>
          <w:rFonts w:ascii="Arial" w:hAnsi="Arial" w:cs="Arial"/>
        </w:rPr>
      </w:pPr>
      <w:r w:rsidRPr="00CE4AA8">
        <w:rPr>
          <w:rFonts w:ascii="Arial" w:hAnsi="Arial" w:cs="Arial"/>
        </w:rPr>
        <w:t xml:space="preserve">Finally, several </w:t>
      </w:r>
      <w:r w:rsidRPr="00CE4AA8">
        <w:rPr>
          <w:rFonts w:ascii="Arial" w:hAnsi="Arial" w:cs="Arial"/>
          <w:b/>
          <w:bCs/>
        </w:rPr>
        <w:t>threats</w:t>
      </w:r>
      <w:r w:rsidRPr="00CE4AA8">
        <w:rPr>
          <w:rFonts w:ascii="Arial" w:hAnsi="Arial" w:cs="Arial"/>
        </w:rPr>
        <w:t xml:space="preserve"> remain. Intense competition from multinational corporations, retailer pressure and supply chain volatility may all affect profitability. Additionally, premium beverages may be perceived as non-essential purchases during economic downturns.</w:t>
      </w:r>
    </w:p>
    <w:p w14:paraId="536C3318" w14:textId="77777777" w:rsidR="00CE4AA8" w:rsidRDefault="00CE4AA8" w:rsidP="00405D38">
      <w:pPr>
        <w:spacing w:line="360" w:lineRule="auto"/>
        <w:jc w:val="both"/>
        <w:rPr>
          <w:rFonts w:ascii="Arial" w:hAnsi="Arial" w:cs="Arial"/>
        </w:rPr>
      </w:pPr>
      <w:r w:rsidRPr="00CE4AA8">
        <w:rPr>
          <w:rFonts w:ascii="Arial" w:hAnsi="Arial" w:cs="Arial"/>
        </w:rPr>
        <w:t>Ultimately, Innocent’s future success will depend on its ability to transform its brand values into clear competitive advantages. If the company continues to innovate while maintaining credibility and authenticity, it can remain distinctive in an increasingly crowded beverage market.</w:t>
      </w:r>
    </w:p>
    <w:p w14:paraId="034E84B4" w14:textId="77777777" w:rsidR="00602B94" w:rsidRDefault="00602B94" w:rsidP="00405D38">
      <w:pPr>
        <w:spacing w:line="360" w:lineRule="auto"/>
        <w:jc w:val="both"/>
        <w:rPr>
          <w:rFonts w:ascii="Arial" w:hAnsi="Arial" w:cs="Arial"/>
        </w:rPr>
      </w:pPr>
    </w:p>
    <w:p w14:paraId="6A725CB7" w14:textId="77777777" w:rsidR="00602B94" w:rsidRDefault="00602B94" w:rsidP="00405D38">
      <w:pPr>
        <w:spacing w:line="360" w:lineRule="auto"/>
        <w:jc w:val="both"/>
        <w:rPr>
          <w:rFonts w:ascii="Arial" w:hAnsi="Arial" w:cs="Arial"/>
        </w:rPr>
      </w:pPr>
    </w:p>
    <w:p w14:paraId="1AAC3041" w14:textId="77777777" w:rsidR="00602B94" w:rsidRDefault="00602B94" w:rsidP="00405D38">
      <w:pPr>
        <w:spacing w:line="360" w:lineRule="auto"/>
        <w:jc w:val="both"/>
        <w:rPr>
          <w:rFonts w:ascii="Arial" w:hAnsi="Arial" w:cs="Arial"/>
        </w:rPr>
      </w:pPr>
    </w:p>
    <w:p w14:paraId="29C12875" w14:textId="77777777" w:rsidR="00602B94" w:rsidRDefault="00602B94" w:rsidP="00405D38">
      <w:pPr>
        <w:spacing w:line="360" w:lineRule="auto"/>
        <w:jc w:val="both"/>
        <w:rPr>
          <w:rFonts w:ascii="Arial" w:hAnsi="Arial" w:cs="Arial"/>
        </w:rPr>
      </w:pPr>
    </w:p>
    <w:p w14:paraId="30731F94" w14:textId="77777777" w:rsidR="00602B94" w:rsidRDefault="00602B94" w:rsidP="00405D38">
      <w:pPr>
        <w:spacing w:line="360" w:lineRule="auto"/>
        <w:jc w:val="both"/>
        <w:rPr>
          <w:rFonts w:ascii="Arial" w:hAnsi="Arial" w:cs="Arial"/>
        </w:rPr>
      </w:pPr>
    </w:p>
    <w:p w14:paraId="4E8DA343" w14:textId="77777777" w:rsidR="00602B94" w:rsidRDefault="00602B94" w:rsidP="00405D38">
      <w:pPr>
        <w:spacing w:line="360" w:lineRule="auto"/>
        <w:jc w:val="both"/>
        <w:rPr>
          <w:rFonts w:ascii="Arial" w:hAnsi="Arial" w:cs="Arial"/>
        </w:rPr>
      </w:pPr>
    </w:p>
    <w:p w14:paraId="3532B517" w14:textId="77777777" w:rsidR="00602B94" w:rsidRDefault="00602B94" w:rsidP="00405D38">
      <w:pPr>
        <w:spacing w:line="360" w:lineRule="auto"/>
        <w:jc w:val="both"/>
        <w:rPr>
          <w:rFonts w:ascii="Arial" w:hAnsi="Arial" w:cs="Arial"/>
        </w:rPr>
      </w:pPr>
    </w:p>
    <w:p w14:paraId="460CEEDF" w14:textId="503D2BA0" w:rsidR="006D0843" w:rsidRPr="00CE4AA8" w:rsidRDefault="006D0843" w:rsidP="00405D38">
      <w:pPr>
        <w:spacing w:line="360" w:lineRule="auto"/>
        <w:jc w:val="both"/>
        <w:rPr>
          <w:rFonts w:ascii="Arial" w:hAnsi="Arial" w:cs="Arial"/>
        </w:rPr>
      </w:pPr>
      <w:r w:rsidRPr="00CE4AA8">
        <w:rPr>
          <w:rFonts w:ascii="Arial" w:hAnsi="Arial" w:cs="Arial"/>
          <w:b/>
          <w:bCs/>
        </w:rPr>
        <w:t>SWOT Analysis</w:t>
      </w:r>
      <w:r w:rsidR="002001A0" w:rsidRPr="002001A0">
        <w:t xml:space="preserve"> </w:t>
      </w:r>
      <w:r w:rsidR="002001A0" w:rsidRPr="002001A0">
        <w:rPr>
          <w:rFonts w:ascii="Arial" w:hAnsi="Arial" w:cs="Arial"/>
          <w:b/>
          <w:bCs/>
        </w:rPr>
        <w:t>– Innocent Drinks</w:t>
      </w:r>
    </w:p>
    <w:p w14:paraId="1F43D857" w14:textId="6B52742A" w:rsidR="00F36F61" w:rsidRDefault="006D0843" w:rsidP="00405D38">
      <w:pPr>
        <w:spacing w:line="360" w:lineRule="auto"/>
        <w:jc w:val="both"/>
        <w:rPr>
          <w:rFonts w:ascii="Arial" w:hAnsi="Arial" w:cs="Arial"/>
        </w:rPr>
      </w:pPr>
      <w:r>
        <w:rPr>
          <w:rFonts w:ascii="Arial" w:hAnsi="Arial" w:cs="Arial"/>
          <w:noProof/>
        </w:rPr>
        <w:lastRenderedPageBreak/>
        <w:drawing>
          <wp:inline distT="0" distB="0" distL="0" distR="0" wp14:anchorId="553F67F7" wp14:editId="1A37AEAC">
            <wp:extent cx="5387807" cy="3292125"/>
            <wp:effectExtent l="0" t="0" r="3810" b="3810"/>
            <wp:docPr id="2912520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252020" name="Picture 291252020"/>
                    <pic:cNvPicPr/>
                  </pic:nvPicPr>
                  <pic:blipFill>
                    <a:blip r:embed="rId9">
                      <a:extLst>
                        <a:ext uri="{28A0092B-C50C-407E-A947-70E740481C1C}">
                          <a14:useLocalDpi xmlns:a14="http://schemas.microsoft.com/office/drawing/2010/main" val="0"/>
                        </a:ext>
                      </a:extLst>
                    </a:blip>
                    <a:stretch>
                      <a:fillRect/>
                    </a:stretch>
                  </pic:blipFill>
                  <pic:spPr>
                    <a:xfrm>
                      <a:off x="0" y="0"/>
                      <a:ext cx="5387807" cy="3292125"/>
                    </a:xfrm>
                    <a:prstGeom prst="rect">
                      <a:avLst/>
                    </a:prstGeom>
                  </pic:spPr>
                </pic:pic>
              </a:graphicData>
            </a:graphic>
          </wp:inline>
        </w:drawing>
      </w:r>
    </w:p>
    <w:p w14:paraId="0D49E4C2" w14:textId="7C79561A" w:rsidR="00405D38" w:rsidRPr="00112FD1" w:rsidRDefault="00405D38" w:rsidP="00405D38">
      <w:pPr>
        <w:spacing w:line="360" w:lineRule="auto"/>
        <w:jc w:val="center"/>
        <w:rPr>
          <w:rFonts w:ascii="Arial" w:hAnsi="Arial" w:cs="Arial"/>
        </w:rPr>
      </w:pPr>
      <w:r>
        <w:rPr>
          <w:rFonts w:ascii="Arial" w:hAnsi="Arial" w:cs="Arial"/>
        </w:rPr>
        <w:t>Figure 3: SWOT analysis</w:t>
      </w:r>
    </w:p>
    <w:p w14:paraId="150C4F2F" w14:textId="77777777" w:rsidR="00656799" w:rsidRPr="00112FD1" w:rsidRDefault="00656799" w:rsidP="00405D38">
      <w:pPr>
        <w:pStyle w:val="Heading1"/>
        <w:spacing w:line="360" w:lineRule="auto"/>
        <w:jc w:val="both"/>
        <w:rPr>
          <w:rFonts w:ascii="Arial" w:hAnsi="Arial" w:cs="Arial"/>
        </w:rPr>
      </w:pPr>
      <w:bookmarkStart w:id="6" w:name="_Toc224479684"/>
      <w:r w:rsidRPr="00112FD1">
        <w:rPr>
          <w:rFonts w:ascii="Arial" w:hAnsi="Arial" w:cs="Arial"/>
        </w:rPr>
        <w:t>4. Strategic Growth Options and Proposed Strategy</w:t>
      </w:r>
      <w:bookmarkEnd w:id="6"/>
    </w:p>
    <w:p w14:paraId="35B07A67" w14:textId="4A378112" w:rsidR="009528D7" w:rsidRPr="009528D7" w:rsidRDefault="009528D7" w:rsidP="00405D38">
      <w:pPr>
        <w:spacing w:line="360" w:lineRule="auto"/>
        <w:jc w:val="both"/>
        <w:rPr>
          <w:rFonts w:ascii="Arial" w:hAnsi="Arial" w:cs="Arial"/>
          <w:b/>
          <w:bCs/>
        </w:rPr>
      </w:pPr>
    </w:p>
    <w:p w14:paraId="4E549856" w14:textId="77777777" w:rsidR="009528D7" w:rsidRPr="009528D7" w:rsidRDefault="009528D7" w:rsidP="00405D38">
      <w:pPr>
        <w:spacing w:line="360" w:lineRule="auto"/>
        <w:jc w:val="both"/>
        <w:rPr>
          <w:rFonts w:ascii="Arial" w:hAnsi="Arial" w:cs="Arial"/>
        </w:rPr>
      </w:pPr>
      <w:r w:rsidRPr="009528D7">
        <w:rPr>
          <w:rFonts w:ascii="Arial" w:hAnsi="Arial" w:cs="Arial"/>
        </w:rPr>
        <w:t xml:space="preserve">When organisations consider growth, the key strategic question is not simply whether they should grow, but </w:t>
      </w:r>
      <w:r w:rsidRPr="009528D7">
        <w:rPr>
          <w:rFonts w:ascii="Arial" w:hAnsi="Arial" w:cs="Arial"/>
          <w:b/>
          <w:bCs/>
        </w:rPr>
        <w:t>how they should grow while sustaining competitive advantage</w:t>
      </w:r>
      <w:r w:rsidRPr="009528D7">
        <w:rPr>
          <w:rFonts w:ascii="Arial" w:hAnsi="Arial" w:cs="Arial"/>
        </w:rPr>
        <w:t>. For Innocent Drinks, this issue is particularly important because the company already has a strong brand identity based on natural ingredients, ethical values and healthy lifestyles. The challenge is therefore not survival but identifying a growth path that allows expansion without weakening the brand’s distinctive identity.</w:t>
      </w:r>
    </w:p>
    <w:p w14:paraId="1E64E9B2" w14:textId="77777777" w:rsidR="009528D7" w:rsidRPr="009528D7" w:rsidRDefault="009528D7" w:rsidP="00405D38">
      <w:pPr>
        <w:spacing w:line="360" w:lineRule="auto"/>
        <w:jc w:val="both"/>
        <w:rPr>
          <w:rFonts w:ascii="Arial" w:hAnsi="Arial" w:cs="Arial"/>
        </w:rPr>
      </w:pPr>
      <w:r w:rsidRPr="009528D7">
        <w:rPr>
          <w:rFonts w:ascii="Arial" w:hAnsi="Arial" w:cs="Arial"/>
        </w:rPr>
        <w:t xml:space="preserve">A useful framework for analysing growth strategies is the </w:t>
      </w:r>
      <w:r w:rsidRPr="009528D7">
        <w:rPr>
          <w:rFonts w:ascii="Arial" w:hAnsi="Arial" w:cs="Arial"/>
          <w:b/>
          <w:bCs/>
        </w:rPr>
        <w:t>Ansoff Matrix</w:t>
      </w:r>
      <w:r w:rsidRPr="009528D7">
        <w:rPr>
          <w:rFonts w:ascii="Arial" w:hAnsi="Arial" w:cs="Arial"/>
        </w:rPr>
        <w:t>, which identifies four strategic options: market penetration, market development, product development and diversification. Research applying the Ansoff model suggests that firms that combine innovation across products and markets are more likely to improve overall performance and competitiveness (</w:t>
      </w:r>
      <w:proofErr w:type="spellStart"/>
      <w:r w:rsidRPr="009528D7">
        <w:rPr>
          <w:rFonts w:ascii="Arial" w:hAnsi="Arial" w:cs="Arial"/>
        </w:rPr>
        <w:t>Gürçaylilar-Yenidogan</w:t>
      </w:r>
      <w:proofErr w:type="spellEnd"/>
      <w:r w:rsidRPr="009528D7">
        <w:rPr>
          <w:rFonts w:ascii="Arial" w:hAnsi="Arial" w:cs="Arial"/>
        </w:rPr>
        <w:t xml:space="preserve"> and Aksoy, 2018). This indicates that growth strategies linked to innovation may offer stronger long-term results than strategies focused solely on expanding existing products.</w:t>
      </w:r>
    </w:p>
    <w:p w14:paraId="20660BF6" w14:textId="2A9101E6" w:rsidR="009528D7" w:rsidRPr="009528D7" w:rsidRDefault="00602B94" w:rsidP="00602B94">
      <w:pPr>
        <w:pStyle w:val="Heading2"/>
      </w:pPr>
      <w:bookmarkStart w:id="7" w:name="_Toc224479685"/>
      <w:r>
        <w:lastRenderedPageBreak/>
        <w:t>4.1</w:t>
      </w:r>
      <w:r w:rsidR="009528D7" w:rsidRPr="009528D7">
        <w:t>Market Penetration</w:t>
      </w:r>
      <w:bookmarkEnd w:id="7"/>
    </w:p>
    <w:p w14:paraId="05E59BFC" w14:textId="77777777" w:rsidR="009528D7" w:rsidRPr="009528D7" w:rsidRDefault="009528D7" w:rsidP="00405D38">
      <w:pPr>
        <w:spacing w:line="360" w:lineRule="auto"/>
        <w:jc w:val="both"/>
        <w:rPr>
          <w:rFonts w:ascii="Arial" w:hAnsi="Arial" w:cs="Arial"/>
        </w:rPr>
      </w:pPr>
      <w:r w:rsidRPr="009528D7">
        <w:rPr>
          <w:rFonts w:ascii="Arial" w:hAnsi="Arial" w:cs="Arial"/>
        </w:rPr>
        <w:t>Market penetration focuses on increasing sales of existing products within existing markets. For Innocent Drinks, this could involve expanding supermarket distribution, strengthening retailer relationships or increasing marketing activity.</w:t>
      </w:r>
    </w:p>
    <w:p w14:paraId="549DCE30" w14:textId="77777777" w:rsidR="009528D7" w:rsidRPr="009528D7" w:rsidRDefault="009528D7" w:rsidP="00405D38">
      <w:pPr>
        <w:spacing w:line="360" w:lineRule="auto"/>
        <w:jc w:val="both"/>
        <w:rPr>
          <w:rFonts w:ascii="Arial" w:hAnsi="Arial" w:cs="Arial"/>
        </w:rPr>
      </w:pPr>
      <w:r w:rsidRPr="009528D7">
        <w:rPr>
          <w:rFonts w:ascii="Arial" w:hAnsi="Arial" w:cs="Arial"/>
        </w:rPr>
        <w:t xml:space="preserve">However, this strategy raises an important question: </w:t>
      </w:r>
      <w:r w:rsidRPr="009528D7">
        <w:rPr>
          <w:rFonts w:ascii="Arial" w:hAnsi="Arial" w:cs="Arial"/>
          <w:b/>
          <w:bCs/>
        </w:rPr>
        <w:t>is the smoothie market already too saturated to support significant growth?</w:t>
      </w:r>
      <w:r w:rsidRPr="009528D7">
        <w:rPr>
          <w:rFonts w:ascii="Arial" w:hAnsi="Arial" w:cs="Arial"/>
        </w:rPr>
        <w:t xml:space="preserve"> Although Innocent has established a strong presence in the UK, competition from supermarket own-brand products and multinational beverage companies continues to intensify. In highly competitive markets, marketing strategy becomes essential because firms must differentiate themselves in order to maintain consumer interest (Morgan, 1991). As a result, relying only on market penetration may limit long-term growth opportunities.</w:t>
      </w:r>
    </w:p>
    <w:p w14:paraId="44FBF7C1" w14:textId="694FEA8F" w:rsidR="009528D7" w:rsidRPr="009528D7" w:rsidRDefault="00602B94" w:rsidP="00602B94">
      <w:pPr>
        <w:pStyle w:val="Heading2"/>
      </w:pPr>
      <w:bookmarkStart w:id="8" w:name="_Toc224479686"/>
      <w:r>
        <w:t>4.2</w:t>
      </w:r>
      <w:r w:rsidR="009528D7" w:rsidRPr="009528D7">
        <w:t>Market Development</w:t>
      </w:r>
      <w:bookmarkEnd w:id="8"/>
    </w:p>
    <w:p w14:paraId="115C8BAC" w14:textId="77777777" w:rsidR="009528D7" w:rsidRPr="009528D7" w:rsidRDefault="009528D7" w:rsidP="00405D38">
      <w:pPr>
        <w:spacing w:line="360" w:lineRule="auto"/>
        <w:jc w:val="both"/>
        <w:rPr>
          <w:rFonts w:ascii="Arial" w:hAnsi="Arial" w:cs="Arial"/>
        </w:rPr>
      </w:pPr>
      <w:r w:rsidRPr="009528D7">
        <w:rPr>
          <w:rFonts w:ascii="Arial" w:hAnsi="Arial" w:cs="Arial"/>
        </w:rPr>
        <w:t>Market development involves introducing existing products into new geographic markets. For Innocent Drinks, expanding further into European markets could significantly increase its potential customer base.</w:t>
      </w:r>
    </w:p>
    <w:p w14:paraId="2666EFD2" w14:textId="77777777" w:rsidR="009528D7" w:rsidRPr="009528D7" w:rsidRDefault="009528D7" w:rsidP="00405D38">
      <w:pPr>
        <w:spacing w:line="360" w:lineRule="auto"/>
        <w:jc w:val="both"/>
        <w:rPr>
          <w:rFonts w:ascii="Arial" w:hAnsi="Arial" w:cs="Arial"/>
        </w:rPr>
      </w:pPr>
      <w:r w:rsidRPr="009528D7">
        <w:rPr>
          <w:rFonts w:ascii="Arial" w:hAnsi="Arial" w:cs="Arial"/>
        </w:rPr>
        <w:t>Nevertheless, international expansion carries considerable uncertainty. Consumer preferences, distribution systems and competitive environments differ between countries. What works successfully in one market may not necessarily succeed in another. Market research therefore becomes an important tool for understanding consumer behaviour and reducing uncertainty when entering new markets (Greenley and Bayus, 1993).</w:t>
      </w:r>
    </w:p>
    <w:p w14:paraId="560B16D1" w14:textId="72B512E9" w:rsidR="009528D7" w:rsidRPr="009528D7" w:rsidRDefault="00602B94" w:rsidP="00602B94">
      <w:pPr>
        <w:pStyle w:val="Heading2"/>
      </w:pPr>
      <w:bookmarkStart w:id="9" w:name="_Toc224479687"/>
      <w:r>
        <w:t>4.3</w:t>
      </w:r>
      <w:r w:rsidR="009528D7" w:rsidRPr="009528D7">
        <w:t>Product Development</w:t>
      </w:r>
      <w:bookmarkEnd w:id="9"/>
    </w:p>
    <w:p w14:paraId="02772D5E" w14:textId="77777777" w:rsidR="009528D7" w:rsidRPr="009528D7" w:rsidRDefault="009528D7" w:rsidP="00405D38">
      <w:pPr>
        <w:spacing w:line="360" w:lineRule="auto"/>
        <w:jc w:val="both"/>
        <w:rPr>
          <w:rFonts w:ascii="Arial" w:hAnsi="Arial" w:cs="Arial"/>
        </w:rPr>
      </w:pPr>
      <w:r w:rsidRPr="009528D7">
        <w:rPr>
          <w:rFonts w:ascii="Arial" w:hAnsi="Arial" w:cs="Arial"/>
        </w:rPr>
        <w:t>Product development focuses on introducing new products to existing markets. For Innocent Drinks, this could involve launching plant-based beverages, functional drinks with added health benefits or lower-sugar alternatives.</w:t>
      </w:r>
    </w:p>
    <w:p w14:paraId="31140FAB" w14:textId="77777777" w:rsidR="009528D7" w:rsidRPr="009528D7" w:rsidRDefault="009528D7" w:rsidP="00405D38">
      <w:pPr>
        <w:spacing w:line="360" w:lineRule="auto"/>
        <w:jc w:val="both"/>
        <w:rPr>
          <w:rFonts w:ascii="Arial" w:hAnsi="Arial" w:cs="Arial"/>
        </w:rPr>
      </w:pPr>
      <w:r w:rsidRPr="009528D7">
        <w:rPr>
          <w:rFonts w:ascii="Arial" w:hAnsi="Arial" w:cs="Arial"/>
        </w:rPr>
        <w:t>This strategy appears particularly attractive because it builds on Innocent’s existing brand reputation. Innovation research suggests that firms investing in structured product development processes are better able to respond to changing market conditions and maintain competitive advantage (Cooper and Kleinschmidt, 1994).</w:t>
      </w:r>
    </w:p>
    <w:p w14:paraId="69A9E684" w14:textId="77777777" w:rsidR="009528D7" w:rsidRPr="009528D7" w:rsidRDefault="009528D7" w:rsidP="00405D38">
      <w:pPr>
        <w:spacing w:line="360" w:lineRule="auto"/>
        <w:jc w:val="both"/>
        <w:rPr>
          <w:rFonts w:ascii="Arial" w:hAnsi="Arial" w:cs="Arial"/>
        </w:rPr>
      </w:pPr>
      <w:r w:rsidRPr="009528D7">
        <w:rPr>
          <w:rFonts w:ascii="Arial" w:hAnsi="Arial" w:cs="Arial"/>
        </w:rPr>
        <w:t>However, innovation also presents a challenge. Not all new product ideas succeed, and early market research may sometimes discourage companies from introducing radical innovations that later prove successful (Greenley and Bayus, 1993). This creates a strategic dilemma for Innocent: while consumer feedback is valuable, excessive reliance on market research may limit creativity and innovation.</w:t>
      </w:r>
    </w:p>
    <w:p w14:paraId="35FD4D2A" w14:textId="06AA9375" w:rsidR="009528D7" w:rsidRPr="009528D7" w:rsidRDefault="00602B94" w:rsidP="00602B94">
      <w:pPr>
        <w:pStyle w:val="Heading2"/>
      </w:pPr>
      <w:bookmarkStart w:id="10" w:name="_Toc224479688"/>
      <w:r>
        <w:lastRenderedPageBreak/>
        <w:t>4.4</w:t>
      </w:r>
      <w:r w:rsidR="009528D7" w:rsidRPr="009528D7">
        <w:t>Diversification</w:t>
      </w:r>
      <w:bookmarkEnd w:id="10"/>
    </w:p>
    <w:p w14:paraId="51861DB9" w14:textId="77777777" w:rsidR="009528D7" w:rsidRPr="009528D7" w:rsidRDefault="009528D7" w:rsidP="00405D38">
      <w:pPr>
        <w:spacing w:line="360" w:lineRule="auto"/>
        <w:jc w:val="both"/>
        <w:rPr>
          <w:rFonts w:ascii="Arial" w:hAnsi="Arial" w:cs="Arial"/>
        </w:rPr>
      </w:pPr>
      <w:r w:rsidRPr="009528D7">
        <w:rPr>
          <w:rFonts w:ascii="Arial" w:hAnsi="Arial" w:cs="Arial"/>
        </w:rPr>
        <w:t>Diversification involves introducing new products into entirely new markets. Although this strategy offers potential for growth, it also involves the highest level of risk.</w:t>
      </w:r>
    </w:p>
    <w:p w14:paraId="212F1767" w14:textId="77777777" w:rsidR="009528D7" w:rsidRPr="009528D7" w:rsidRDefault="009528D7" w:rsidP="00405D38">
      <w:pPr>
        <w:spacing w:line="360" w:lineRule="auto"/>
        <w:jc w:val="both"/>
        <w:rPr>
          <w:rFonts w:ascii="Arial" w:hAnsi="Arial" w:cs="Arial"/>
        </w:rPr>
      </w:pPr>
      <w:r w:rsidRPr="009528D7">
        <w:rPr>
          <w:rFonts w:ascii="Arial" w:hAnsi="Arial" w:cs="Arial"/>
        </w:rPr>
        <w:t xml:space="preserve">Strategic tools such as the </w:t>
      </w:r>
      <w:r w:rsidRPr="009528D7">
        <w:rPr>
          <w:rFonts w:ascii="Arial" w:hAnsi="Arial" w:cs="Arial"/>
          <w:b/>
          <w:bCs/>
        </w:rPr>
        <w:t>Boston Consulting Group (BCG) matrix</w:t>
      </w:r>
      <w:r w:rsidRPr="009528D7">
        <w:rPr>
          <w:rFonts w:ascii="Arial" w:hAnsi="Arial" w:cs="Arial"/>
        </w:rPr>
        <w:t xml:space="preserve"> help organisations evaluate which products deserve investment and which may require reconsideration (Boston Consulting Group, 2022). For Innocent Drinks, diversification into unrelated product categories could dilute the brand if it moves too far away from its core identity as a natural beverage company.</w:t>
      </w:r>
    </w:p>
    <w:p w14:paraId="26A1920D" w14:textId="3BE26E1F" w:rsidR="009528D7" w:rsidRPr="009528D7" w:rsidRDefault="00602B94" w:rsidP="00602B94">
      <w:pPr>
        <w:pStyle w:val="Heading2"/>
      </w:pPr>
      <w:bookmarkStart w:id="11" w:name="_Toc224479689"/>
      <w:r>
        <w:t>4.5</w:t>
      </w:r>
      <w:r w:rsidR="009528D7" w:rsidRPr="009528D7">
        <w:t>Proposed Strategy</w:t>
      </w:r>
      <w:bookmarkEnd w:id="11"/>
    </w:p>
    <w:p w14:paraId="1F6CC914" w14:textId="77777777" w:rsidR="009528D7" w:rsidRPr="009528D7" w:rsidRDefault="009528D7" w:rsidP="00405D38">
      <w:pPr>
        <w:spacing w:line="360" w:lineRule="auto"/>
        <w:jc w:val="both"/>
        <w:rPr>
          <w:rFonts w:ascii="Arial" w:hAnsi="Arial" w:cs="Arial"/>
        </w:rPr>
      </w:pPr>
      <w:r w:rsidRPr="009528D7">
        <w:rPr>
          <w:rFonts w:ascii="Arial" w:hAnsi="Arial" w:cs="Arial"/>
        </w:rPr>
        <w:t xml:space="preserve">Considering these alternatives, the most suitable strategy for Innocent Drinks appears to be </w:t>
      </w:r>
      <w:r w:rsidRPr="009528D7">
        <w:rPr>
          <w:rFonts w:ascii="Arial" w:hAnsi="Arial" w:cs="Arial"/>
          <w:b/>
          <w:bCs/>
        </w:rPr>
        <w:t>product development combined with differentiation</w:t>
      </w:r>
      <w:r w:rsidRPr="009528D7">
        <w:rPr>
          <w:rFonts w:ascii="Arial" w:hAnsi="Arial" w:cs="Arial"/>
        </w:rPr>
        <w:t>. This approach allows the company to leverage its strongest asset: its brand identity.</w:t>
      </w:r>
    </w:p>
    <w:p w14:paraId="2B6ABB44" w14:textId="77777777" w:rsidR="009528D7" w:rsidRPr="009528D7" w:rsidRDefault="009528D7" w:rsidP="00405D38">
      <w:pPr>
        <w:spacing w:line="360" w:lineRule="auto"/>
        <w:jc w:val="both"/>
        <w:rPr>
          <w:rFonts w:ascii="Arial" w:hAnsi="Arial" w:cs="Arial"/>
        </w:rPr>
      </w:pPr>
      <w:r w:rsidRPr="009528D7">
        <w:rPr>
          <w:rFonts w:ascii="Arial" w:hAnsi="Arial" w:cs="Arial"/>
        </w:rPr>
        <w:t>By introducing innovative beverages aligned with its values of health, sustainability and transparency, Innocent can expand its product portfolio while maintaining a clear market position. Research suggests that firms combining innovation with strong strategic positioning are more likely to achieve sustainable growth (</w:t>
      </w:r>
      <w:proofErr w:type="spellStart"/>
      <w:r w:rsidRPr="009528D7">
        <w:rPr>
          <w:rFonts w:ascii="Arial" w:hAnsi="Arial" w:cs="Arial"/>
        </w:rPr>
        <w:t>Gürçaylilar-Yenidogan</w:t>
      </w:r>
      <w:proofErr w:type="spellEnd"/>
      <w:r w:rsidRPr="009528D7">
        <w:rPr>
          <w:rFonts w:ascii="Arial" w:hAnsi="Arial" w:cs="Arial"/>
        </w:rPr>
        <w:t xml:space="preserve"> and Aksoy, 2018).</w:t>
      </w:r>
    </w:p>
    <w:p w14:paraId="389EDF9E" w14:textId="77777777" w:rsidR="009528D7" w:rsidRPr="009528D7" w:rsidRDefault="009528D7" w:rsidP="00405D38">
      <w:pPr>
        <w:spacing w:line="360" w:lineRule="auto"/>
        <w:jc w:val="both"/>
        <w:rPr>
          <w:rFonts w:ascii="Arial" w:hAnsi="Arial" w:cs="Arial"/>
        </w:rPr>
      </w:pPr>
      <w:r w:rsidRPr="009528D7">
        <w:rPr>
          <w:rFonts w:ascii="Arial" w:hAnsi="Arial" w:cs="Arial"/>
        </w:rPr>
        <w:t>In practical terms, this strategy may involve developing functional beverages, plant-based drinks or more sustainable packaging solutions. By continuing to innovate while remaining consistent with its brand values, Innocent Drinks can strengthen its competitive position within the growing health and wellness beverage market.</w:t>
      </w:r>
    </w:p>
    <w:p w14:paraId="2709A8A8" w14:textId="77777777" w:rsidR="005B416A" w:rsidRPr="00112FD1" w:rsidRDefault="005B416A" w:rsidP="00405D38">
      <w:pPr>
        <w:spacing w:line="360" w:lineRule="auto"/>
        <w:jc w:val="both"/>
        <w:rPr>
          <w:rFonts w:ascii="Arial" w:hAnsi="Arial" w:cs="Arial"/>
        </w:rPr>
      </w:pPr>
    </w:p>
    <w:p w14:paraId="7CA9F743" w14:textId="77777777" w:rsidR="000F25BD" w:rsidRPr="00112FD1" w:rsidRDefault="000F25BD" w:rsidP="00405D38">
      <w:pPr>
        <w:pStyle w:val="Heading1"/>
        <w:spacing w:line="360" w:lineRule="auto"/>
        <w:jc w:val="both"/>
        <w:rPr>
          <w:rFonts w:ascii="Arial" w:hAnsi="Arial" w:cs="Arial"/>
        </w:rPr>
      </w:pPr>
      <w:bookmarkStart w:id="12" w:name="_Toc224479690"/>
      <w:r w:rsidRPr="00112FD1">
        <w:rPr>
          <w:rFonts w:ascii="Arial" w:hAnsi="Arial" w:cs="Arial"/>
        </w:rPr>
        <w:t>5. Strategy Evaluation</w:t>
      </w:r>
      <w:bookmarkEnd w:id="12"/>
    </w:p>
    <w:p w14:paraId="5DF8E0D3" w14:textId="77777777" w:rsidR="00FB23EC" w:rsidRPr="00FB23EC" w:rsidRDefault="00FB23EC" w:rsidP="00405D38">
      <w:pPr>
        <w:spacing w:line="360" w:lineRule="auto"/>
        <w:jc w:val="both"/>
        <w:rPr>
          <w:rFonts w:ascii="Arial" w:hAnsi="Arial" w:cs="Arial"/>
        </w:rPr>
      </w:pPr>
      <w:r w:rsidRPr="00FB23EC">
        <w:rPr>
          <w:rFonts w:ascii="Arial" w:hAnsi="Arial" w:cs="Arial"/>
        </w:rPr>
        <w:t xml:space="preserve">Choosing a strategic option is rarely straightforward. Managers must not only identify potential growth opportunities but also evaluate whether a strategy is realistic, appropriate and beneficial for the organisation. One widely used framework for this evaluation is the </w:t>
      </w:r>
      <w:r w:rsidRPr="00FB23EC">
        <w:rPr>
          <w:rFonts w:ascii="Arial" w:hAnsi="Arial" w:cs="Arial"/>
          <w:b/>
          <w:bCs/>
        </w:rPr>
        <w:t>Suitability, Feasibility and Acceptability (SFA) model</w:t>
      </w:r>
      <w:r w:rsidRPr="00FB23EC">
        <w:rPr>
          <w:rFonts w:ascii="Arial" w:hAnsi="Arial" w:cs="Arial"/>
        </w:rPr>
        <w:t>, which assesses whether a strategy addresses external challenges, whether it can be implemented with available resources and whether it is acceptable to key stakeholders (</w:t>
      </w:r>
      <w:proofErr w:type="spellStart"/>
      <w:r w:rsidRPr="00FB23EC">
        <w:rPr>
          <w:rFonts w:ascii="Arial" w:hAnsi="Arial" w:cs="Arial"/>
        </w:rPr>
        <w:t>Zolfani</w:t>
      </w:r>
      <w:proofErr w:type="spellEnd"/>
      <w:r w:rsidRPr="00FB23EC">
        <w:rPr>
          <w:rFonts w:ascii="Arial" w:hAnsi="Arial" w:cs="Arial"/>
        </w:rPr>
        <w:t xml:space="preserve"> et al., 2021).</w:t>
      </w:r>
    </w:p>
    <w:p w14:paraId="2FD5E648" w14:textId="1D182E91" w:rsidR="00FB23EC" w:rsidRPr="00FB23EC" w:rsidRDefault="00602B94" w:rsidP="00602B94">
      <w:pPr>
        <w:pStyle w:val="Heading2"/>
      </w:pPr>
      <w:bookmarkStart w:id="13" w:name="_Toc224479691"/>
      <w:r>
        <w:t>5.1</w:t>
      </w:r>
      <w:r w:rsidR="00FB23EC" w:rsidRPr="00FB23EC">
        <w:t>Suitability</w:t>
      </w:r>
      <w:bookmarkEnd w:id="13"/>
    </w:p>
    <w:p w14:paraId="3BF013A6" w14:textId="77777777" w:rsidR="00FB23EC" w:rsidRPr="00FB23EC" w:rsidRDefault="00FB23EC" w:rsidP="00405D38">
      <w:pPr>
        <w:spacing w:line="360" w:lineRule="auto"/>
        <w:jc w:val="both"/>
        <w:rPr>
          <w:rFonts w:ascii="Arial" w:hAnsi="Arial" w:cs="Arial"/>
        </w:rPr>
      </w:pPr>
      <w:r w:rsidRPr="00FB23EC">
        <w:rPr>
          <w:rFonts w:ascii="Arial" w:hAnsi="Arial" w:cs="Arial"/>
        </w:rPr>
        <w:t xml:space="preserve">The first dimension, </w:t>
      </w:r>
      <w:r w:rsidRPr="00FB23EC">
        <w:rPr>
          <w:rFonts w:ascii="Arial" w:hAnsi="Arial" w:cs="Arial"/>
          <w:b/>
          <w:bCs/>
        </w:rPr>
        <w:t>suitability</w:t>
      </w:r>
      <w:r w:rsidRPr="00FB23EC">
        <w:rPr>
          <w:rFonts w:ascii="Arial" w:hAnsi="Arial" w:cs="Arial"/>
        </w:rPr>
        <w:t xml:space="preserve">, examines whether the proposed strategy responds to the issues identified during the strategic analysis. For Innocent Drinks, the earlier market analysis </w:t>
      </w:r>
      <w:r w:rsidRPr="00FB23EC">
        <w:rPr>
          <w:rFonts w:ascii="Arial" w:hAnsi="Arial" w:cs="Arial"/>
        </w:rPr>
        <w:lastRenderedPageBreak/>
        <w:t>highlighted several important industry trends, including increasing consumer demand for healthier beverages, growing environmental awareness and strong competition from multinational corporations and retailer own-brand products.</w:t>
      </w:r>
    </w:p>
    <w:p w14:paraId="042EA9B1" w14:textId="77777777" w:rsidR="00FB23EC" w:rsidRPr="00FB23EC" w:rsidRDefault="00FB23EC" w:rsidP="00405D38">
      <w:pPr>
        <w:spacing w:line="360" w:lineRule="auto"/>
        <w:jc w:val="both"/>
        <w:rPr>
          <w:rFonts w:ascii="Arial" w:hAnsi="Arial" w:cs="Arial"/>
        </w:rPr>
      </w:pPr>
      <w:r w:rsidRPr="00FB23EC">
        <w:rPr>
          <w:rFonts w:ascii="Arial" w:hAnsi="Arial" w:cs="Arial"/>
        </w:rPr>
        <w:t xml:space="preserve">A </w:t>
      </w:r>
      <w:r w:rsidRPr="00FB23EC">
        <w:rPr>
          <w:rFonts w:ascii="Arial" w:hAnsi="Arial" w:cs="Arial"/>
          <w:b/>
          <w:bCs/>
        </w:rPr>
        <w:t>product development strategy</w:t>
      </w:r>
      <w:r w:rsidRPr="00FB23EC">
        <w:rPr>
          <w:rFonts w:ascii="Arial" w:hAnsi="Arial" w:cs="Arial"/>
        </w:rPr>
        <w:t xml:space="preserve"> appears suitable because it enables Innocent to respond directly to these trends. For example, consumer demand for beverages with additional health benefits—such as plant-based drinks, vitamin-enriched smoothies or reduced-sugar alternatives—has increased significantly in recent years. By introducing products that meet these needs, Innocent can strengthen its competitive position while maintaining its identity as a natural and health-focused brand.</w:t>
      </w:r>
    </w:p>
    <w:p w14:paraId="0D308B60" w14:textId="77777777" w:rsidR="00FB23EC" w:rsidRPr="00FB23EC" w:rsidRDefault="00FB23EC" w:rsidP="00405D38">
      <w:pPr>
        <w:spacing w:line="360" w:lineRule="auto"/>
        <w:jc w:val="both"/>
        <w:rPr>
          <w:rFonts w:ascii="Arial" w:hAnsi="Arial" w:cs="Arial"/>
        </w:rPr>
      </w:pPr>
      <w:r w:rsidRPr="00FB23EC">
        <w:rPr>
          <w:rFonts w:ascii="Arial" w:hAnsi="Arial" w:cs="Arial"/>
        </w:rPr>
        <w:t>However, suitability also raises a strategic challenge. While innovation can strengthen competitive advantage, excessive diversification may create complexity and weaken brand clarity. Firms operating in dynamic markets often struggle to balance innovation with strategic focus (Woodside, 2019). If Innocent introduces too many product variations, it risks diluting the simplicity and authenticity that originally attracted consumers.</w:t>
      </w:r>
    </w:p>
    <w:p w14:paraId="1A5F8B76" w14:textId="15C60702" w:rsidR="00FB23EC" w:rsidRPr="00FB23EC" w:rsidRDefault="00602B94" w:rsidP="00602B94">
      <w:pPr>
        <w:pStyle w:val="Heading2"/>
      </w:pPr>
      <w:bookmarkStart w:id="14" w:name="_Toc224479692"/>
      <w:r>
        <w:t>5.2</w:t>
      </w:r>
      <w:r w:rsidR="00FB23EC" w:rsidRPr="00FB23EC">
        <w:t>Feasibility</w:t>
      </w:r>
      <w:bookmarkEnd w:id="14"/>
    </w:p>
    <w:p w14:paraId="5E760070" w14:textId="77777777" w:rsidR="00FB23EC" w:rsidRPr="00FB23EC" w:rsidRDefault="00FB23EC" w:rsidP="00405D38">
      <w:pPr>
        <w:spacing w:line="360" w:lineRule="auto"/>
        <w:jc w:val="both"/>
        <w:rPr>
          <w:rFonts w:ascii="Arial" w:hAnsi="Arial" w:cs="Arial"/>
        </w:rPr>
      </w:pPr>
      <w:r w:rsidRPr="00FB23EC">
        <w:rPr>
          <w:rFonts w:ascii="Arial" w:hAnsi="Arial" w:cs="Arial"/>
        </w:rPr>
        <w:t xml:space="preserve">The second dimension of the SFA framework focuses on </w:t>
      </w:r>
      <w:r w:rsidRPr="00FB23EC">
        <w:rPr>
          <w:rFonts w:ascii="Arial" w:hAnsi="Arial" w:cs="Arial"/>
          <w:b/>
          <w:bCs/>
        </w:rPr>
        <w:t>feasibility</w:t>
      </w:r>
      <w:r w:rsidRPr="00FB23EC">
        <w:rPr>
          <w:rFonts w:ascii="Arial" w:hAnsi="Arial" w:cs="Arial"/>
        </w:rPr>
        <w:t>, which evaluates whether the organisation has the resources and capabilities necessary to implement the strategy.</w:t>
      </w:r>
    </w:p>
    <w:p w14:paraId="6FFBA8F8" w14:textId="77777777" w:rsidR="00FB23EC" w:rsidRPr="00FB23EC" w:rsidRDefault="00FB23EC" w:rsidP="00405D38">
      <w:pPr>
        <w:spacing w:line="360" w:lineRule="auto"/>
        <w:jc w:val="both"/>
        <w:rPr>
          <w:rFonts w:ascii="Arial" w:hAnsi="Arial" w:cs="Arial"/>
        </w:rPr>
      </w:pPr>
      <w:r w:rsidRPr="00FB23EC">
        <w:rPr>
          <w:rFonts w:ascii="Arial" w:hAnsi="Arial" w:cs="Arial"/>
        </w:rPr>
        <w:t>Innocent Drinks possesses several strengths that support feasibility. The company has established supply chains for fruit sourcing, strong brand recognition and experience in developing smoothie-based beverages. These capabilities provide a solid foundation for expanding its product portfolio.</w:t>
      </w:r>
    </w:p>
    <w:p w14:paraId="248E1B98" w14:textId="77777777" w:rsidR="00FB23EC" w:rsidRPr="00FB23EC" w:rsidRDefault="00FB23EC" w:rsidP="00405D38">
      <w:pPr>
        <w:spacing w:line="360" w:lineRule="auto"/>
        <w:jc w:val="both"/>
        <w:rPr>
          <w:rFonts w:ascii="Arial" w:hAnsi="Arial" w:cs="Arial"/>
        </w:rPr>
      </w:pPr>
      <w:r w:rsidRPr="00FB23EC">
        <w:rPr>
          <w:rFonts w:ascii="Arial" w:hAnsi="Arial" w:cs="Arial"/>
        </w:rPr>
        <w:t>Nevertheless, implementing a product development strategy requires investment in research, production capacity and marketing activities. If newly introduced products fail to attract sufficient consumer demand, the financial risks could be significant. Research on strategy implementation emphasises that organisations must carefully evaluate internal capabilities and resource allocation before introducing strategic changes (Proctor et al., 2016).</w:t>
      </w:r>
    </w:p>
    <w:p w14:paraId="7AC56677" w14:textId="20CB3692" w:rsidR="00FB23EC" w:rsidRPr="00FB23EC" w:rsidRDefault="00602B94" w:rsidP="00602B94">
      <w:pPr>
        <w:pStyle w:val="Heading2"/>
      </w:pPr>
      <w:bookmarkStart w:id="15" w:name="_Toc224479693"/>
      <w:r>
        <w:t>5.3</w:t>
      </w:r>
      <w:r w:rsidR="00FB23EC" w:rsidRPr="00FB23EC">
        <w:t>Acceptability</w:t>
      </w:r>
      <w:bookmarkEnd w:id="15"/>
    </w:p>
    <w:p w14:paraId="01F8D1AE" w14:textId="77777777" w:rsidR="00FB23EC" w:rsidRPr="00FB23EC" w:rsidRDefault="00FB23EC" w:rsidP="00405D38">
      <w:pPr>
        <w:spacing w:line="360" w:lineRule="auto"/>
        <w:jc w:val="both"/>
        <w:rPr>
          <w:rFonts w:ascii="Arial" w:hAnsi="Arial" w:cs="Arial"/>
        </w:rPr>
      </w:pPr>
      <w:r w:rsidRPr="00FB23EC">
        <w:rPr>
          <w:rFonts w:ascii="Arial" w:hAnsi="Arial" w:cs="Arial"/>
        </w:rPr>
        <w:t xml:space="preserve">The final dimension, </w:t>
      </w:r>
      <w:r w:rsidRPr="00FB23EC">
        <w:rPr>
          <w:rFonts w:ascii="Arial" w:hAnsi="Arial" w:cs="Arial"/>
          <w:b/>
          <w:bCs/>
        </w:rPr>
        <w:t>acceptability</w:t>
      </w:r>
      <w:r w:rsidRPr="00FB23EC">
        <w:rPr>
          <w:rFonts w:ascii="Arial" w:hAnsi="Arial" w:cs="Arial"/>
        </w:rPr>
        <w:t>, considers how stakeholders may respond to the proposed strategy. Stakeholders include customers, employees, investors, retailers and suppliers.</w:t>
      </w:r>
    </w:p>
    <w:p w14:paraId="4190A9CC" w14:textId="77777777" w:rsidR="00FB23EC" w:rsidRPr="00FB23EC" w:rsidRDefault="00FB23EC" w:rsidP="00405D38">
      <w:pPr>
        <w:spacing w:line="360" w:lineRule="auto"/>
        <w:jc w:val="both"/>
        <w:rPr>
          <w:rFonts w:ascii="Arial" w:hAnsi="Arial" w:cs="Arial"/>
        </w:rPr>
      </w:pPr>
      <w:r w:rsidRPr="00FB23EC">
        <w:rPr>
          <w:rFonts w:ascii="Arial" w:hAnsi="Arial" w:cs="Arial"/>
        </w:rPr>
        <w:t xml:space="preserve">From a customer perspective, product development may be highly acceptable if new products remain aligned with Innocent’s brand values. Consumers who associate the brand with natural ingredients and ethical practices may be willing to try new beverages that reflect these values. However, other stakeholders may have different concerns. Retailers may question whether </w:t>
      </w:r>
      <w:r w:rsidRPr="00FB23EC">
        <w:rPr>
          <w:rFonts w:ascii="Arial" w:hAnsi="Arial" w:cs="Arial"/>
        </w:rPr>
        <w:lastRenderedPageBreak/>
        <w:t>new products will generate sufficient demand to justify shelf space, while investors may evaluate whether continuous innovation will produce stable financial returns.</w:t>
      </w:r>
    </w:p>
    <w:p w14:paraId="65CEC9AE" w14:textId="77777777" w:rsidR="00FB23EC" w:rsidRPr="00FB23EC" w:rsidRDefault="00FB23EC" w:rsidP="00405D38">
      <w:pPr>
        <w:spacing w:line="360" w:lineRule="auto"/>
        <w:jc w:val="both"/>
        <w:rPr>
          <w:rFonts w:ascii="Arial" w:hAnsi="Arial" w:cs="Arial"/>
        </w:rPr>
      </w:pPr>
      <w:r w:rsidRPr="00FB23EC">
        <w:rPr>
          <w:rFonts w:ascii="Arial" w:hAnsi="Arial" w:cs="Arial"/>
        </w:rPr>
        <w:t>Research on strategic evaluation highlights that stakeholder acceptance is critical for long-term strategic success because organisations must balance profitability with stakeholder expectations and legitimacy (Lăzăroiu et al., 2021).</w:t>
      </w:r>
    </w:p>
    <w:p w14:paraId="491C0F7F" w14:textId="77777777" w:rsidR="00FB23EC" w:rsidRPr="00FB23EC" w:rsidRDefault="00FB23EC" w:rsidP="00405D38">
      <w:pPr>
        <w:spacing w:line="360" w:lineRule="auto"/>
        <w:jc w:val="both"/>
        <w:rPr>
          <w:rFonts w:ascii="Arial" w:hAnsi="Arial" w:cs="Arial"/>
          <w:b/>
          <w:bCs/>
        </w:rPr>
      </w:pPr>
      <w:r w:rsidRPr="00FB23EC">
        <w:rPr>
          <w:rFonts w:ascii="Arial" w:hAnsi="Arial" w:cs="Arial"/>
          <w:b/>
          <w:bCs/>
        </w:rPr>
        <w:t>Overall Evaluation</w:t>
      </w:r>
    </w:p>
    <w:p w14:paraId="548B5B92" w14:textId="77777777" w:rsidR="00FB23EC" w:rsidRPr="00FB23EC" w:rsidRDefault="00FB23EC" w:rsidP="00405D38">
      <w:pPr>
        <w:spacing w:line="360" w:lineRule="auto"/>
        <w:jc w:val="both"/>
        <w:rPr>
          <w:rFonts w:ascii="Arial" w:hAnsi="Arial" w:cs="Arial"/>
        </w:rPr>
      </w:pPr>
      <w:r w:rsidRPr="00FB23EC">
        <w:rPr>
          <w:rFonts w:ascii="Arial" w:hAnsi="Arial" w:cs="Arial"/>
        </w:rPr>
        <w:t xml:space="preserve">Overall, the SFA analysis indicates that a </w:t>
      </w:r>
      <w:r w:rsidRPr="00FB23EC">
        <w:rPr>
          <w:rFonts w:ascii="Arial" w:hAnsi="Arial" w:cs="Arial"/>
          <w:b/>
          <w:bCs/>
        </w:rPr>
        <w:t>product development strategy supported by differentiation</w:t>
      </w:r>
      <w:r w:rsidRPr="00FB23EC">
        <w:rPr>
          <w:rFonts w:ascii="Arial" w:hAnsi="Arial" w:cs="Arial"/>
        </w:rPr>
        <w:t xml:space="preserve"> represents an appropriate direction for Innocent Drinks. The strategy aligns with key market trends, appears feasible given the company’s capabilities and is likely to be acceptable to stakeholders who value innovation and sustainability.</w:t>
      </w:r>
    </w:p>
    <w:p w14:paraId="0144C11E" w14:textId="77777777" w:rsidR="00FB23EC" w:rsidRPr="00FB23EC" w:rsidRDefault="00FB23EC" w:rsidP="00405D38">
      <w:pPr>
        <w:spacing w:line="360" w:lineRule="auto"/>
        <w:jc w:val="both"/>
        <w:rPr>
          <w:rFonts w:ascii="Arial" w:hAnsi="Arial" w:cs="Arial"/>
        </w:rPr>
      </w:pPr>
      <w:r w:rsidRPr="00FB23EC">
        <w:rPr>
          <w:rFonts w:ascii="Arial" w:hAnsi="Arial" w:cs="Arial"/>
        </w:rPr>
        <w:t>However, the strategy also involves risks. Innocent must ensure that innovation strengthens its brand identity rather than weakening it. If this balance is maintained, product development could provide a sustainable path for growth within the competitive health and wellness beverage market.</w:t>
      </w:r>
    </w:p>
    <w:p w14:paraId="5167434E" w14:textId="77777777" w:rsidR="00FB23EC" w:rsidRPr="00112FD1" w:rsidRDefault="00FB23EC" w:rsidP="00405D38">
      <w:pPr>
        <w:spacing w:line="360" w:lineRule="auto"/>
        <w:jc w:val="both"/>
        <w:rPr>
          <w:rFonts w:ascii="Arial" w:hAnsi="Arial" w:cs="Arial"/>
        </w:rPr>
      </w:pPr>
    </w:p>
    <w:p w14:paraId="5F054E1E" w14:textId="77777777" w:rsidR="00CD580D" w:rsidRPr="00112FD1" w:rsidRDefault="00CD580D" w:rsidP="00405D38">
      <w:pPr>
        <w:pStyle w:val="Heading1"/>
        <w:spacing w:line="360" w:lineRule="auto"/>
        <w:jc w:val="both"/>
        <w:rPr>
          <w:rFonts w:ascii="Arial" w:hAnsi="Arial" w:cs="Arial"/>
        </w:rPr>
      </w:pPr>
      <w:bookmarkStart w:id="16" w:name="_Toc224479694"/>
      <w:r w:rsidRPr="00112FD1">
        <w:rPr>
          <w:rFonts w:ascii="Arial" w:hAnsi="Arial" w:cs="Arial"/>
        </w:rPr>
        <w:t>6. Stakeholder Analysis</w:t>
      </w:r>
      <w:bookmarkEnd w:id="16"/>
    </w:p>
    <w:p w14:paraId="746825CC" w14:textId="77777777" w:rsidR="00191165" w:rsidRPr="00191165" w:rsidRDefault="00191165" w:rsidP="00405D38">
      <w:pPr>
        <w:spacing w:line="360" w:lineRule="auto"/>
        <w:jc w:val="both"/>
        <w:rPr>
          <w:rFonts w:ascii="Arial" w:hAnsi="Arial" w:cs="Arial"/>
        </w:rPr>
      </w:pPr>
      <w:r w:rsidRPr="00191165">
        <w:rPr>
          <w:rFonts w:ascii="Arial" w:hAnsi="Arial" w:cs="Arial"/>
        </w:rPr>
        <w:t xml:space="preserve">A stakeholder analysis is important because Innocent Drinks operates within a network of actors that can influence, or be influenced by, its strategy. Stakeholder theory defines stakeholders as individuals or groups who can affect organisational objectives or are affected by them. This perspective is particularly relevant for values-driven companies such as Innocent Drinks, whose strategy depends not only on financial performance but also on relationships with multiple stakeholders. Freeman’s original concept highlights that successful strategy involves managing these relationships rather than focusing exclusively on profits (Freeman, 1984, cited in Kivits and Sawang, 2021; </w:t>
      </w:r>
      <w:proofErr w:type="spellStart"/>
      <w:r w:rsidRPr="00191165">
        <w:rPr>
          <w:rFonts w:ascii="Arial" w:hAnsi="Arial" w:cs="Arial"/>
        </w:rPr>
        <w:t>Bonnafous</w:t>
      </w:r>
      <w:proofErr w:type="spellEnd"/>
      <w:r w:rsidRPr="00191165">
        <w:rPr>
          <w:rFonts w:ascii="Arial" w:hAnsi="Arial" w:cs="Arial"/>
        </w:rPr>
        <w:t>-Boucher and Rendtorff, 2016). More recent research shows that stakeholder theory has become closely linked with sustainability and long-term organisational performance (Mahajan et al., 2023).</w:t>
      </w:r>
    </w:p>
    <w:p w14:paraId="5A7EEAF5" w14:textId="77777777" w:rsidR="00191165" w:rsidRPr="00191165" w:rsidRDefault="00191165" w:rsidP="00405D38">
      <w:pPr>
        <w:spacing w:line="360" w:lineRule="auto"/>
        <w:jc w:val="both"/>
        <w:rPr>
          <w:rFonts w:ascii="Arial" w:hAnsi="Arial" w:cs="Arial"/>
        </w:rPr>
      </w:pPr>
      <w:r w:rsidRPr="00191165">
        <w:rPr>
          <w:rFonts w:ascii="Arial" w:hAnsi="Arial" w:cs="Arial"/>
        </w:rPr>
        <w:t xml:space="preserve">Using </w:t>
      </w:r>
      <w:r w:rsidRPr="00191165">
        <w:rPr>
          <w:rFonts w:ascii="Arial" w:hAnsi="Arial" w:cs="Arial"/>
          <w:b/>
          <w:bCs/>
        </w:rPr>
        <w:t>Mendelow’s Matrix</w:t>
      </w:r>
      <w:r w:rsidRPr="00191165">
        <w:rPr>
          <w:rFonts w:ascii="Arial" w:hAnsi="Arial" w:cs="Arial"/>
        </w:rPr>
        <w:t xml:space="preserve">, stakeholders can be classified according to their level of </w:t>
      </w:r>
      <w:r w:rsidRPr="00191165">
        <w:rPr>
          <w:rFonts w:ascii="Arial" w:hAnsi="Arial" w:cs="Arial"/>
          <w:b/>
          <w:bCs/>
        </w:rPr>
        <w:t>power and interest</w:t>
      </w:r>
      <w:r w:rsidRPr="00191165">
        <w:rPr>
          <w:rFonts w:ascii="Arial" w:hAnsi="Arial" w:cs="Arial"/>
        </w:rPr>
        <w:t xml:space="preserve">. </w:t>
      </w:r>
      <w:r w:rsidRPr="00191165">
        <w:rPr>
          <w:rFonts w:ascii="Arial" w:hAnsi="Arial" w:cs="Arial"/>
          <w:b/>
          <w:bCs/>
        </w:rPr>
        <w:t>Coca-Cola and government</w:t>
      </w:r>
      <w:r w:rsidRPr="00191165">
        <w:rPr>
          <w:rFonts w:ascii="Arial" w:hAnsi="Arial" w:cs="Arial"/>
        </w:rPr>
        <w:t xml:space="preserve"> represent stakeholders with high power and high interest and should therefore be managed closely. Coca-Cola influences investment decisions, strategic growth and global operational support, while government regulations shape food labelling, sustainability standards and environmental policies. For a brand that </w:t>
      </w:r>
      <w:r w:rsidRPr="00191165">
        <w:rPr>
          <w:rFonts w:ascii="Arial" w:hAnsi="Arial" w:cs="Arial"/>
        </w:rPr>
        <w:lastRenderedPageBreak/>
        <w:t>emphasises ethical practices, regulatory alignment is essential to maintaining credibility (Mahajan et al., 2023; Stieb, 2009).</w:t>
      </w:r>
    </w:p>
    <w:p w14:paraId="5208AFEA" w14:textId="42768543" w:rsidR="00191165" w:rsidRPr="00191165" w:rsidRDefault="00191165" w:rsidP="00405D38">
      <w:pPr>
        <w:spacing w:line="360" w:lineRule="auto"/>
        <w:jc w:val="both"/>
        <w:rPr>
          <w:rFonts w:ascii="Arial" w:hAnsi="Arial" w:cs="Arial"/>
        </w:rPr>
      </w:pPr>
      <w:r w:rsidRPr="00191165">
        <w:rPr>
          <w:rFonts w:ascii="Arial" w:hAnsi="Arial" w:cs="Arial"/>
          <w:b/>
          <w:bCs/>
        </w:rPr>
        <w:t>Consumers and employees</w:t>
      </w:r>
      <w:r w:rsidRPr="00191165">
        <w:rPr>
          <w:rFonts w:ascii="Arial" w:hAnsi="Arial" w:cs="Arial"/>
        </w:rPr>
        <w:t xml:space="preserve"> also represent highly significant stakeholders. Although consumers may not have direct organisational power, their purchasing behaviour strongly affects company performance. Brand loyalty and trust are particularly important for Innocent because its products are positioned as natural and health-focused. Employees are equally important because they implement the strategy in practice. If employees do not support innovation initiatives or sustainability goals, the strategy may fail internally (</w:t>
      </w:r>
      <w:proofErr w:type="spellStart"/>
      <w:r w:rsidRPr="00191165">
        <w:rPr>
          <w:rFonts w:ascii="Arial" w:hAnsi="Arial" w:cs="Arial"/>
        </w:rPr>
        <w:t>Bonnafous</w:t>
      </w:r>
      <w:proofErr w:type="spellEnd"/>
      <w:r w:rsidRPr="00191165">
        <w:rPr>
          <w:rFonts w:ascii="Arial" w:hAnsi="Arial" w:cs="Arial"/>
        </w:rPr>
        <w:t>-Boucher and Rendtorff, 2016; Kivits and Sawang, 2021).</w:t>
      </w:r>
    </w:p>
    <w:p w14:paraId="325187F7" w14:textId="77777777" w:rsidR="00191165" w:rsidRPr="00191165" w:rsidRDefault="00191165" w:rsidP="00405D38">
      <w:pPr>
        <w:spacing w:line="360" w:lineRule="auto"/>
        <w:jc w:val="both"/>
        <w:rPr>
          <w:rFonts w:ascii="Arial" w:hAnsi="Arial" w:cs="Arial"/>
        </w:rPr>
      </w:pPr>
      <w:r w:rsidRPr="00191165">
        <w:rPr>
          <w:rFonts w:ascii="Arial" w:hAnsi="Arial" w:cs="Arial"/>
          <w:b/>
          <w:bCs/>
        </w:rPr>
        <w:t>Suppliers and NGOs</w:t>
      </w:r>
      <w:r w:rsidRPr="00191165">
        <w:rPr>
          <w:rFonts w:ascii="Arial" w:hAnsi="Arial" w:cs="Arial"/>
        </w:rPr>
        <w:t xml:space="preserve"> require careful engagement. Suppliers influence the reliability of fruit sourcing and sustainable packaging, while NGOs can affect public perception and corporate legitimacy, especially regarding environmental claims. Research on stakeholder engagement suggests that influence is not always based on formal authority; organisations with lower structural power may still shape outcomes through public trust or reputational pressure (Mahajan et al., 2023; Chama et al., 2025).</w:t>
      </w:r>
    </w:p>
    <w:p w14:paraId="7CD9CE0B" w14:textId="77777777" w:rsidR="00191165" w:rsidRDefault="00191165" w:rsidP="00405D38">
      <w:pPr>
        <w:spacing w:line="360" w:lineRule="auto"/>
        <w:jc w:val="both"/>
        <w:rPr>
          <w:rFonts w:ascii="Arial" w:hAnsi="Arial" w:cs="Arial"/>
        </w:rPr>
      </w:pPr>
      <w:r w:rsidRPr="00191165">
        <w:rPr>
          <w:rFonts w:ascii="Arial" w:hAnsi="Arial" w:cs="Arial"/>
        </w:rPr>
        <w:t>Overall, Innocent’s stakeholder strategy should prioritise managing Coca-Cola and government closely, maintaining strong engagement with consumers and employees, collaborating with suppliers and ensuring transparent communication with NGOs.</w:t>
      </w:r>
    </w:p>
    <w:p w14:paraId="14B1C437" w14:textId="77777777" w:rsidR="00292AEA" w:rsidRDefault="00292AEA" w:rsidP="00405D38">
      <w:pPr>
        <w:spacing w:line="360" w:lineRule="auto"/>
        <w:jc w:val="both"/>
        <w:rPr>
          <w:rFonts w:ascii="Arial" w:hAnsi="Arial" w:cs="Arial"/>
        </w:rPr>
      </w:pPr>
    </w:p>
    <w:p w14:paraId="45A1985E" w14:textId="77777777" w:rsidR="00292AEA" w:rsidRDefault="00292AEA" w:rsidP="00405D38">
      <w:pPr>
        <w:spacing w:line="360" w:lineRule="auto"/>
        <w:jc w:val="both"/>
        <w:rPr>
          <w:rFonts w:ascii="Arial" w:hAnsi="Arial" w:cs="Arial"/>
        </w:rPr>
      </w:pPr>
    </w:p>
    <w:p w14:paraId="543D8135" w14:textId="77777777" w:rsidR="00292AEA" w:rsidRDefault="00292AEA" w:rsidP="00405D38">
      <w:pPr>
        <w:spacing w:line="360" w:lineRule="auto"/>
        <w:jc w:val="both"/>
        <w:rPr>
          <w:rFonts w:ascii="Arial" w:hAnsi="Arial" w:cs="Arial"/>
        </w:rPr>
      </w:pPr>
    </w:p>
    <w:p w14:paraId="51E5E24C" w14:textId="77777777" w:rsidR="00292AEA" w:rsidRDefault="00292AEA" w:rsidP="00405D38">
      <w:pPr>
        <w:spacing w:line="360" w:lineRule="auto"/>
        <w:jc w:val="both"/>
        <w:rPr>
          <w:rFonts w:ascii="Arial" w:hAnsi="Arial" w:cs="Arial"/>
        </w:rPr>
      </w:pPr>
    </w:p>
    <w:p w14:paraId="307ABB21" w14:textId="41279914" w:rsidR="00292AEA" w:rsidRPr="00191165" w:rsidRDefault="00292AEA" w:rsidP="00405D38">
      <w:pPr>
        <w:spacing w:line="360" w:lineRule="auto"/>
        <w:jc w:val="both"/>
        <w:rPr>
          <w:rFonts w:ascii="Arial" w:hAnsi="Arial" w:cs="Arial"/>
          <w:b/>
          <w:bCs/>
        </w:rPr>
      </w:pPr>
      <w:r w:rsidRPr="00237385">
        <w:rPr>
          <w:rFonts w:ascii="Arial" w:hAnsi="Arial" w:cs="Arial"/>
          <w:b/>
          <w:bCs/>
        </w:rPr>
        <w:t>Mendelow Stakeholder Matrix</w:t>
      </w:r>
      <w:r w:rsidR="00237385" w:rsidRPr="00237385">
        <w:rPr>
          <w:b/>
          <w:bCs/>
        </w:rPr>
        <w:t xml:space="preserve"> </w:t>
      </w:r>
      <w:r w:rsidR="00237385" w:rsidRPr="00237385">
        <w:rPr>
          <w:rFonts w:ascii="Arial" w:hAnsi="Arial" w:cs="Arial"/>
          <w:b/>
          <w:bCs/>
        </w:rPr>
        <w:t>– Innocent Drinks</w:t>
      </w:r>
    </w:p>
    <w:p w14:paraId="14A8AD2F" w14:textId="397B7CC3" w:rsidR="000F25BD" w:rsidRDefault="007B1E08" w:rsidP="00405D38">
      <w:pPr>
        <w:spacing w:line="360" w:lineRule="auto"/>
        <w:jc w:val="both"/>
        <w:rPr>
          <w:rFonts w:ascii="Arial" w:hAnsi="Arial" w:cs="Arial"/>
        </w:rPr>
      </w:pPr>
      <w:r>
        <w:rPr>
          <w:rFonts w:ascii="Arial" w:hAnsi="Arial" w:cs="Arial"/>
          <w:noProof/>
        </w:rPr>
        <w:lastRenderedPageBreak/>
        <w:drawing>
          <wp:inline distT="0" distB="0" distL="0" distR="0" wp14:anchorId="516E1A2F" wp14:editId="58A0E29D">
            <wp:extent cx="5731510" cy="4747260"/>
            <wp:effectExtent l="0" t="0" r="2540" b="0"/>
            <wp:docPr id="144292070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920701" name="Picture 1442920701"/>
                    <pic:cNvPicPr/>
                  </pic:nvPicPr>
                  <pic:blipFill>
                    <a:blip r:embed="rId10">
                      <a:extLst>
                        <a:ext uri="{28A0092B-C50C-407E-A947-70E740481C1C}">
                          <a14:useLocalDpi xmlns:a14="http://schemas.microsoft.com/office/drawing/2010/main" val="0"/>
                        </a:ext>
                      </a:extLst>
                    </a:blip>
                    <a:stretch>
                      <a:fillRect/>
                    </a:stretch>
                  </pic:blipFill>
                  <pic:spPr>
                    <a:xfrm>
                      <a:off x="0" y="0"/>
                      <a:ext cx="5731510" cy="4747260"/>
                    </a:xfrm>
                    <a:prstGeom prst="rect">
                      <a:avLst/>
                    </a:prstGeom>
                  </pic:spPr>
                </pic:pic>
              </a:graphicData>
            </a:graphic>
          </wp:inline>
        </w:drawing>
      </w:r>
    </w:p>
    <w:p w14:paraId="686612F3" w14:textId="567D61FF" w:rsidR="00405D38" w:rsidRPr="000F25BD" w:rsidRDefault="00405D38" w:rsidP="000569ED">
      <w:pPr>
        <w:spacing w:line="360" w:lineRule="auto"/>
        <w:jc w:val="center"/>
        <w:rPr>
          <w:rFonts w:ascii="Arial" w:hAnsi="Arial" w:cs="Arial"/>
        </w:rPr>
      </w:pPr>
      <w:r>
        <w:rPr>
          <w:rFonts w:ascii="Arial" w:hAnsi="Arial" w:cs="Arial"/>
        </w:rPr>
        <w:t xml:space="preserve">Figure </w:t>
      </w:r>
      <w:r w:rsidR="000569ED">
        <w:rPr>
          <w:rFonts w:ascii="Arial" w:hAnsi="Arial" w:cs="Arial"/>
        </w:rPr>
        <w:t>4: Stakeholder analysis</w:t>
      </w:r>
    </w:p>
    <w:p w14:paraId="2DEABEC4" w14:textId="77777777" w:rsidR="005F42A9" w:rsidRPr="00112FD1" w:rsidRDefault="005F42A9" w:rsidP="00405D38">
      <w:pPr>
        <w:pStyle w:val="Heading1"/>
        <w:spacing w:line="360" w:lineRule="auto"/>
        <w:jc w:val="both"/>
        <w:rPr>
          <w:rFonts w:ascii="Arial" w:hAnsi="Arial" w:cs="Arial"/>
        </w:rPr>
      </w:pPr>
      <w:bookmarkStart w:id="17" w:name="_Toc224479695"/>
      <w:r w:rsidRPr="00112FD1">
        <w:rPr>
          <w:rFonts w:ascii="Arial" w:hAnsi="Arial" w:cs="Arial"/>
        </w:rPr>
        <w:t>7. Implementation and Monitoring</w:t>
      </w:r>
      <w:bookmarkEnd w:id="17"/>
    </w:p>
    <w:p w14:paraId="6F0BBCAB" w14:textId="77777777" w:rsidR="00673DB8" w:rsidRPr="00673DB8" w:rsidRDefault="00673DB8" w:rsidP="00405D38">
      <w:pPr>
        <w:spacing w:line="360" w:lineRule="auto"/>
        <w:jc w:val="both"/>
        <w:rPr>
          <w:rFonts w:ascii="Arial" w:hAnsi="Arial" w:cs="Arial"/>
        </w:rPr>
      </w:pPr>
      <w:r w:rsidRPr="00673DB8">
        <w:rPr>
          <w:rFonts w:ascii="Arial" w:hAnsi="Arial" w:cs="Arial"/>
        </w:rPr>
        <w:t>After selecting product development as the preferred growth strategy, the next step is to translate this strategic direction into practical organisational actions. Strategy implementation refers to the process through which strategic plans are transformed into operational activities and measurable outcomes. Although organisations often invest considerable effort in designing strategies, many fail because implementation is weak rather than because the strategy itself is poorly designed (</w:t>
      </w:r>
      <w:proofErr w:type="spellStart"/>
      <w:r w:rsidRPr="00673DB8">
        <w:rPr>
          <w:rFonts w:ascii="Arial" w:hAnsi="Arial" w:cs="Arial"/>
        </w:rPr>
        <w:t>Kohtamäki</w:t>
      </w:r>
      <w:proofErr w:type="spellEnd"/>
      <w:r w:rsidRPr="00673DB8">
        <w:rPr>
          <w:rFonts w:ascii="Arial" w:hAnsi="Arial" w:cs="Arial"/>
        </w:rPr>
        <w:t xml:space="preserve"> et al., 2012).</w:t>
      </w:r>
    </w:p>
    <w:p w14:paraId="3051DC24" w14:textId="77777777" w:rsidR="00673DB8" w:rsidRPr="00673DB8" w:rsidRDefault="00673DB8" w:rsidP="00405D38">
      <w:pPr>
        <w:spacing w:line="360" w:lineRule="auto"/>
        <w:jc w:val="both"/>
        <w:rPr>
          <w:rFonts w:ascii="Arial" w:hAnsi="Arial" w:cs="Arial"/>
        </w:rPr>
      </w:pPr>
      <w:r w:rsidRPr="00673DB8">
        <w:rPr>
          <w:rFonts w:ascii="Arial" w:hAnsi="Arial" w:cs="Arial"/>
        </w:rPr>
        <w:t>For Innocent Drinks, implementing a product development strategy requires a structured approach that combines innovation, organisational commitment and continuous monitoring of results. Research in strategic management shows that successful implementation depends on aligning organisational resources, employee engagement and strategic objectives (</w:t>
      </w:r>
      <w:proofErr w:type="spellStart"/>
      <w:r w:rsidRPr="00673DB8">
        <w:rPr>
          <w:rFonts w:ascii="Arial" w:hAnsi="Arial" w:cs="Arial"/>
        </w:rPr>
        <w:t>Kohtamäki</w:t>
      </w:r>
      <w:proofErr w:type="spellEnd"/>
      <w:r w:rsidRPr="00673DB8">
        <w:rPr>
          <w:rFonts w:ascii="Arial" w:hAnsi="Arial" w:cs="Arial"/>
        </w:rPr>
        <w:t xml:space="preserve"> et al., 2012).</w:t>
      </w:r>
    </w:p>
    <w:p w14:paraId="4F7719D5" w14:textId="01CB89DD" w:rsidR="00673DB8" w:rsidRPr="00673DB8" w:rsidRDefault="00602B94" w:rsidP="00602B94">
      <w:pPr>
        <w:pStyle w:val="Heading2"/>
      </w:pPr>
      <w:bookmarkStart w:id="18" w:name="_Toc224479696"/>
      <w:r>
        <w:lastRenderedPageBreak/>
        <w:t>7.1</w:t>
      </w:r>
      <w:r w:rsidR="00673DB8" w:rsidRPr="00673DB8">
        <w:t>Implementation Plan</w:t>
      </w:r>
      <w:bookmarkEnd w:id="18"/>
    </w:p>
    <w:p w14:paraId="2726E888" w14:textId="77777777" w:rsidR="00673DB8" w:rsidRPr="00673DB8" w:rsidRDefault="00673DB8" w:rsidP="00405D38">
      <w:pPr>
        <w:spacing w:line="360" w:lineRule="auto"/>
        <w:jc w:val="both"/>
        <w:rPr>
          <w:rFonts w:ascii="Arial" w:hAnsi="Arial" w:cs="Arial"/>
        </w:rPr>
      </w:pPr>
      <w:r w:rsidRPr="00673DB8">
        <w:rPr>
          <w:rFonts w:ascii="Arial" w:hAnsi="Arial" w:cs="Arial"/>
        </w:rPr>
        <w:t xml:space="preserve">The implementation process can be divided into three main stages: </w:t>
      </w:r>
      <w:r w:rsidRPr="00673DB8">
        <w:rPr>
          <w:rFonts w:ascii="Arial" w:hAnsi="Arial" w:cs="Arial"/>
          <w:b/>
          <w:bCs/>
        </w:rPr>
        <w:t>product development, market introduction and performance monitoring</w:t>
      </w:r>
      <w:r w:rsidRPr="00673DB8">
        <w:rPr>
          <w:rFonts w:ascii="Arial" w:hAnsi="Arial" w:cs="Arial"/>
        </w:rPr>
        <w:t>.</w:t>
      </w:r>
    </w:p>
    <w:p w14:paraId="1AB36F51" w14:textId="77777777" w:rsidR="00673DB8" w:rsidRPr="00673DB8" w:rsidRDefault="00673DB8" w:rsidP="00405D38">
      <w:pPr>
        <w:spacing w:line="360" w:lineRule="auto"/>
        <w:jc w:val="both"/>
        <w:rPr>
          <w:rFonts w:ascii="Arial" w:hAnsi="Arial" w:cs="Arial"/>
        </w:rPr>
      </w:pPr>
      <w:r w:rsidRPr="00673DB8">
        <w:rPr>
          <w:rFonts w:ascii="Arial" w:hAnsi="Arial" w:cs="Arial"/>
        </w:rPr>
        <w:t xml:space="preserve">First, Innocent should invest in </w:t>
      </w:r>
      <w:r w:rsidRPr="00673DB8">
        <w:rPr>
          <w:rFonts w:ascii="Arial" w:hAnsi="Arial" w:cs="Arial"/>
          <w:b/>
          <w:bCs/>
        </w:rPr>
        <w:t>research and development</w:t>
      </w:r>
      <w:r w:rsidRPr="00673DB8">
        <w:rPr>
          <w:rFonts w:ascii="Arial" w:hAnsi="Arial" w:cs="Arial"/>
        </w:rPr>
        <w:t xml:space="preserve"> to design innovative beverages that reflect current consumer trends. Examples may include plant-based drinks, functional smoothies or lower-sugar alternatives. Innovation studies show that companies integrating innovation into strategic planning are more likely to achieve sustainable growth and competitive advantage (García et al., 2018).</w:t>
      </w:r>
    </w:p>
    <w:p w14:paraId="70C23BF5" w14:textId="77777777" w:rsidR="00673DB8" w:rsidRPr="00673DB8" w:rsidRDefault="00673DB8" w:rsidP="00405D38">
      <w:pPr>
        <w:spacing w:line="360" w:lineRule="auto"/>
        <w:jc w:val="both"/>
        <w:rPr>
          <w:rFonts w:ascii="Arial" w:hAnsi="Arial" w:cs="Arial"/>
        </w:rPr>
      </w:pPr>
      <w:r w:rsidRPr="00673DB8">
        <w:rPr>
          <w:rFonts w:ascii="Arial" w:hAnsi="Arial" w:cs="Arial"/>
        </w:rPr>
        <w:t xml:space="preserve">Second, new products should be introduced through </w:t>
      </w:r>
      <w:r w:rsidRPr="00673DB8">
        <w:rPr>
          <w:rFonts w:ascii="Arial" w:hAnsi="Arial" w:cs="Arial"/>
          <w:b/>
          <w:bCs/>
        </w:rPr>
        <w:t>targeted marketing campaigns</w:t>
      </w:r>
      <w:r w:rsidRPr="00673DB8">
        <w:rPr>
          <w:rFonts w:ascii="Arial" w:hAnsi="Arial" w:cs="Arial"/>
        </w:rPr>
        <w:t xml:space="preserve"> emphasising natural ingredients, health benefits and sustainability. Employee participation is essential during this stage because organisational commitment strongly influences the success of strategy implementation (</w:t>
      </w:r>
      <w:proofErr w:type="spellStart"/>
      <w:r w:rsidRPr="00673DB8">
        <w:rPr>
          <w:rFonts w:ascii="Arial" w:hAnsi="Arial" w:cs="Arial"/>
        </w:rPr>
        <w:t>Kohtamäki</w:t>
      </w:r>
      <w:proofErr w:type="spellEnd"/>
      <w:r w:rsidRPr="00673DB8">
        <w:rPr>
          <w:rFonts w:ascii="Arial" w:hAnsi="Arial" w:cs="Arial"/>
        </w:rPr>
        <w:t xml:space="preserve"> et al., 2012).</w:t>
      </w:r>
    </w:p>
    <w:p w14:paraId="6683156C" w14:textId="77777777" w:rsidR="00673DB8" w:rsidRPr="00673DB8" w:rsidRDefault="00673DB8" w:rsidP="00405D38">
      <w:pPr>
        <w:spacing w:line="360" w:lineRule="auto"/>
        <w:jc w:val="both"/>
        <w:rPr>
          <w:rFonts w:ascii="Arial" w:hAnsi="Arial" w:cs="Arial"/>
        </w:rPr>
      </w:pPr>
      <w:r w:rsidRPr="00673DB8">
        <w:rPr>
          <w:rFonts w:ascii="Arial" w:hAnsi="Arial" w:cs="Arial"/>
        </w:rPr>
        <w:t xml:space="preserve">Third, the company must establish </w:t>
      </w:r>
      <w:r w:rsidRPr="00673DB8">
        <w:rPr>
          <w:rFonts w:ascii="Arial" w:hAnsi="Arial" w:cs="Arial"/>
          <w:b/>
          <w:bCs/>
        </w:rPr>
        <w:t>monitoring systems</w:t>
      </w:r>
      <w:r w:rsidRPr="00673DB8">
        <w:rPr>
          <w:rFonts w:ascii="Arial" w:hAnsi="Arial" w:cs="Arial"/>
        </w:rPr>
        <w:t xml:space="preserve"> to evaluate whether the strategy is achieving its objectives.</w:t>
      </w:r>
    </w:p>
    <w:p w14:paraId="4DD9ADF8" w14:textId="584731B9" w:rsidR="00673DB8" w:rsidRPr="00673DB8" w:rsidRDefault="00602B94" w:rsidP="00602B94">
      <w:pPr>
        <w:pStyle w:val="Heading2"/>
      </w:pPr>
      <w:bookmarkStart w:id="19" w:name="_Toc224479697"/>
      <w:r>
        <w:t>7.2</w:t>
      </w:r>
      <w:r w:rsidR="00673DB8" w:rsidRPr="00673DB8">
        <w:t>Strategic Objectives and KPIs</w:t>
      </w:r>
      <w:bookmarkEnd w:id="19"/>
    </w:p>
    <w:p w14:paraId="32F3E5DA" w14:textId="77777777" w:rsidR="00673DB8" w:rsidRPr="00673DB8" w:rsidRDefault="00673DB8" w:rsidP="00405D38">
      <w:pPr>
        <w:spacing w:line="360" w:lineRule="auto"/>
        <w:jc w:val="both"/>
        <w:rPr>
          <w:rFonts w:ascii="Arial" w:hAnsi="Arial" w:cs="Arial"/>
        </w:rPr>
      </w:pPr>
      <w:r w:rsidRPr="00673DB8">
        <w:rPr>
          <w:rFonts w:ascii="Arial" w:hAnsi="Arial" w:cs="Arial"/>
        </w:rPr>
        <w:t>Implementation should be guided by clear objectives, such as expanding the product portfolio, increasing market share in the healthy beverage sector and strengthening Innocent’s sustainability reputation. Organisations perform more effectively when strategic objectives are clearly communicated and aligned with operational activities (Kraus et al., 2020).</w:t>
      </w:r>
    </w:p>
    <w:p w14:paraId="51C59F1B" w14:textId="77777777" w:rsidR="00673DB8" w:rsidRPr="00673DB8" w:rsidRDefault="00673DB8" w:rsidP="00405D38">
      <w:pPr>
        <w:spacing w:line="360" w:lineRule="auto"/>
        <w:jc w:val="both"/>
        <w:rPr>
          <w:rFonts w:ascii="Arial" w:hAnsi="Arial" w:cs="Arial"/>
        </w:rPr>
      </w:pPr>
      <w:r w:rsidRPr="00673DB8">
        <w:rPr>
          <w:rFonts w:ascii="Arial" w:hAnsi="Arial" w:cs="Arial"/>
        </w:rPr>
        <w:t xml:space="preserve">Progress should be monitored through </w:t>
      </w:r>
      <w:r w:rsidRPr="00673DB8">
        <w:rPr>
          <w:rFonts w:ascii="Arial" w:hAnsi="Arial" w:cs="Arial"/>
          <w:b/>
          <w:bCs/>
        </w:rPr>
        <w:t>Key Performance Indicators (KPIs)</w:t>
      </w:r>
      <w:r w:rsidRPr="00673DB8">
        <w:rPr>
          <w:rFonts w:ascii="Arial" w:hAnsi="Arial" w:cs="Arial"/>
        </w:rPr>
        <w:t>, including revenue growth from new products, market share, customer satisfaction, environmental impact reduction and employee engagement in innovation initiatives. Combining financial and non-financial indicators provides a more comprehensive evaluation of performance (Kaplan and Norton, 1996).</w:t>
      </w:r>
    </w:p>
    <w:p w14:paraId="2575B084" w14:textId="77777777" w:rsidR="00673DB8" w:rsidRDefault="00673DB8" w:rsidP="00405D38">
      <w:pPr>
        <w:spacing w:line="360" w:lineRule="auto"/>
        <w:jc w:val="both"/>
        <w:rPr>
          <w:rFonts w:ascii="Arial" w:hAnsi="Arial" w:cs="Arial"/>
        </w:rPr>
      </w:pPr>
      <w:r w:rsidRPr="00673DB8">
        <w:rPr>
          <w:rFonts w:ascii="Arial" w:hAnsi="Arial" w:cs="Arial"/>
        </w:rPr>
        <w:t>Continuous monitoring and performance reviews will allow Innocent Drinks to adjust its strategy when necessary and ensure that product development supports long-term growth and sustainability goals (Kraus et al., 2020).</w:t>
      </w:r>
    </w:p>
    <w:p w14:paraId="2EA62310" w14:textId="77777777" w:rsidR="00602B94" w:rsidRDefault="00602B94" w:rsidP="00405D38">
      <w:pPr>
        <w:spacing w:line="360" w:lineRule="auto"/>
        <w:jc w:val="both"/>
        <w:rPr>
          <w:rFonts w:ascii="Arial" w:hAnsi="Arial" w:cs="Arial"/>
        </w:rPr>
      </w:pPr>
    </w:p>
    <w:p w14:paraId="19018E74" w14:textId="77777777" w:rsidR="00602B94" w:rsidRDefault="00602B94" w:rsidP="00405D38">
      <w:pPr>
        <w:spacing w:line="360" w:lineRule="auto"/>
        <w:jc w:val="both"/>
        <w:rPr>
          <w:rFonts w:ascii="Arial" w:hAnsi="Arial" w:cs="Arial"/>
        </w:rPr>
      </w:pPr>
    </w:p>
    <w:p w14:paraId="28BFA13B" w14:textId="77777777" w:rsidR="00602B94" w:rsidRDefault="00602B94" w:rsidP="00405D38">
      <w:pPr>
        <w:spacing w:line="360" w:lineRule="auto"/>
        <w:jc w:val="both"/>
        <w:rPr>
          <w:rFonts w:ascii="Arial" w:hAnsi="Arial" w:cs="Arial"/>
        </w:rPr>
      </w:pPr>
    </w:p>
    <w:p w14:paraId="6E61769D" w14:textId="77777777" w:rsidR="00602B94" w:rsidRPr="00673DB8" w:rsidRDefault="00602B94" w:rsidP="00405D38">
      <w:pPr>
        <w:spacing w:line="360" w:lineRule="auto"/>
        <w:jc w:val="both"/>
        <w:rPr>
          <w:rFonts w:ascii="Arial" w:hAnsi="Arial" w:cs="Arial"/>
        </w:rPr>
      </w:pPr>
    </w:p>
    <w:p w14:paraId="397A4662" w14:textId="56639873" w:rsidR="00673DB8" w:rsidRPr="009A6948" w:rsidRDefault="009A6948" w:rsidP="00405D38">
      <w:pPr>
        <w:spacing w:line="360" w:lineRule="auto"/>
        <w:jc w:val="both"/>
        <w:rPr>
          <w:rFonts w:ascii="Arial" w:hAnsi="Arial" w:cs="Arial"/>
          <w:b/>
          <w:bCs/>
        </w:rPr>
      </w:pPr>
      <w:r w:rsidRPr="009A6948">
        <w:rPr>
          <w:rFonts w:ascii="Arial" w:hAnsi="Arial" w:cs="Arial"/>
          <w:b/>
          <w:bCs/>
        </w:rPr>
        <w:lastRenderedPageBreak/>
        <w:t>Implementation KPIs</w:t>
      </w:r>
    </w:p>
    <w:p w14:paraId="38BBD125" w14:textId="1195DB07" w:rsidR="00112FD1" w:rsidRPr="00112FD1" w:rsidRDefault="009A6948" w:rsidP="00405D38">
      <w:pPr>
        <w:spacing w:line="360" w:lineRule="auto"/>
        <w:jc w:val="both"/>
        <w:rPr>
          <w:rFonts w:ascii="Arial" w:hAnsi="Arial" w:cs="Arial"/>
        </w:rPr>
      </w:pPr>
      <w:r>
        <w:rPr>
          <w:rFonts w:ascii="Arial" w:hAnsi="Arial" w:cs="Arial"/>
          <w:noProof/>
        </w:rPr>
        <w:drawing>
          <wp:inline distT="0" distB="0" distL="0" distR="0" wp14:anchorId="3D005517" wp14:editId="0163F9AC">
            <wp:extent cx="5731510" cy="2336800"/>
            <wp:effectExtent l="0" t="0" r="2540" b="6350"/>
            <wp:docPr id="16265583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55830" name="Picture 162655830"/>
                    <pic:cNvPicPr/>
                  </pic:nvPicPr>
                  <pic:blipFill>
                    <a:blip r:embed="rId11">
                      <a:extLst>
                        <a:ext uri="{28A0092B-C50C-407E-A947-70E740481C1C}">
                          <a14:useLocalDpi xmlns:a14="http://schemas.microsoft.com/office/drawing/2010/main" val="0"/>
                        </a:ext>
                      </a:extLst>
                    </a:blip>
                    <a:stretch>
                      <a:fillRect/>
                    </a:stretch>
                  </pic:blipFill>
                  <pic:spPr>
                    <a:xfrm>
                      <a:off x="0" y="0"/>
                      <a:ext cx="5731510" cy="2336800"/>
                    </a:xfrm>
                    <a:prstGeom prst="rect">
                      <a:avLst/>
                    </a:prstGeom>
                  </pic:spPr>
                </pic:pic>
              </a:graphicData>
            </a:graphic>
          </wp:inline>
        </w:drawing>
      </w:r>
    </w:p>
    <w:p w14:paraId="7C18E05B" w14:textId="384A3E77" w:rsidR="00C40EFF" w:rsidRPr="00112FD1" w:rsidRDefault="000569ED" w:rsidP="000569ED">
      <w:pPr>
        <w:spacing w:line="360" w:lineRule="auto"/>
        <w:jc w:val="center"/>
        <w:rPr>
          <w:rFonts w:ascii="Arial" w:hAnsi="Arial" w:cs="Arial"/>
        </w:rPr>
      </w:pPr>
      <w:r>
        <w:rPr>
          <w:rFonts w:ascii="Arial" w:hAnsi="Arial" w:cs="Arial"/>
        </w:rPr>
        <w:t>Table: Implementation</w:t>
      </w:r>
    </w:p>
    <w:p w14:paraId="0B513AB9" w14:textId="0BECA283" w:rsidR="0096541D" w:rsidRPr="00112FD1" w:rsidRDefault="0096541D" w:rsidP="00405D38">
      <w:pPr>
        <w:pStyle w:val="Heading1"/>
        <w:spacing w:line="360" w:lineRule="auto"/>
        <w:jc w:val="both"/>
        <w:rPr>
          <w:rFonts w:ascii="Arial" w:hAnsi="Arial" w:cs="Arial"/>
        </w:rPr>
      </w:pPr>
      <w:bookmarkStart w:id="20" w:name="_Toc224479698"/>
      <w:r w:rsidRPr="00112FD1">
        <w:rPr>
          <w:rFonts w:ascii="Arial" w:hAnsi="Arial" w:cs="Arial"/>
        </w:rPr>
        <w:t>8. Conclusion</w:t>
      </w:r>
      <w:bookmarkEnd w:id="20"/>
      <w:r w:rsidRPr="00112FD1">
        <w:rPr>
          <w:rFonts w:ascii="Arial" w:hAnsi="Arial" w:cs="Arial"/>
        </w:rPr>
        <w:t xml:space="preserve"> </w:t>
      </w:r>
    </w:p>
    <w:p w14:paraId="46469264" w14:textId="77777777" w:rsidR="0096541D" w:rsidRPr="0096541D" w:rsidRDefault="0096541D" w:rsidP="00405D38">
      <w:pPr>
        <w:spacing w:line="360" w:lineRule="auto"/>
        <w:jc w:val="both"/>
        <w:rPr>
          <w:rFonts w:ascii="Arial" w:hAnsi="Arial" w:cs="Arial"/>
        </w:rPr>
      </w:pPr>
      <w:r w:rsidRPr="0096541D">
        <w:rPr>
          <w:rFonts w:ascii="Arial" w:hAnsi="Arial" w:cs="Arial"/>
        </w:rPr>
        <w:t>This report examined the strategic position of Innocent Drinks and explored potential growth strategies that could support the company’s long-term development within the highly competitive health and wellness beverage industry. The analysis of the external environment through PESTEL, Porter’s Five Forces and SWOT highlighted both opportunities and challenges facing the organisation, particularly the increasing demand for healthier beverages alongside rising industry competition.</w:t>
      </w:r>
    </w:p>
    <w:p w14:paraId="1C6ACF3C" w14:textId="77777777" w:rsidR="0096541D" w:rsidRPr="0096541D" w:rsidRDefault="0096541D" w:rsidP="00405D38">
      <w:pPr>
        <w:spacing w:line="360" w:lineRule="auto"/>
        <w:jc w:val="both"/>
        <w:rPr>
          <w:rFonts w:ascii="Arial" w:hAnsi="Arial" w:cs="Arial"/>
        </w:rPr>
      </w:pPr>
      <w:r w:rsidRPr="0096541D">
        <w:rPr>
          <w:rFonts w:ascii="Arial" w:hAnsi="Arial" w:cs="Arial"/>
        </w:rPr>
        <w:t xml:space="preserve">Based on this analysis, a </w:t>
      </w:r>
      <w:r w:rsidRPr="0096541D">
        <w:rPr>
          <w:rFonts w:ascii="Arial" w:hAnsi="Arial" w:cs="Arial"/>
          <w:b/>
          <w:bCs/>
        </w:rPr>
        <w:t>product development strategy supported by differentiation</w:t>
      </w:r>
      <w:r w:rsidRPr="0096541D">
        <w:rPr>
          <w:rFonts w:ascii="Arial" w:hAnsi="Arial" w:cs="Arial"/>
        </w:rPr>
        <w:t xml:space="preserve"> was identified as the most appropriate growth option. This strategy allows Innocent Drinks to build on its existing brand reputation for natural and sustainable products while responding to evolving consumer preferences for healthier and more innovative beverages.</w:t>
      </w:r>
    </w:p>
    <w:p w14:paraId="489D0085" w14:textId="77777777" w:rsidR="0096541D" w:rsidRPr="0096541D" w:rsidRDefault="0096541D" w:rsidP="00405D38">
      <w:pPr>
        <w:spacing w:line="360" w:lineRule="auto"/>
        <w:jc w:val="both"/>
        <w:rPr>
          <w:rFonts w:ascii="Arial" w:hAnsi="Arial" w:cs="Arial"/>
        </w:rPr>
      </w:pPr>
      <w:r w:rsidRPr="0096541D">
        <w:rPr>
          <w:rFonts w:ascii="Arial" w:hAnsi="Arial" w:cs="Arial"/>
        </w:rPr>
        <w:t xml:space="preserve">The strategy was further evaluated using the </w:t>
      </w:r>
      <w:r w:rsidRPr="0096541D">
        <w:rPr>
          <w:rFonts w:ascii="Arial" w:hAnsi="Arial" w:cs="Arial"/>
          <w:b/>
          <w:bCs/>
        </w:rPr>
        <w:t>SFA framework</w:t>
      </w:r>
      <w:r w:rsidRPr="0096541D">
        <w:rPr>
          <w:rFonts w:ascii="Arial" w:hAnsi="Arial" w:cs="Arial"/>
        </w:rPr>
        <w:t>, which demonstrated that the proposed approach is suitable given market trends, feasible based on the organisation’s capabilities and largely acceptable to key stakeholders. Finally, the implementation plan and monitoring system highlighted the importance of clear objectives, employee commitment and measurable performance indicators.</w:t>
      </w:r>
    </w:p>
    <w:p w14:paraId="4A29D258" w14:textId="77777777" w:rsidR="0096541D" w:rsidRPr="0096541D" w:rsidRDefault="0096541D" w:rsidP="00405D38">
      <w:pPr>
        <w:spacing w:line="360" w:lineRule="auto"/>
        <w:jc w:val="both"/>
        <w:rPr>
          <w:rFonts w:ascii="Arial" w:hAnsi="Arial" w:cs="Arial"/>
        </w:rPr>
      </w:pPr>
      <w:r w:rsidRPr="0096541D">
        <w:rPr>
          <w:rFonts w:ascii="Arial" w:hAnsi="Arial" w:cs="Arial"/>
        </w:rPr>
        <w:t>Overall, by continuing to innovate while remaining consistent with its sustainability values, Innocent Drinks can strengthen its competitive position and achieve sustainable long-term growth.</w:t>
      </w:r>
    </w:p>
    <w:p w14:paraId="5C2FDAB7" w14:textId="77777777" w:rsidR="00112FD1" w:rsidRPr="00112FD1" w:rsidRDefault="00112FD1" w:rsidP="00405D38">
      <w:pPr>
        <w:spacing w:line="360" w:lineRule="auto"/>
        <w:jc w:val="both"/>
        <w:rPr>
          <w:rFonts w:ascii="Arial" w:hAnsi="Arial" w:cs="Arial"/>
        </w:rPr>
      </w:pPr>
    </w:p>
    <w:p w14:paraId="01954993" w14:textId="1984B298" w:rsidR="00FF2C38" w:rsidRPr="00112FD1" w:rsidRDefault="00FF2C38" w:rsidP="00405D38">
      <w:pPr>
        <w:pStyle w:val="Heading1"/>
        <w:spacing w:line="360" w:lineRule="auto"/>
        <w:jc w:val="both"/>
        <w:rPr>
          <w:rFonts w:ascii="Arial" w:hAnsi="Arial" w:cs="Arial"/>
        </w:rPr>
      </w:pPr>
      <w:bookmarkStart w:id="21" w:name="_Toc224479699"/>
      <w:r w:rsidRPr="00112FD1">
        <w:rPr>
          <w:rFonts w:ascii="Arial" w:hAnsi="Arial" w:cs="Arial"/>
        </w:rPr>
        <w:lastRenderedPageBreak/>
        <w:t>9.Reference</w:t>
      </w:r>
      <w:r w:rsidR="006159C5">
        <w:rPr>
          <w:rFonts w:ascii="Arial" w:hAnsi="Arial" w:cs="Arial"/>
        </w:rPr>
        <w:t>s</w:t>
      </w:r>
      <w:bookmarkEnd w:id="21"/>
    </w:p>
    <w:p w14:paraId="134C9F7B" w14:textId="77777777" w:rsidR="00112FD1" w:rsidRPr="00413CC7" w:rsidRDefault="00112FD1" w:rsidP="00405D38">
      <w:pPr>
        <w:spacing w:line="360" w:lineRule="auto"/>
        <w:jc w:val="both"/>
        <w:rPr>
          <w:rFonts w:ascii="Arial" w:hAnsi="Arial" w:cs="Arial"/>
        </w:rPr>
      </w:pPr>
    </w:p>
    <w:p w14:paraId="36AD5ED7" w14:textId="6A275D83" w:rsidR="000A2EE0" w:rsidRPr="000A2EE0" w:rsidRDefault="000A2EE0" w:rsidP="00405D38">
      <w:pPr>
        <w:pStyle w:val="NormalWeb"/>
        <w:numPr>
          <w:ilvl w:val="0"/>
          <w:numId w:val="2"/>
        </w:numPr>
        <w:spacing w:line="360" w:lineRule="auto"/>
        <w:jc w:val="both"/>
        <w:rPr>
          <w:rFonts w:ascii="Arial" w:hAnsi="Arial" w:cs="Arial"/>
        </w:rPr>
      </w:pPr>
      <w:r w:rsidRPr="000A2EE0">
        <w:rPr>
          <w:rFonts w:ascii="Arial" w:hAnsi="Arial" w:cs="Arial"/>
        </w:rPr>
        <w:t xml:space="preserve">  </w:t>
      </w:r>
      <w:proofErr w:type="spellStart"/>
      <w:r w:rsidRPr="000A2EE0">
        <w:rPr>
          <w:rFonts w:ascii="Arial" w:hAnsi="Arial" w:cs="Arial"/>
        </w:rPr>
        <w:t>Bonnafous</w:t>
      </w:r>
      <w:proofErr w:type="spellEnd"/>
      <w:r w:rsidRPr="000A2EE0">
        <w:rPr>
          <w:rFonts w:ascii="Arial" w:hAnsi="Arial" w:cs="Arial"/>
        </w:rPr>
        <w:t xml:space="preserve">-Boucher, M. and Rendtorff, J.D. (2016) ‘Stakeholder Theory in Strategic Management’, in </w:t>
      </w:r>
      <w:r w:rsidRPr="000A2EE0">
        <w:rPr>
          <w:rStyle w:val="Emphasis"/>
          <w:rFonts w:ascii="Arial" w:eastAsiaTheme="majorEastAsia" w:hAnsi="Arial" w:cs="Arial"/>
        </w:rPr>
        <w:t>Stakeholder Theory</w:t>
      </w:r>
      <w:r w:rsidRPr="000A2EE0">
        <w:rPr>
          <w:rFonts w:ascii="Arial" w:hAnsi="Arial" w:cs="Arial"/>
        </w:rPr>
        <w:t xml:space="preserve">. Cham: Springer, pp. 21–39. Available at: </w:t>
      </w:r>
      <w:hyperlink r:id="rId12" w:tgtFrame="_new" w:history="1">
        <w:r w:rsidRPr="000A2EE0">
          <w:rPr>
            <w:rStyle w:val="Hyperlink"/>
            <w:rFonts w:ascii="Arial" w:eastAsiaTheme="majorEastAsia" w:hAnsi="Arial" w:cs="Arial"/>
          </w:rPr>
          <w:t>https://link.springer.com/chapter/10.1007/978-3-319-44356-0_2</w:t>
        </w:r>
      </w:hyperlink>
      <w:r w:rsidRPr="000A2EE0">
        <w:rPr>
          <w:rFonts w:ascii="Arial" w:hAnsi="Arial" w:cs="Arial"/>
        </w:rPr>
        <w:t xml:space="preserve"> (Accessed: 01 March 2026).</w:t>
      </w:r>
    </w:p>
    <w:p w14:paraId="341C1FAB" w14:textId="033B4E53" w:rsidR="000A2EE0" w:rsidRPr="000A2EE0" w:rsidRDefault="000A2EE0" w:rsidP="00405D38">
      <w:pPr>
        <w:pStyle w:val="NormalWeb"/>
        <w:numPr>
          <w:ilvl w:val="0"/>
          <w:numId w:val="2"/>
        </w:numPr>
        <w:spacing w:line="360" w:lineRule="auto"/>
        <w:jc w:val="both"/>
        <w:rPr>
          <w:rFonts w:ascii="Arial" w:hAnsi="Arial" w:cs="Arial"/>
        </w:rPr>
      </w:pPr>
      <w:r w:rsidRPr="000A2EE0">
        <w:rPr>
          <w:rFonts w:ascii="Arial" w:hAnsi="Arial" w:cs="Arial"/>
        </w:rPr>
        <w:t xml:space="preserve">  Boston Consulting Group (2022) ‘Boston Consulting Group matrix: possibilities of use in economic analysis’, </w:t>
      </w:r>
      <w:r w:rsidRPr="000A2EE0">
        <w:rPr>
          <w:rStyle w:val="Emphasis"/>
          <w:rFonts w:ascii="Arial" w:eastAsiaTheme="majorEastAsia" w:hAnsi="Arial" w:cs="Arial"/>
        </w:rPr>
        <w:t>Science Horizon</w:t>
      </w:r>
      <w:r w:rsidRPr="000A2EE0">
        <w:rPr>
          <w:rFonts w:ascii="Arial" w:hAnsi="Arial" w:cs="Arial"/>
        </w:rPr>
        <w:t xml:space="preserve">, 25(7). Available at: </w:t>
      </w:r>
      <w:hyperlink r:id="rId13" w:tgtFrame="_new" w:history="1">
        <w:r w:rsidRPr="000A2EE0">
          <w:rPr>
            <w:rStyle w:val="Hyperlink"/>
            <w:rFonts w:ascii="Arial" w:eastAsiaTheme="majorEastAsia" w:hAnsi="Arial" w:cs="Arial"/>
          </w:rPr>
          <w:t>https://sciencehorizon.com.ua/en/journals/tom-25-7-2022/boston-sonsulting-group-matrix-mozhlivosti-vikoristannya-v-ekonomichnomu-analizi</w:t>
        </w:r>
      </w:hyperlink>
      <w:r w:rsidRPr="000A2EE0">
        <w:rPr>
          <w:rFonts w:ascii="Arial" w:hAnsi="Arial" w:cs="Arial"/>
        </w:rPr>
        <w:t xml:space="preserve"> (Accessed: 01 March 2026).</w:t>
      </w:r>
    </w:p>
    <w:p w14:paraId="35F7BA7D" w14:textId="15387091" w:rsidR="000A2EE0" w:rsidRPr="000A2EE0" w:rsidRDefault="000A2EE0" w:rsidP="00405D38">
      <w:pPr>
        <w:pStyle w:val="NormalWeb"/>
        <w:numPr>
          <w:ilvl w:val="0"/>
          <w:numId w:val="2"/>
        </w:numPr>
        <w:spacing w:line="360" w:lineRule="auto"/>
        <w:jc w:val="both"/>
        <w:rPr>
          <w:rFonts w:ascii="Arial" w:hAnsi="Arial" w:cs="Arial"/>
        </w:rPr>
      </w:pPr>
      <w:r w:rsidRPr="000A2EE0">
        <w:rPr>
          <w:rFonts w:ascii="Arial" w:hAnsi="Arial" w:cs="Arial"/>
        </w:rPr>
        <w:t xml:space="preserve">  Chama, M., Hara, M., Mwelwa, S., Chishimba, K. and Mambwe, M. (2025) ‘Power and interest levels in safely managed sanitation services in Zambia: A stakeholder mapping’, </w:t>
      </w:r>
      <w:r w:rsidRPr="000A2EE0">
        <w:rPr>
          <w:rStyle w:val="Emphasis"/>
          <w:rFonts w:ascii="Arial" w:eastAsiaTheme="majorEastAsia" w:hAnsi="Arial" w:cs="Arial"/>
        </w:rPr>
        <w:t>PLOS One</w:t>
      </w:r>
      <w:r w:rsidRPr="000A2EE0">
        <w:rPr>
          <w:rFonts w:ascii="Arial" w:hAnsi="Arial" w:cs="Arial"/>
        </w:rPr>
        <w:t xml:space="preserve">. Available at: </w:t>
      </w:r>
      <w:hyperlink r:id="rId14" w:tgtFrame="_new" w:history="1">
        <w:r w:rsidRPr="000A2EE0">
          <w:rPr>
            <w:rStyle w:val="Hyperlink"/>
            <w:rFonts w:ascii="Arial" w:eastAsiaTheme="majorEastAsia" w:hAnsi="Arial" w:cs="Arial"/>
          </w:rPr>
          <w:t>https://journals.plos.org/plosone/article?id=10.1371/journal.pone.0335130</w:t>
        </w:r>
      </w:hyperlink>
      <w:r w:rsidRPr="000A2EE0">
        <w:rPr>
          <w:rFonts w:ascii="Arial" w:hAnsi="Arial" w:cs="Arial"/>
        </w:rPr>
        <w:t xml:space="preserve"> (Accessed: 01 March 2026).</w:t>
      </w:r>
    </w:p>
    <w:p w14:paraId="7BBA1F4E" w14:textId="314316D0" w:rsidR="000A2EE0" w:rsidRPr="000A2EE0" w:rsidRDefault="000A2EE0" w:rsidP="00405D38">
      <w:pPr>
        <w:pStyle w:val="NormalWeb"/>
        <w:numPr>
          <w:ilvl w:val="0"/>
          <w:numId w:val="2"/>
        </w:numPr>
        <w:spacing w:line="360" w:lineRule="auto"/>
        <w:jc w:val="both"/>
        <w:rPr>
          <w:rFonts w:ascii="Arial" w:hAnsi="Arial" w:cs="Arial"/>
        </w:rPr>
      </w:pPr>
      <w:r w:rsidRPr="000A2EE0">
        <w:rPr>
          <w:rFonts w:ascii="Arial" w:hAnsi="Arial" w:cs="Arial"/>
        </w:rPr>
        <w:t xml:space="preserve">  Cooper, R.G. and Kleinschmidt, E.J. (1986) ‘An investigation into the new product process: steps, deficiencies and impact’, </w:t>
      </w:r>
      <w:r w:rsidRPr="000A2EE0">
        <w:rPr>
          <w:rStyle w:val="Emphasis"/>
          <w:rFonts w:ascii="Arial" w:eastAsiaTheme="majorEastAsia" w:hAnsi="Arial" w:cs="Arial"/>
        </w:rPr>
        <w:t>Industrial Marketing Management</w:t>
      </w:r>
      <w:r w:rsidRPr="000A2EE0">
        <w:rPr>
          <w:rFonts w:ascii="Arial" w:hAnsi="Arial" w:cs="Arial"/>
        </w:rPr>
        <w:t xml:space="preserve">, 15(2), pp. 71–85. Available at: </w:t>
      </w:r>
      <w:hyperlink r:id="rId15" w:tgtFrame="_new" w:history="1">
        <w:r w:rsidRPr="000A2EE0">
          <w:rPr>
            <w:rStyle w:val="Hyperlink"/>
            <w:rFonts w:ascii="Arial" w:eastAsiaTheme="majorEastAsia" w:hAnsi="Arial" w:cs="Arial"/>
          </w:rPr>
          <w:t>https://www.sciencedirect.com/science/article/abs/pii/0737678286900305</w:t>
        </w:r>
      </w:hyperlink>
      <w:r w:rsidRPr="000A2EE0">
        <w:rPr>
          <w:rFonts w:ascii="Arial" w:hAnsi="Arial" w:cs="Arial"/>
        </w:rPr>
        <w:t xml:space="preserve"> (Accessed: 01 March 2026).</w:t>
      </w:r>
    </w:p>
    <w:p w14:paraId="2E4FE1A2" w14:textId="75CEF384" w:rsidR="000A2EE0" w:rsidRPr="000A2EE0" w:rsidRDefault="000A2EE0" w:rsidP="00405D38">
      <w:pPr>
        <w:pStyle w:val="NormalWeb"/>
        <w:numPr>
          <w:ilvl w:val="0"/>
          <w:numId w:val="2"/>
        </w:numPr>
        <w:spacing w:line="360" w:lineRule="auto"/>
        <w:jc w:val="both"/>
        <w:rPr>
          <w:rFonts w:ascii="Arial" w:hAnsi="Arial" w:cs="Arial"/>
        </w:rPr>
      </w:pPr>
      <w:r w:rsidRPr="000A2EE0">
        <w:rPr>
          <w:rFonts w:ascii="Arial" w:hAnsi="Arial" w:cs="Arial"/>
        </w:rPr>
        <w:t xml:space="preserve">  Cooper, R.G. and Kleinschmidt, E.J. (1994) ‘Determinants of timeliness in product development’, </w:t>
      </w:r>
      <w:r w:rsidRPr="000A2EE0">
        <w:rPr>
          <w:rStyle w:val="Emphasis"/>
          <w:rFonts w:ascii="Arial" w:eastAsiaTheme="majorEastAsia" w:hAnsi="Arial" w:cs="Arial"/>
        </w:rPr>
        <w:t>Industrial Marketing Management</w:t>
      </w:r>
      <w:r w:rsidRPr="000A2EE0">
        <w:rPr>
          <w:rFonts w:ascii="Arial" w:hAnsi="Arial" w:cs="Arial"/>
        </w:rPr>
        <w:t xml:space="preserve">, 23(5), pp. 381–396. Available at: </w:t>
      </w:r>
      <w:hyperlink r:id="rId16" w:tgtFrame="_new" w:history="1">
        <w:r w:rsidRPr="000A2EE0">
          <w:rPr>
            <w:rStyle w:val="Hyperlink"/>
            <w:rFonts w:ascii="Arial" w:eastAsiaTheme="majorEastAsia" w:hAnsi="Arial" w:cs="Arial"/>
          </w:rPr>
          <w:t>https://www.sciencedirect.com/science/article/abs/pii/073767829400026C</w:t>
        </w:r>
      </w:hyperlink>
      <w:r w:rsidRPr="000A2EE0">
        <w:rPr>
          <w:rFonts w:ascii="Arial" w:hAnsi="Arial" w:cs="Arial"/>
        </w:rPr>
        <w:t xml:space="preserve"> (Accessed: 01 March 2026).</w:t>
      </w:r>
    </w:p>
    <w:p w14:paraId="498FC5B7" w14:textId="656A9312" w:rsidR="000A2EE0" w:rsidRPr="000A2EE0" w:rsidRDefault="000A2EE0" w:rsidP="00405D38">
      <w:pPr>
        <w:pStyle w:val="NormalWeb"/>
        <w:numPr>
          <w:ilvl w:val="0"/>
          <w:numId w:val="2"/>
        </w:numPr>
        <w:spacing w:line="360" w:lineRule="auto"/>
        <w:jc w:val="both"/>
        <w:rPr>
          <w:rFonts w:ascii="Arial" w:hAnsi="Arial" w:cs="Arial"/>
        </w:rPr>
      </w:pPr>
      <w:r w:rsidRPr="000A2EE0">
        <w:rPr>
          <w:rFonts w:ascii="Arial" w:hAnsi="Arial" w:cs="Arial"/>
        </w:rPr>
        <w:t xml:space="preserve"> García, M., López, J. and Martínez, P. (2018) ‘Strategy implementation and organisational performance’, </w:t>
      </w:r>
      <w:r w:rsidRPr="000A2EE0">
        <w:rPr>
          <w:rStyle w:val="Emphasis"/>
          <w:rFonts w:ascii="Arial" w:eastAsiaTheme="majorEastAsia" w:hAnsi="Arial" w:cs="Arial"/>
        </w:rPr>
        <w:t>International Journal of Business Process Management</w:t>
      </w:r>
      <w:r w:rsidRPr="000A2EE0">
        <w:rPr>
          <w:rFonts w:ascii="Arial" w:hAnsi="Arial" w:cs="Arial"/>
        </w:rPr>
        <w:t xml:space="preserve">, 12(3), pp. 245–260. Available at: </w:t>
      </w:r>
      <w:hyperlink r:id="rId17" w:tgtFrame="_new" w:history="1">
        <w:r w:rsidRPr="000A2EE0">
          <w:rPr>
            <w:rStyle w:val="Hyperlink"/>
            <w:rFonts w:ascii="Arial" w:eastAsiaTheme="majorEastAsia" w:hAnsi="Arial" w:cs="Arial"/>
          </w:rPr>
          <w:t>https://www.inderscienceonline.com/doi/abs/10.1504/IJBPM.2018.095095</w:t>
        </w:r>
      </w:hyperlink>
      <w:r w:rsidRPr="000A2EE0">
        <w:rPr>
          <w:rFonts w:ascii="Arial" w:hAnsi="Arial" w:cs="Arial"/>
        </w:rPr>
        <w:t xml:space="preserve"> (Accessed: 01 March 2026).</w:t>
      </w:r>
    </w:p>
    <w:p w14:paraId="2BA0CA5C" w14:textId="4499195E" w:rsidR="000A2EE0" w:rsidRPr="000A2EE0" w:rsidRDefault="000A2EE0" w:rsidP="00405D38">
      <w:pPr>
        <w:pStyle w:val="NormalWeb"/>
        <w:numPr>
          <w:ilvl w:val="0"/>
          <w:numId w:val="2"/>
        </w:numPr>
        <w:spacing w:line="360" w:lineRule="auto"/>
        <w:jc w:val="both"/>
        <w:rPr>
          <w:rFonts w:ascii="Arial" w:hAnsi="Arial" w:cs="Arial"/>
        </w:rPr>
      </w:pPr>
      <w:r w:rsidRPr="000A2EE0">
        <w:rPr>
          <w:rFonts w:ascii="Arial" w:hAnsi="Arial" w:cs="Arial"/>
        </w:rPr>
        <w:lastRenderedPageBreak/>
        <w:t xml:space="preserve">  Girotra, K., </w:t>
      </w:r>
      <w:proofErr w:type="spellStart"/>
      <w:r w:rsidRPr="000A2EE0">
        <w:rPr>
          <w:rFonts w:ascii="Arial" w:hAnsi="Arial" w:cs="Arial"/>
        </w:rPr>
        <w:t>Terwiesch</w:t>
      </w:r>
      <w:proofErr w:type="spellEnd"/>
      <w:r w:rsidRPr="000A2EE0">
        <w:rPr>
          <w:rFonts w:ascii="Arial" w:hAnsi="Arial" w:cs="Arial"/>
        </w:rPr>
        <w:t xml:space="preserve">, C. and Ulrich, K.T. (2012) ‘Idea generation and the quality of the best idea’, </w:t>
      </w:r>
      <w:r w:rsidRPr="000A2EE0">
        <w:rPr>
          <w:rStyle w:val="Emphasis"/>
          <w:rFonts w:ascii="Arial" w:eastAsiaTheme="majorEastAsia" w:hAnsi="Arial" w:cs="Arial"/>
        </w:rPr>
        <w:t>Management Science</w:t>
      </w:r>
      <w:r w:rsidRPr="000A2EE0">
        <w:rPr>
          <w:rFonts w:ascii="Arial" w:hAnsi="Arial" w:cs="Arial"/>
        </w:rPr>
        <w:t xml:space="preserve">, 58(4), pp. 591–605. Available at: </w:t>
      </w:r>
      <w:hyperlink r:id="rId18" w:tgtFrame="_new" w:history="1">
        <w:r w:rsidRPr="000A2EE0">
          <w:rPr>
            <w:rStyle w:val="Hyperlink"/>
            <w:rFonts w:ascii="Arial" w:eastAsiaTheme="majorEastAsia" w:hAnsi="Arial" w:cs="Arial"/>
          </w:rPr>
          <w:t>https://onlinelibrary.wiley.com/doi/10.1111/j.1540-5915.2011.00315</w:t>
        </w:r>
      </w:hyperlink>
      <w:r w:rsidRPr="000A2EE0">
        <w:rPr>
          <w:rFonts w:ascii="Arial" w:hAnsi="Arial" w:cs="Arial"/>
        </w:rPr>
        <w:t xml:space="preserve"> (Accessed: 01 March 2026).</w:t>
      </w:r>
    </w:p>
    <w:p w14:paraId="527FECD5" w14:textId="7D6CF799" w:rsidR="000A2EE0" w:rsidRPr="000A2EE0" w:rsidRDefault="000A2EE0" w:rsidP="00405D38">
      <w:pPr>
        <w:pStyle w:val="NormalWeb"/>
        <w:numPr>
          <w:ilvl w:val="0"/>
          <w:numId w:val="2"/>
        </w:numPr>
        <w:spacing w:line="360" w:lineRule="auto"/>
        <w:jc w:val="both"/>
        <w:rPr>
          <w:rFonts w:ascii="Arial" w:hAnsi="Arial" w:cs="Arial"/>
        </w:rPr>
      </w:pPr>
      <w:r w:rsidRPr="000A2EE0">
        <w:rPr>
          <w:rFonts w:ascii="Arial" w:hAnsi="Arial" w:cs="Arial"/>
        </w:rPr>
        <w:t xml:space="preserve"> Greenley, G.E. and Bayus, B.L. (1993) ‘The role of market research in the development of discontinuous new products’, </w:t>
      </w:r>
      <w:r w:rsidRPr="000A2EE0">
        <w:rPr>
          <w:rStyle w:val="Emphasis"/>
          <w:rFonts w:ascii="Arial" w:eastAsiaTheme="majorEastAsia" w:hAnsi="Arial" w:cs="Arial"/>
        </w:rPr>
        <w:t>European Journal of Innovation Management</w:t>
      </w:r>
      <w:r w:rsidRPr="000A2EE0">
        <w:rPr>
          <w:rFonts w:ascii="Arial" w:hAnsi="Arial" w:cs="Arial"/>
        </w:rPr>
        <w:t xml:space="preserve">, 4(3), pp. 117–125. Available at: </w:t>
      </w:r>
      <w:hyperlink r:id="rId19" w:tgtFrame="_new" w:history="1">
        <w:r w:rsidRPr="000A2EE0">
          <w:rPr>
            <w:rStyle w:val="Hyperlink"/>
            <w:rFonts w:ascii="Arial" w:eastAsiaTheme="majorEastAsia" w:hAnsi="Arial" w:cs="Arial"/>
          </w:rPr>
          <w:t>https://www.emerald.com/ejim/article-abstract/4/3/117/74292/The-role-of-market-research-in-the-development-of</w:t>
        </w:r>
      </w:hyperlink>
      <w:r w:rsidRPr="000A2EE0">
        <w:rPr>
          <w:rFonts w:ascii="Arial" w:hAnsi="Arial" w:cs="Arial"/>
        </w:rPr>
        <w:t xml:space="preserve"> (Accessed: 01 March 2026).</w:t>
      </w:r>
    </w:p>
    <w:p w14:paraId="10AD972D" w14:textId="58639B4C" w:rsidR="000A2EE0" w:rsidRPr="000A2EE0" w:rsidRDefault="000A2EE0" w:rsidP="00405D38">
      <w:pPr>
        <w:pStyle w:val="NormalWeb"/>
        <w:numPr>
          <w:ilvl w:val="0"/>
          <w:numId w:val="2"/>
        </w:numPr>
        <w:spacing w:line="360" w:lineRule="auto"/>
        <w:jc w:val="both"/>
        <w:rPr>
          <w:rFonts w:ascii="Arial" w:hAnsi="Arial" w:cs="Arial"/>
        </w:rPr>
      </w:pPr>
      <w:r w:rsidRPr="000A2EE0">
        <w:rPr>
          <w:rFonts w:ascii="Arial" w:hAnsi="Arial" w:cs="Arial"/>
        </w:rPr>
        <w:t xml:space="preserve">  Grunig, J.E. and Repper, F.C. (1992) ‘Strategic management, publics and issues’, in Grunig, J.E. (ed.) </w:t>
      </w:r>
      <w:r w:rsidRPr="000A2EE0">
        <w:rPr>
          <w:rStyle w:val="Emphasis"/>
          <w:rFonts w:ascii="Arial" w:eastAsiaTheme="majorEastAsia" w:hAnsi="Arial" w:cs="Arial"/>
        </w:rPr>
        <w:t>Excellence in Public Relations and Communication Management</w:t>
      </w:r>
      <w:r w:rsidRPr="000A2EE0">
        <w:rPr>
          <w:rFonts w:ascii="Arial" w:hAnsi="Arial" w:cs="Arial"/>
        </w:rPr>
        <w:t xml:space="preserve">. New York: Routledge. Available at: </w:t>
      </w:r>
      <w:hyperlink r:id="rId20" w:tgtFrame="_new" w:history="1">
        <w:r w:rsidRPr="000A2EE0">
          <w:rPr>
            <w:rStyle w:val="Hyperlink"/>
            <w:rFonts w:ascii="Arial" w:eastAsiaTheme="majorEastAsia" w:hAnsi="Arial" w:cs="Arial"/>
          </w:rPr>
          <w:t>https://www.taylorfrancis.com/chapters/edit/10.4324/9780203812303-8/strategic-management-publics-issues-james-grunig-fred-repper</w:t>
        </w:r>
      </w:hyperlink>
      <w:r w:rsidRPr="000A2EE0">
        <w:rPr>
          <w:rFonts w:ascii="Arial" w:hAnsi="Arial" w:cs="Arial"/>
        </w:rPr>
        <w:t xml:space="preserve"> (Accessed: 01 March 2026).</w:t>
      </w:r>
    </w:p>
    <w:p w14:paraId="6E8D4D1F" w14:textId="2127E33E" w:rsidR="000A2EE0" w:rsidRPr="000A2EE0" w:rsidRDefault="000A2EE0" w:rsidP="00405D38">
      <w:pPr>
        <w:pStyle w:val="NormalWeb"/>
        <w:numPr>
          <w:ilvl w:val="0"/>
          <w:numId w:val="2"/>
        </w:numPr>
        <w:spacing w:line="360" w:lineRule="auto"/>
        <w:jc w:val="both"/>
        <w:rPr>
          <w:rFonts w:ascii="Arial" w:hAnsi="Arial" w:cs="Arial"/>
        </w:rPr>
      </w:pPr>
      <w:r w:rsidRPr="000A2EE0">
        <w:rPr>
          <w:rFonts w:ascii="Arial" w:hAnsi="Arial" w:cs="Arial"/>
        </w:rPr>
        <w:t xml:space="preserve"> </w:t>
      </w:r>
      <w:proofErr w:type="spellStart"/>
      <w:r w:rsidRPr="000A2EE0">
        <w:rPr>
          <w:rFonts w:ascii="Arial" w:hAnsi="Arial" w:cs="Arial"/>
        </w:rPr>
        <w:t>Gürçaylilar-Yenidogan</w:t>
      </w:r>
      <w:proofErr w:type="spellEnd"/>
      <w:r w:rsidRPr="000A2EE0">
        <w:rPr>
          <w:rFonts w:ascii="Arial" w:hAnsi="Arial" w:cs="Arial"/>
        </w:rPr>
        <w:t xml:space="preserve">, T. and Aksoy, H. (2018) ‘Applying Ansoff’s growth strategy matrix to innovation classification’, </w:t>
      </w:r>
      <w:r w:rsidRPr="000A2EE0">
        <w:rPr>
          <w:rStyle w:val="Emphasis"/>
          <w:rFonts w:ascii="Arial" w:eastAsiaTheme="majorEastAsia" w:hAnsi="Arial" w:cs="Arial"/>
        </w:rPr>
        <w:t>International Journal of Innovation Management</w:t>
      </w:r>
      <w:r w:rsidRPr="000A2EE0">
        <w:rPr>
          <w:rFonts w:ascii="Arial" w:hAnsi="Arial" w:cs="Arial"/>
        </w:rPr>
        <w:t xml:space="preserve">. Available at: </w:t>
      </w:r>
      <w:hyperlink r:id="rId21" w:tgtFrame="_new" w:history="1">
        <w:r w:rsidRPr="000A2EE0">
          <w:rPr>
            <w:rStyle w:val="Hyperlink"/>
            <w:rFonts w:ascii="Arial" w:eastAsiaTheme="majorEastAsia" w:hAnsi="Arial" w:cs="Arial"/>
          </w:rPr>
          <w:t>https://www.worldscientific.com/doi/abs/10.1142/S1363919618500391</w:t>
        </w:r>
      </w:hyperlink>
      <w:r w:rsidRPr="000A2EE0">
        <w:rPr>
          <w:rFonts w:ascii="Arial" w:hAnsi="Arial" w:cs="Arial"/>
        </w:rPr>
        <w:t xml:space="preserve"> (Accessed: 01 March 2026).</w:t>
      </w:r>
    </w:p>
    <w:p w14:paraId="3DD48BCF" w14:textId="124594EC" w:rsidR="000A2EE0" w:rsidRPr="000A2EE0" w:rsidRDefault="000A2EE0" w:rsidP="00405D38">
      <w:pPr>
        <w:pStyle w:val="NormalWeb"/>
        <w:numPr>
          <w:ilvl w:val="0"/>
          <w:numId w:val="2"/>
        </w:numPr>
        <w:spacing w:line="360" w:lineRule="auto"/>
        <w:jc w:val="both"/>
        <w:rPr>
          <w:rFonts w:ascii="Arial" w:hAnsi="Arial" w:cs="Arial"/>
        </w:rPr>
      </w:pPr>
      <w:r w:rsidRPr="000A2EE0">
        <w:rPr>
          <w:rFonts w:ascii="Arial" w:hAnsi="Arial" w:cs="Arial"/>
        </w:rPr>
        <w:t xml:space="preserve">  Innocent Drinks (2024) </w:t>
      </w:r>
      <w:r w:rsidRPr="000A2EE0">
        <w:rPr>
          <w:rStyle w:val="Emphasis"/>
          <w:rFonts w:ascii="Arial" w:eastAsiaTheme="majorEastAsia" w:hAnsi="Arial" w:cs="Arial"/>
        </w:rPr>
        <w:t>Smoothies and drinks</w:t>
      </w:r>
      <w:r w:rsidRPr="000A2EE0">
        <w:rPr>
          <w:rFonts w:ascii="Arial" w:hAnsi="Arial" w:cs="Arial"/>
        </w:rPr>
        <w:t xml:space="preserve">. Available at: </w:t>
      </w:r>
      <w:hyperlink r:id="rId22" w:tgtFrame="_new" w:history="1">
        <w:r w:rsidRPr="000A2EE0">
          <w:rPr>
            <w:rStyle w:val="Hyperlink"/>
            <w:rFonts w:ascii="Arial" w:eastAsiaTheme="majorEastAsia" w:hAnsi="Arial" w:cs="Arial"/>
          </w:rPr>
          <w:t>https://www.innocentdrinks.co.uk/things-we-make/smoothies</w:t>
        </w:r>
      </w:hyperlink>
      <w:r w:rsidRPr="000A2EE0">
        <w:rPr>
          <w:rFonts w:ascii="Arial" w:hAnsi="Arial" w:cs="Arial"/>
        </w:rPr>
        <w:t xml:space="preserve"> (Accessed: 01 March 2026).</w:t>
      </w:r>
    </w:p>
    <w:p w14:paraId="1E044D42" w14:textId="44128677" w:rsidR="000A2EE0" w:rsidRPr="000A2EE0" w:rsidRDefault="000A2EE0" w:rsidP="00405D38">
      <w:pPr>
        <w:pStyle w:val="NormalWeb"/>
        <w:numPr>
          <w:ilvl w:val="0"/>
          <w:numId w:val="2"/>
        </w:numPr>
        <w:spacing w:line="360" w:lineRule="auto"/>
        <w:jc w:val="both"/>
        <w:rPr>
          <w:rFonts w:ascii="Arial" w:hAnsi="Arial" w:cs="Arial"/>
        </w:rPr>
      </w:pPr>
      <w:r w:rsidRPr="000A2EE0">
        <w:rPr>
          <w:rFonts w:ascii="Arial" w:hAnsi="Arial" w:cs="Arial"/>
        </w:rPr>
        <w:t xml:space="preserve"> Sahlman, W.A. (2004) </w:t>
      </w:r>
      <w:r w:rsidRPr="000A2EE0">
        <w:rPr>
          <w:rStyle w:val="Emphasis"/>
          <w:rFonts w:ascii="Arial" w:eastAsiaTheme="majorEastAsia" w:hAnsi="Arial" w:cs="Arial"/>
        </w:rPr>
        <w:t>Innocent Drinks</w:t>
      </w:r>
      <w:r w:rsidRPr="000A2EE0">
        <w:rPr>
          <w:rFonts w:ascii="Arial" w:hAnsi="Arial" w:cs="Arial"/>
        </w:rPr>
        <w:t xml:space="preserve">. Harvard Business School Case Study. Available at: </w:t>
      </w:r>
      <w:hyperlink r:id="rId23" w:tgtFrame="_new" w:history="1">
        <w:r w:rsidRPr="000A2EE0">
          <w:rPr>
            <w:rStyle w:val="Hyperlink"/>
            <w:rFonts w:ascii="Arial" w:eastAsiaTheme="majorEastAsia" w:hAnsi="Arial" w:cs="Arial"/>
          </w:rPr>
          <w:t>https://faculty.washington.edu/pathaksd/BBUS549/Required%20Cases/Innocent%20Drinks%20Case.pdf</w:t>
        </w:r>
      </w:hyperlink>
      <w:r w:rsidRPr="000A2EE0">
        <w:rPr>
          <w:rFonts w:ascii="Arial" w:hAnsi="Arial" w:cs="Arial"/>
        </w:rPr>
        <w:t xml:space="preserve"> (Accessed: 01 March 2026).</w:t>
      </w:r>
    </w:p>
    <w:p w14:paraId="26149447" w14:textId="15BD65FD" w:rsidR="000A2EE0" w:rsidRPr="000A2EE0" w:rsidRDefault="000A2EE0" w:rsidP="00405D38">
      <w:pPr>
        <w:pStyle w:val="NormalWeb"/>
        <w:numPr>
          <w:ilvl w:val="0"/>
          <w:numId w:val="2"/>
        </w:numPr>
        <w:spacing w:line="360" w:lineRule="auto"/>
        <w:jc w:val="both"/>
        <w:rPr>
          <w:rFonts w:ascii="Arial" w:hAnsi="Arial" w:cs="Arial"/>
        </w:rPr>
      </w:pPr>
      <w:r w:rsidRPr="000A2EE0">
        <w:rPr>
          <w:rFonts w:ascii="Arial" w:hAnsi="Arial" w:cs="Arial"/>
        </w:rPr>
        <w:t xml:space="preserve">  Kaplan, R.S. and Norton, D.P. (1996) </w:t>
      </w:r>
      <w:r w:rsidRPr="000A2EE0">
        <w:rPr>
          <w:rStyle w:val="Emphasis"/>
          <w:rFonts w:ascii="Arial" w:eastAsiaTheme="majorEastAsia" w:hAnsi="Arial" w:cs="Arial"/>
        </w:rPr>
        <w:t>The Balanced Scorecard: Translating Strategy into Action</w:t>
      </w:r>
      <w:r w:rsidRPr="000A2EE0">
        <w:rPr>
          <w:rFonts w:ascii="Arial" w:hAnsi="Arial" w:cs="Arial"/>
        </w:rPr>
        <w:t xml:space="preserve">. Boston: Harvard Business School Press. Available at: </w:t>
      </w:r>
      <w:hyperlink r:id="rId24" w:tgtFrame="_new" w:history="1">
        <w:r w:rsidRPr="000A2EE0">
          <w:rPr>
            <w:rStyle w:val="Hyperlink"/>
            <w:rFonts w:ascii="Arial" w:eastAsiaTheme="majorEastAsia" w:hAnsi="Arial" w:cs="Arial"/>
          </w:rPr>
          <w:t>https://hbr.org/1996/01/using-the-balanced-scorecard-as-a-strategic-management-system</w:t>
        </w:r>
      </w:hyperlink>
      <w:r w:rsidRPr="000A2EE0">
        <w:rPr>
          <w:rFonts w:ascii="Arial" w:hAnsi="Arial" w:cs="Arial"/>
        </w:rPr>
        <w:t xml:space="preserve"> (Accessed: 01 March 2026).</w:t>
      </w:r>
    </w:p>
    <w:p w14:paraId="7E891D37" w14:textId="1DFE5DD3" w:rsidR="000A2EE0" w:rsidRPr="000A2EE0" w:rsidRDefault="000A2EE0" w:rsidP="00405D38">
      <w:pPr>
        <w:pStyle w:val="NormalWeb"/>
        <w:numPr>
          <w:ilvl w:val="0"/>
          <w:numId w:val="2"/>
        </w:numPr>
        <w:spacing w:line="360" w:lineRule="auto"/>
        <w:jc w:val="both"/>
        <w:rPr>
          <w:rFonts w:ascii="Arial" w:hAnsi="Arial" w:cs="Arial"/>
        </w:rPr>
      </w:pPr>
      <w:r w:rsidRPr="000A2EE0">
        <w:rPr>
          <w:rFonts w:ascii="Arial" w:hAnsi="Arial" w:cs="Arial"/>
        </w:rPr>
        <w:t xml:space="preserve">  Kaplan, R.S. and Norton, D.P. (2001) </w:t>
      </w:r>
      <w:r w:rsidRPr="000A2EE0">
        <w:rPr>
          <w:rStyle w:val="Emphasis"/>
          <w:rFonts w:ascii="Arial" w:eastAsiaTheme="majorEastAsia" w:hAnsi="Arial" w:cs="Arial"/>
        </w:rPr>
        <w:t>The Strategy-Focused Organization: How Balanced Scorecard Companies Thrive in the New Business Environment</w:t>
      </w:r>
      <w:r w:rsidRPr="000A2EE0">
        <w:rPr>
          <w:rFonts w:ascii="Arial" w:hAnsi="Arial" w:cs="Arial"/>
        </w:rPr>
        <w:t xml:space="preserve">. Boston: Harvard Business School Press. Available at: </w:t>
      </w:r>
      <w:hyperlink r:id="rId25" w:tgtFrame="_new" w:history="1">
        <w:r w:rsidRPr="000A2EE0">
          <w:rPr>
            <w:rStyle w:val="Hyperlink"/>
            <w:rFonts w:ascii="Arial" w:eastAsiaTheme="majorEastAsia" w:hAnsi="Arial" w:cs="Arial"/>
          </w:rPr>
          <w:t>https://hbr.org/product/the-strategy-focused-organization-how-balanced-scorecard-companies-thrive-in-the-new-business-environment/1000</w:t>
        </w:r>
      </w:hyperlink>
      <w:r w:rsidRPr="000A2EE0">
        <w:rPr>
          <w:rFonts w:ascii="Arial" w:hAnsi="Arial" w:cs="Arial"/>
        </w:rPr>
        <w:t xml:space="preserve"> (Accessed: 01 March 2026).</w:t>
      </w:r>
    </w:p>
    <w:p w14:paraId="6D32B460" w14:textId="426222FF" w:rsidR="000A2EE0" w:rsidRPr="000A2EE0" w:rsidRDefault="000A2EE0" w:rsidP="00405D38">
      <w:pPr>
        <w:pStyle w:val="NormalWeb"/>
        <w:numPr>
          <w:ilvl w:val="0"/>
          <w:numId w:val="2"/>
        </w:numPr>
        <w:spacing w:line="360" w:lineRule="auto"/>
        <w:jc w:val="both"/>
        <w:rPr>
          <w:rFonts w:ascii="Arial" w:hAnsi="Arial" w:cs="Arial"/>
        </w:rPr>
      </w:pPr>
      <w:r w:rsidRPr="000A2EE0">
        <w:rPr>
          <w:rFonts w:ascii="Arial" w:hAnsi="Arial" w:cs="Arial"/>
        </w:rPr>
        <w:t xml:space="preserve">  Kivits, R. and Sawang, S. (2021) ‘Stakeholder Theory’, in </w:t>
      </w:r>
      <w:r w:rsidRPr="000A2EE0">
        <w:rPr>
          <w:rStyle w:val="Emphasis"/>
          <w:rFonts w:ascii="Arial" w:eastAsiaTheme="majorEastAsia" w:hAnsi="Arial" w:cs="Arial"/>
        </w:rPr>
        <w:t>The Dynamism of Stakeholder Engagement</w:t>
      </w:r>
      <w:r w:rsidRPr="000A2EE0">
        <w:rPr>
          <w:rFonts w:ascii="Arial" w:hAnsi="Arial" w:cs="Arial"/>
        </w:rPr>
        <w:t xml:space="preserve">. Cham: Springer, pp. 1–8. Available at: </w:t>
      </w:r>
      <w:hyperlink r:id="rId26" w:tgtFrame="_new" w:history="1">
        <w:r w:rsidRPr="000A2EE0">
          <w:rPr>
            <w:rStyle w:val="Hyperlink"/>
            <w:rFonts w:ascii="Arial" w:eastAsiaTheme="majorEastAsia" w:hAnsi="Arial" w:cs="Arial"/>
          </w:rPr>
          <w:t>https://link.springer.com/chapter/10.1007/978-3-030-70428-5_1</w:t>
        </w:r>
      </w:hyperlink>
      <w:r w:rsidRPr="000A2EE0">
        <w:rPr>
          <w:rFonts w:ascii="Arial" w:hAnsi="Arial" w:cs="Arial"/>
        </w:rPr>
        <w:t xml:space="preserve"> (Accessed: 01 March 2026).</w:t>
      </w:r>
    </w:p>
    <w:p w14:paraId="4D3EA835" w14:textId="1B2F2C3F" w:rsidR="000A2EE0" w:rsidRPr="000A2EE0" w:rsidRDefault="000A2EE0" w:rsidP="00405D38">
      <w:pPr>
        <w:pStyle w:val="NormalWeb"/>
        <w:numPr>
          <w:ilvl w:val="0"/>
          <w:numId w:val="2"/>
        </w:numPr>
        <w:spacing w:line="360" w:lineRule="auto"/>
        <w:jc w:val="both"/>
        <w:rPr>
          <w:rFonts w:ascii="Arial" w:hAnsi="Arial" w:cs="Arial"/>
        </w:rPr>
      </w:pPr>
      <w:proofErr w:type="spellStart"/>
      <w:r w:rsidRPr="000A2EE0">
        <w:rPr>
          <w:rFonts w:ascii="Arial" w:hAnsi="Arial" w:cs="Arial"/>
        </w:rPr>
        <w:t>Kohtamäki</w:t>
      </w:r>
      <w:proofErr w:type="spellEnd"/>
      <w:r w:rsidRPr="000A2EE0">
        <w:rPr>
          <w:rFonts w:ascii="Arial" w:hAnsi="Arial" w:cs="Arial"/>
        </w:rPr>
        <w:t xml:space="preserve">, M., Kraus, S., Mäkelä, M. and Rönkkö, M. (2012) ‘The role of personnel commitment to strategy implementation and organisational learning within the relationship between strategic planning and company performance’, </w:t>
      </w:r>
      <w:r w:rsidRPr="000A2EE0">
        <w:rPr>
          <w:rStyle w:val="Emphasis"/>
          <w:rFonts w:ascii="Arial" w:eastAsiaTheme="majorEastAsia" w:hAnsi="Arial" w:cs="Arial"/>
        </w:rPr>
        <w:t>International Journal of Entrepreneurial Behaviour and Research</w:t>
      </w:r>
      <w:r w:rsidRPr="000A2EE0">
        <w:rPr>
          <w:rFonts w:ascii="Arial" w:hAnsi="Arial" w:cs="Arial"/>
        </w:rPr>
        <w:t xml:space="preserve">, 18(2), pp. 159–178. Available at: </w:t>
      </w:r>
      <w:hyperlink r:id="rId27" w:tgtFrame="_new" w:history="1">
        <w:r w:rsidRPr="000A2EE0">
          <w:rPr>
            <w:rStyle w:val="Hyperlink"/>
            <w:rFonts w:ascii="Arial" w:eastAsiaTheme="majorEastAsia" w:hAnsi="Arial" w:cs="Arial"/>
          </w:rPr>
          <w:t>https://www.emerald.com/ijebr/article-abstract/18/2/159/125416/The-role-of-personnel-commitment-to-strategy</w:t>
        </w:r>
      </w:hyperlink>
      <w:r w:rsidRPr="000A2EE0">
        <w:rPr>
          <w:rFonts w:ascii="Arial" w:hAnsi="Arial" w:cs="Arial"/>
        </w:rPr>
        <w:t xml:space="preserve"> (Accessed: 01 March 2026).</w:t>
      </w:r>
    </w:p>
    <w:p w14:paraId="77C7D14B" w14:textId="3F41D9E2" w:rsidR="000A2EE0" w:rsidRPr="000A2EE0" w:rsidRDefault="000A2EE0" w:rsidP="00405D38">
      <w:pPr>
        <w:pStyle w:val="NormalWeb"/>
        <w:numPr>
          <w:ilvl w:val="0"/>
          <w:numId w:val="2"/>
        </w:numPr>
        <w:spacing w:line="360" w:lineRule="auto"/>
        <w:jc w:val="both"/>
        <w:rPr>
          <w:rFonts w:ascii="Arial" w:hAnsi="Arial" w:cs="Arial"/>
        </w:rPr>
      </w:pPr>
      <w:r w:rsidRPr="000A2EE0">
        <w:rPr>
          <w:rFonts w:ascii="Arial" w:hAnsi="Arial" w:cs="Arial"/>
        </w:rPr>
        <w:t xml:space="preserve">Kraus, S., Breier, M. and </w:t>
      </w:r>
      <w:proofErr w:type="spellStart"/>
      <w:r w:rsidRPr="000A2EE0">
        <w:rPr>
          <w:rFonts w:ascii="Arial" w:hAnsi="Arial" w:cs="Arial"/>
        </w:rPr>
        <w:t>Dasí</w:t>
      </w:r>
      <w:proofErr w:type="spellEnd"/>
      <w:r w:rsidRPr="000A2EE0">
        <w:rPr>
          <w:rFonts w:ascii="Arial" w:hAnsi="Arial" w:cs="Arial"/>
        </w:rPr>
        <w:t xml:space="preserve">-Rodríguez, S. (2020) ‘Strategic orientations and organisational performance’, </w:t>
      </w:r>
      <w:r w:rsidRPr="000A2EE0">
        <w:rPr>
          <w:rStyle w:val="Emphasis"/>
          <w:rFonts w:ascii="Arial" w:eastAsiaTheme="majorEastAsia" w:hAnsi="Arial" w:cs="Arial"/>
        </w:rPr>
        <w:t>International Journal of Business Excellence</w:t>
      </w:r>
      <w:r w:rsidRPr="000A2EE0">
        <w:rPr>
          <w:rFonts w:ascii="Arial" w:hAnsi="Arial" w:cs="Arial"/>
        </w:rPr>
        <w:t xml:space="preserve">, 21(4), pp. 527–544. Available at: </w:t>
      </w:r>
      <w:hyperlink r:id="rId28" w:tgtFrame="_new" w:history="1">
        <w:r w:rsidRPr="000A2EE0">
          <w:rPr>
            <w:rStyle w:val="Hyperlink"/>
            <w:rFonts w:ascii="Arial" w:eastAsiaTheme="majorEastAsia" w:hAnsi="Arial" w:cs="Arial"/>
          </w:rPr>
          <w:t>https://www.inderscienceonline.com/doi/abs/10.1504/IJBEX.2020.106368</w:t>
        </w:r>
      </w:hyperlink>
      <w:r w:rsidRPr="000A2EE0">
        <w:rPr>
          <w:rFonts w:ascii="Arial" w:hAnsi="Arial" w:cs="Arial"/>
        </w:rPr>
        <w:t xml:space="preserve"> (Accessed: 01 March 2026).</w:t>
      </w:r>
    </w:p>
    <w:p w14:paraId="47B5147F" w14:textId="16D1C708" w:rsidR="000A2EE0" w:rsidRPr="000A2EE0" w:rsidRDefault="000A2EE0" w:rsidP="00405D38">
      <w:pPr>
        <w:pStyle w:val="NormalWeb"/>
        <w:numPr>
          <w:ilvl w:val="0"/>
          <w:numId w:val="2"/>
        </w:numPr>
        <w:spacing w:line="360" w:lineRule="auto"/>
        <w:jc w:val="both"/>
        <w:rPr>
          <w:rFonts w:ascii="Arial" w:hAnsi="Arial" w:cs="Arial"/>
        </w:rPr>
      </w:pPr>
      <w:r w:rsidRPr="000A2EE0">
        <w:rPr>
          <w:rFonts w:ascii="Arial" w:hAnsi="Arial" w:cs="Arial"/>
        </w:rPr>
        <w:t xml:space="preserve"> Kuzmin, O. and </w:t>
      </w:r>
      <w:proofErr w:type="spellStart"/>
      <w:r w:rsidRPr="000A2EE0">
        <w:rPr>
          <w:rFonts w:ascii="Arial" w:hAnsi="Arial" w:cs="Arial"/>
        </w:rPr>
        <w:t>Khilukha</w:t>
      </w:r>
      <w:proofErr w:type="spellEnd"/>
      <w:r w:rsidRPr="000A2EE0">
        <w:rPr>
          <w:rFonts w:ascii="Arial" w:hAnsi="Arial" w:cs="Arial"/>
        </w:rPr>
        <w:t xml:space="preserve">, O. (2016) ‘Regulation of stakeholders’ interests in corporate governance through negotiations’. Available at: </w:t>
      </w:r>
      <w:hyperlink r:id="rId29" w:tgtFrame="_new" w:history="1">
        <w:r w:rsidRPr="000A2EE0">
          <w:rPr>
            <w:rStyle w:val="Hyperlink"/>
            <w:rFonts w:ascii="Arial" w:eastAsiaTheme="majorEastAsia" w:hAnsi="Arial" w:cs="Arial"/>
          </w:rPr>
          <w:t>https://www.ceeol.com/search/article-detail?id=470146</w:t>
        </w:r>
      </w:hyperlink>
      <w:r w:rsidRPr="000A2EE0">
        <w:rPr>
          <w:rFonts w:ascii="Arial" w:hAnsi="Arial" w:cs="Arial"/>
        </w:rPr>
        <w:t xml:space="preserve"> (Accessed: 01 March 2026).</w:t>
      </w:r>
    </w:p>
    <w:p w14:paraId="08E0157F" w14:textId="08CD349C" w:rsidR="000A2EE0" w:rsidRPr="000A2EE0" w:rsidRDefault="000A2EE0" w:rsidP="00405D38">
      <w:pPr>
        <w:pStyle w:val="NormalWeb"/>
        <w:numPr>
          <w:ilvl w:val="0"/>
          <w:numId w:val="2"/>
        </w:numPr>
        <w:spacing w:line="360" w:lineRule="auto"/>
        <w:jc w:val="both"/>
        <w:rPr>
          <w:rFonts w:ascii="Arial" w:hAnsi="Arial" w:cs="Arial"/>
        </w:rPr>
      </w:pPr>
      <w:r w:rsidRPr="000A2EE0">
        <w:rPr>
          <w:rFonts w:ascii="Arial" w:hAnsi="Arial" w:cs="Arial"/>
        </w:rPr>
        <w:t xml:space="preserve">  Lăzăroiu, G. et al. (2021) ‘Strategic decision-making and organisational performance in sustainable business environments’, </w:t>
      </w:r>
      <w:r w:rsidRPr="000A2EE0">
        <w:rPr>
          <w:rStyle w:val="Emphasis"/>
          <w:rFonts w:ascii="Arial" w:eastAsiaTheme="majorEastAsia" w:hAnsi="Arial" w:cs="Arial"/>
        </w:rPr>
        <w:t>Procedia Computer Science</w:t>
      </w:r>
      <w:r w:rsidRPr="000A2EE0">
        <w:rPr>
          <w:rFonts w:ascii="Arial" w:hAnsi="Arial" w:cs="Arial"/>
        </w:rPr>
        <w:t xml:space="preserve">. Available at: </w:t>
      </w:r>
      <w:hyperlink r:id="rId30" w:tgtFrame="_new" w:history="1">
        <w:r w:rsidRPr="000A2EE0">
          <w:rPr>
            <w:rStyle w:val="Hyperlink"/>
            <w:rFonts w:ascii="Arial" w:eastAsiaTheme="majorEastAsia" w:hAnsi="Arial" w:cs="Arial"/>
          </w:rPr>
          <w:t>https://www.sciencedirect.com/science/article/pii/S1877050921002210</w:t>
        </w:r>
      </w:hyperlink>
      <w:r w:rsidRPr="000A2EE0">
        <w:rPr>
          <w:rFonts w:ascii="Arial" w:hAnsi="Arial" w:cs="Arial"/>
        </w:rPr>
        <w:t xml:space="preserve"> (Accessed: 01 March 2026).</w:t>
      </w:r>
    </w:p>
    <w:p w14:paraId="17A555F2" w14:textId="0457761F" w:rsidR="000A2EE0" w:rsidRPr="000A2EE0" w:rsidRDefault="000A2EE0" w:rsidP="00405D38">
      <w:pPr>
        <w:pStyle w:val="NormalWeb"/>
        <w:numPr>
          <w:ilvl w:val="0"/>
          <w:numId w:val="2"/>
        </w:numPr>
        <w:spacing w:line="360" w:lineRule="auto"/>
        <w:jc w:val="both"/>
        <w:rPr>
          <w:rFonts w:ascii="Arial" w:hAnsi="Arial" w:cs="Arial"/>
        </w:rPr>
      </w:pPr>
      <w:r w:rsidRPr="000A2EE0">
        <w:rPr>
          <w:rFonts w:ascii="Arial" w:hAnsi="Arial" w:cs="Arial"/>
        </w:rPr>
        <w:t xml:space="preserve"> Mahajan, R., Lim, W.M., Sareen, M., Kumar, S. and Panwar, R. (2023) ‘Stakeholder theory’, </w:t>
      </w:r>
      <w:r w:rsidRPr="000A2EE0">
        <w:rPr>
          <w:rStyle w:val="Emphasis"/>
          <w:rFonts w:ascii="Arial" w:eastAsiaTheme="majorEastAsia" w:hAnsi="Arial" w:cs="Arial"/>
        </w:rPr>
        <w:t>Journal of Business Research</w:t>
      </w:r>
      <w:r w:rsidRPr="000A2EE0">
        <w:rPr>
          <w:rFonts w:ascii="Arial" w:hAnsi="Arial" w:cs="Arial"/>
        </w:rPr>
        <w:t xml:space="preserve">, 166, 114104. Available at: </w:t>
      </w:r>
      <w:hyperlink r:id="rId31" w:tgtFrame="_new" w:history="1">
        <w:r w:rsidRPr="000A2EE0">
          <w:rPr>
            <w:rStyle w:val="Hyperlink"/>
            <w:rFonts w:ascii="Arial" w:eastAsiaTheme="majorEastAsia" w:hAnsi="Arial" w:cs="Arial"/>
          </w:rPr>
          <w:t>https://www.sciencedirect.com/science/article/pii/S0148296323004629</w:t>
        </w:r>
      </w:hyperlink>
      <w:r w:rsidRPr="000A2EE0">
        <w:rPr>
          <w:rFonts w:ascii="Arial" w:hAnsi="Arial" w:cs="Arial"/>
        </w:rPr>
        <w:t xml:space="preserve"> (Accessed: 01 March 2026).</w:t>
      </w:r>
    </w:p>
    <w:p w14:paraId="3CDEF038" w14:textId="2A5B3B3C" w:rsidR="000A2EE0" w:rsidRPr="000A2EE0" w:rsidRDefault="000A2EE0" w:rsidP="00405D38">
      <w:pPr>
        <w:pStyle w:val="NormalWeb"/>
        <w:numPr>
          <w:ilvl w:val="0"/>
          <w:numId w:val="2"/>
        </w:numPr>
        <w:spacing w:line="360" w:lineRule="auto"/>
        <w:jc w:val="both"/>
        <w:rPr>
          <w:rFonts w:ascii="Arial" w:hAnsi="Arial" w:cs="Arial"/>
        </w:rPr>
      </w:pPr>
      <w:r w:rsidRPr="000A2EE0">
        <w:rPr>
          <w:rFonts w:ascii="Arial" w:hAnsi="Arial" w:cs="Arial"/>
        </w:rPr>
        <w:t xml:space="preserve">  Miles, R.E. and Snow, C.C. (1978) ‘Organizational strategy, structure, and process’, </w:t>
      </w:r>
      <w:r w:rsidRPr="000A2EE0">
        <w:rPr>
          <w:rStyle w:val="Emphasis"/>
          <w:rFonts w:ascii="Arial" w:eastAsiaTheme="majorEastAsia" w:hAnsi="Arial" w:cs="Arial"/>
        </w:rPr>
        <w:t>Academy of Management Review</w:t>
      </w:r>
      <w:r w:rsidRPr="000A2EE0">
        <w:rPr>
          <w:rFonts w:ascii="Arial" w:hAnsi="Arial" w:cs="Arial"/>
        </w:rPr>
        <w:t xml:space="preserve">. Available at: </w:t>
      </w:r>
      <w:hyperlink r:id="rId32" w:tgtFrame="_new" w:history="1">
        <w:r w:rsidRPr="000A2EE0">
          <w:rPr>
            <w:rStyle w:val="Hyperlink"/>
            <w:rFonts w:ascii="Arial" w:eastAsiaTheme="majorEastAsia" w:hAnsi="Arial" w:cs="Arial"/>
          </w:rPr>
          <w:t>https://journals.sagepub.com/doi/10.2307/41165998</w:t>
        </w:r>
      </w:hyperlink>
      <w:r w:rsidRPr="000A2EE0">
        <w:rPr>
          <w:rFonts w:ascii="Arial" w:hAnsi="Arial" w:cs="Arial"/>
        </w:rPr>
        <w:t xml:space="preserve"> (Accessed: 01 March 2026).</w:t>
      </w:r>
    </w:p>
    <w:p w14:paraId="4FB25CE0" w14:textId="2C62C176" w:rsidR="000A2EE0" w:rsidRPr="000A2EE0" w:rsidRDefault="000A2EE0" w:rsidP="00405D38">
      <w:pPr>
        <w:pStyle w:val="NormalWeb"/>
        <w:numPr>
          <w:ilvl w:val="0"/>
          <w:numId w:val="2"/>
        </w:numPr>
        <w:spacing w:line="360" w:lineRule="auto"/>
        <w:jc w:val="both"/>
        <w:rPr>
          <w:rFonts w:ascii="Arial" w:hAnsi="Arial" w:cs="Arial"/>
        </w:rPr>
      </w:pPr>
      <w:r w:rsidRPr="000A2EE0">
        <w:rPr>
          <w:rFonts w:ascii="Arial" w:hAnsi="Arial" w:cs="Arial"/>
        </w:rPr>
        <w:t xml:space="preserve">Morgan, N.A. (1991) ‘Marketing strategy and organisational performance’, </w:t>
      </w:r>
      <w:r w:rsidRPr="000A2EE0">
        <w:rPr>
          <w:rStyle w:val="Emphasis"/>
          <w:rFonts w:ascii="Arial" w:eastAsiaTheme="majorEastAsia" w:hAnsi="Arial" w:cs="Arial"/>
        </w:rPr>
        <w:t>Journal of Marketing Management</w:t>
      </w:r>
      <w:r w:rsidRPr="000A2EE0">
        <w:rPr>
          <w:rFonts w:ascii="Arial" w:hAnsi="Arial" w:cs="Arial"/>
        </w:rPr>
        <w:t xml:space="preserve">, 7(1), pp. 1–15. Available at: </w:t>
      </w:r>
      <w:hyperlink r:id="rId33" w:tgtFrame="_new" w:history="1">
        <w:r w:rsidRPr="000A2EE0">
          <w:rPr>
            <w:rStyle w:val="Hyperlink"/>
            <w:rFonts w:ascii="Arial" w:eastAsiaTheme="majorEastAsia" w:hAnsi="Arial" w:cs="Arial"/>
          </w:rPr>
          <w:t>https://www.tandfonline.com/doi/abs/10.1080/0267257X.1991.9964145</w:t>
        </w:r>
      </w:hyperlink>
      <w:r w:rsidRPr="000A2EE0">
        <w:rPr>
          <w:rFonts w:ascii="Arial" w:hAnsi="Arial" w:cs="Arial"/>
        </w:rPr>
        <w:t xml:space="preserve"> (Accessed: 01 March 2026).</w:t>
      </w:r>
    </w:p>
    <w:p w14:paraId="08A1D0A0" w14:textId="63A48423" w:rsidR="000A2EE0" w:rsidRPr="000A2EE0" w:rsidRDefault="000A2EE0" w:rsidP="00405D38">
      <w:pPr>
        <w:pStyle w:val="NormalWeb"/>
        <w:numPr>
          <w:ilvl w:val="0"/>
          <w:numId w:val="2"/>
        </w:numPr>
        <w:spacing w:line="360" w:lineRule="auto"/>
        <w:jc w:val="both"/>
        <w:rPr>
          <w:rFonts w:ascii="Arial" w:hAnsi="Arial" w:cs="Arial"/>
        </w:rPr>
      </w:pPr>
      <w:r w:rsidRPr="000A2EE0">
        <w:rPr>
          <w:rFonts w:ascii="Arial" w:hAnsi="Arial" w:cs="Arial"/>
        </w:rPr>
        <w:t xml:space="preserve">  Porter, M.E. (1980) ‘Competitive Strategy’, </w:t>
      </w:r>
      <w:r w:rsidRPr="000A2EE0">
        <w:rPr>
          <w:rStyle w:val="Emphasis"/>
          <w:rFonts w:ascii="Arial" w:eastAsiaTheme="majorEastAsia" w:hAnsi="Arial" w:cs="Arial"/>
        </w:rPr>
        <w:t>Management Decision</w:t>
      </w:r>
      <w:r w:rsidRPr="000A2EE0">
        <w:rPr>
          <w:rFonts w:ascii="Arial" w:hAnsi="Arial" w:cs="Arial"/>
        </w:rPr>
        <w:t xml:space="preserve">, 1(2). Available at: </w:t>
      </w:r>
      <w:hyperlink r:id="rId34" w:tgtFrame="_new" w:history="1">
        <w:r w:rsidRPr="000A2EE0">
          <w:rPr>
            <w:rStyle w:val="Hyperlink"/>
            <w:rFonts w:ascii="Arial" w:eastAsiaTheme="majorEastAsia" w:hAnsi="Arial" w:cs="Arial"/>
          </w:rPr>
          <w:t>https://www.emerald.com/mbe/article-abstract/1/2/12/284354/COMPETITIVE-STRATEGY</w:t>
        </w:r>
      </w:hyperlink>
      <w:r w:rsidRPr="000A2EE0">
        <w:rPr>
          <w:rFonts w:ascii="Arial" w:hAnsi="Arial" w:cs="Arial"/>
        </w:rPr>
        <w:t xml:space="preserve"> (Accessed: 01 March 2026).</w:t>
      </w:r>
    </w:p>
    <w:p w14:paraId="42CD3608" w14:textId="396E1C5D" w:rsidR="000A2EE0" w:rsidRPr="000A2EE0" w:rsidRDefault="000A2EE0" w:rsidP="00405D38">
      <w:pPr>
        <w:pStyle w:val="NormalWeb"/>
        <w:numPr>
          <w:ilvl w:val="0"/>
          <w:numId w:val="2"/>
        </w:numPr>
        <w:spacing w:line="360" w:lineRule="auto"/>
        <w:jc w:val="both"/>
        <w:rPr>
          <w:rFonts w:ascii="Arial" w:hAnsi="Arial" w:cs="Arial"/>
        </w:rPr>
      </w:pPr>
      <w:r w:rsidRPr="000A2EE0">
        <w:rPr>
          <w:rFonts w:ascii="Arial" w:hAnsi="Arial" w:cs="Arial"/>
        </w:rPr>
        <w:t xml:space="preserve">  Porter, M.E. (1981) ‘The contributions of industrial organization to strategic management’, </w:t>
      </w:r>
      <w:r w:rsidRPr="000A2EE0">
        <w:rPr>
          <w:rStyle w:val="Emphasis"/>
          <w:rFonts w:ascii="Arial" w:eastAsiaTheme="majorEastAsia" w:hAnsi="Arial" w:cs="Arial"/>
        </w:rPr>
        <w:t>Strategic Management Journal</w:t>
      </w:r>
      <w:r w:rsidRPr="000A2EE0">
        <w:rPr>
          <w:rFonts w:ascii="Arial" w:hAnsi="Arial" w:cs="Arial"/>
        </w:rPr>
        <w:t xml:space="preserve">, 2(3), pp. 609–620. Available at: </w:t>
      </w:r>
      <w:hyperlink r:id="rId35" w:tgtFrame="_new" w:history="1">
        <w:r w:rsidRPr="000A2EE0">
          <w:rPr>
            <w:rStyle w:val="Hyperlink"/>
            <w:rFonts w:ascii="Arial" w:eastAsiaTheme="majorEastAsia" w:hAnsi="Arial" w:cs="Arial"/>
          </w:rPr>
          <w:t>https://sms.onlinelibrary.wiley.com/doi/abs/10.1002/smj.425002030</w:t>
        </w:r>
      </w:hyperlink>
      <w:r w:rsidRPr="000A2EE0">
        <w:rPr>
          <w:rFonts w:ascii="Arial" w:hAnsi="Arial" w:cs="Arial"/>
        </w:rPr>
        <w:t xml:space="preserve"> (Accessed: 01 March 2026).</w:t>
      </w:r>
    </w:p>
    <w:p w14:paraId="559EBBAE" w14:textId="5042F9F8" w:rsidR="000A2EE0" w:rsidRPr="000A2EE0" w:rsidRDefault="000A2EE0" w:rsidP="00405D38">
      <w:pPr>
        <w:pStyle w:val="NormalWeb"/>
        <w:numPr>
          <w:ilvl w:val="0"/>
          <w:numId w:val="2"/>
        </w:numPr>
        <w:spacing w:line="360" w:lineRule="auto"/>
        <w:jc w:val="both"/>
        <w:rPr>
          <w:rFonts w:ascii="Arial" w:hAnsi="Arial" w:cs="Arial"/>
        </w:rPr>
      </w:pPr>
      <w:r w:rsidRPr="000A2EE0">
        <w:rPr>
          <w:rFonts w:ascii="Arial" w:hAnsi="Arial" w:cs="Arial"/>
        </w:rPr>
        <w:t xml:space="preserve">  Porter, M.E. (1991) ‘Towards a dynamic theory of strategy’, </w:t>
      </w:r>
      <w:r w:rsidRPr="000A2EE0">
        <w:rPr>
          <w:rStyle w:val="Emphasis"/>
          <w:rFonts w:ascii="Arial" w:eastAsiaTheme="majorEastAsia" w:hAnsi="Arial" w:cs="Arial"/>
        </w:rPr>
        <w:t>Strategic Management Journal</w:t>
      </w:r>
      <w:r w:rsidRPr="000A2EE0">
        <w:rPr>
          <w:rFonts w:ascii="Arial" w:hAnsi="Arial" w:cs="Arial"/>
        </w:rPr>
        <w:t xml:space="preserve">, 12(S2), pp. 95–117. Available at: </w:t>
      </w:r>
      <w:hyperlink r:id="rId36" w:tgtFrame="_new" w:history="1">
        <w:r w:rsidRPr="000A2EE0">
          <w:rPr>
            <w:rStyle w:val="Hyperlink"/>
            <w:rFonts w:ascii="Arial" w:eastAsiaTheme="majorEastAsia" w:hAnsi="Arial" w:cs="Arial"/>
          </w:rPr>
          <w:t>https://sms.onlinelibrary.wiley.com/doi/10.1002/smj.4250121003</w:t>
        </w:r>
      </w:hyperlink>
      <w:r w:rsidRPr="000A2EE0">
        <w:rPr>
          <w:rFonts w:ascii="Arial" w:hAnsi="Arial" w:cs="Arial"/>
        </w:rPr>
        <w:t xml:space="preserve"> (Accessed: 01 March 2026).</w:t>
      </w:r>
    </w:p>
    <w:p w14:paraId="4592D5D5" w14:textId="347C854C" w:rsidR="000A2EE0" w:rsidRPr="000A2EE0" w:rsidRDefault="000A2EE0" w:rsidP="00405D38">
      <w:pPr>
        <w:pStyle w:val="NormalWeb"/>
        <w:numPr>
          <w:ilvl w:val="0"/>
          <w:numId w:val="2"/>
        </w:numPr>
        <w:spacing w:line="360" w:lineRule="auto"/>
        <w:jc w:val="both"/>
        <w:rPr>
          <w:rFonts w:ascii="Arial" w:hAnsi="Arial" w:cs="Arial"/>
        </w:rPr>
      </w:pPr>
      <w:r w:rsidRPr="000A2EE0">
        <w:rPr>
          <w:rFonts w:ascii="Arial" w:hAnsi="Arial" w:cs="Arial"/>
        </w:rPr>
        <w:t xml:space="preserve">  Proctor, E. et al. (2016) ‘Implementation strategies: recommendations for specifying and reporting’, </w:t>
      </w:r>
      <w:r w:rsidRPr="000A2EE0">
        <w:rPr>
          <w:rStyle w:val="Emphasis"/>
          <w:rFonts w:ascii="Arial" w:eastAsiaTheme="majorEastAsia" w:hAnsi="Arial" w:cs="Arial"/>
        </w:rPr>
        <w:t xml:space="preserve">Procedia – Social and </w:t>
      </w:r>
      <w:proofErr w:type="spellStart"/>
      <w:r w:rsidRPr="000A2EE0">
        <w:rPr>
          <w:rStyle w:val="Emphasis"/>
          <w:rFonts w:ascii="Arial" w:eastAsiaTheme="majorEastAsia" w:hAnsi="Arial" w:cs="Arial"/>
        </w:rPr>
        <w:t>Behavioral</w:t>
      </w:r>
      <w:proofErr w:type="spellEnd"/>
      <w:r w:rsidRPr="000A2EE0">
        <w:rPr>
          <w:rStyle w:val="Emphasis"/>
          <w:rFonts w:ascii="Arial" w:eastAsiaTheme="majorEastAsia" w:hAnsi="Arial" w:cs="Arial"/>
        </w:rPr>
        <w:t xml:space="preserve"> Sciences</w:t>
      </w:r>
      <w:r w:rsidRPr="000A2EE0">
        <w:rPr>
          <w:rFonts w:ascii="Arial" w:hAnsi="Arial" w:cs="Arial"/>
        </w:rPr>
        <w:t xml:space="preserve">. Available at: </w:t>
      </w:r>
      <w:hyperlink r:id="rId37" w:tgtFrame="_new" w:history="1">
        <w:r w:rsidRPr="000A2EE0">
          <w:rPr>
            <w:rStyle w:val="Hyperlink"/>
            <w:rFonts w:ascii="Arial" w:eastAsiaTheme="majorEastAsia" w:hAnsi="Arial" w:cs="Arial"/>
          </w:rPr>
          <w:t>https://www.sciencedirect.com/science/article/pii/S1877042816303664</w:t>
        </w:r>
      </w:hyperlink>
      <w:r w:rsidRPr="000A2EE0">
        <w:rPr>
          <w:rFonts w:ascii="Arial" w:hAnsi="Arial" w:cs="Arial"/>
        </w:rPr>
        <w:t xml:space="preserve"> (Accessed: 01 March 2026).</w:t>
      </w:r>
    </w:p>
    <w:p w14:paraId="2D221B21" w14:textId="28128529" w:rsidR="000A2EE0" w:rsidRPr="000A2EE0" w:rsidRDefault="000A2EE0" w:rsidP="00405D38">
      <w:pPr>
        <w:pStyle w:val="NormalWeb"/>
        <w:numPr>
          <w:ilvl w:val="0"/>
          <w:numId w:val="2"/>
        </w:numPr>
        <w:spacing w:line="360" w:lineRule="auto"/>
        <w:jc w:val="both"/>
        <w:rPr>
          <w:rFonts w:ascii="Arial" w:hAnsi="Arial" w:cs="Arial"/>
        </w:rPr>
      </w:pPr>
      <w:r w:rsidRPr="000A2EE0">
        <w:rPr>
          <w:rFonts w:ascii="Arial" w:hAnsi="Arial" w:cs="Arial"/>
        </w:rPr>
        <w:t xml:space="preserve">  Sahlman, W.A. (2004) </w:t>
      </w:r>
      <w:r w:rsidRPr="000A2EE0">
        <w:rPr>
          <w:rStyle w:val="Emphasis"/>
          <w:rFonts w:ascii="Arial" w:eastAsiaTheme="majorEastAsia" w:hAnsi="Arial" w:cs="Arial"/>
        </w:rPr>
        <w:t>Innocent Drinks</w:t>
      </w:r>
      <w:r w:rsidRPr="000A2EE0">
        <w:rPr>
          <w:rFonts w:ascii="Arial" w:hAnsi="Arial" w:cs="Arial"/>
        </w:rPr>
        <w:t>. Harvard Business School Case Study.</w:t>
      </w:r>
    </w:p>
    <w:p w14:paraId="10779729" w14:textId="698B337C" w:rsidR="000A2EE0" w:rsidRPr="000A2EE0" w:rsidRDefault="000A2EE0" w:rsidP="00405D38">
      <w:pPr>
        <w:pStyle w:val="NormalWeb"/>
        <w:numPr>
          <w:ilvl w:val="0"/>
          <w:numId w:val="2"/>
        </w:numPr>
        <w:spacing w:line="360" w:lineRule="auto"/>
        <w:jc w:val="both"/>
        <w:rPr>
          <w:rFonts w:ascii="Arial" w:hAnsi="Arial" w:cs="Arial"/>
        </w:rPr>
      </w:pPr>
      <w:r w:rsidRPr="000A2EE0">
        <w:rPr>
          <w:rFonts w:ascii="Arial" w:hAnsi="Arial" w:cs="Arial"/>
        </w:rPr>
        <w:t xml:space="preserve">  Springer (2020) </w:t>
      </w:r>
      <w:r w:rsidRPr="000A2EE0">
        <w:rPr>
          <w:rStyle w:val="Emphasis"/>
          <w:rFonts w:ascii="Arial" w:eastAsiaTheme="majorEastAsia" w:hAnsi="Arial" w:cs="Arial"/>
        </w:rPr>
        <w:t>Business strategy and sustainability in the beverage industry</w:t>
      </w:r>
      <w:r w:rsidRPr="000A2EE0">
        <w:rPr>
          <w:rFonts w:ascii="Arial" w:hAnsi="Arial" w:cs="Arial"/>
        </w:rPr>
        <w:t xml:space="preserve">. Available at: </w:t>
      </w:r>
      <w:hyperlink r:id="rId38" w:tgtFrame="_new" w:history="1">
        <w:r w:rsidRPr="000A2EE0">
          <w:rPr>
            <w:rStyle w:val="Hyperlink"/>
            <w:rFonts w:ascii="Arial" w:eastAsiaTheme="majorEastAsia" w:hAnsi="Arial" w:cs="Arial"/>
          </w:rPr>
          <w:t>https://link.springer.com/chapter/10.1007/978-3-531-94138-7_9</w:t>
        </w:r>
      </w:hyperlink>
      <w:r w:rsidRPr="000A2EE0">
        <w:rPr>
          <w:rFonts w:ascii="Arial" w:hAnsi="Arial" w:cs="Arial"/>
        </w:rPr>
        <w:t xml:space="preserve"> (Accessed: 01 March 2026).</w:t>
      </w:r>
    </w:p>
    <w:p w14:paraId="56EEAF06" w14:textId="1C4301BA" w:rsidR="000A2EE0" w:rsidRPr="000A2EE0" w:rsidRDefault="000A2EE0" w:rsidP="00405D38">
      <w:pPr>
        <w:pStyle w:val="NormalWeb"/>
        <w:numPr>
          <w:ilvl w:val="0"/>
          <w:numId w:val="2"/>
        </w:numPr>
        <w:spacing w:line="360" w:lineRule="auto"/>
        <w:jc w:val="both"/>
        <w:rPr>
          <w:rFonts w:ascii="Arial" w:hAnsi="Arial" w:cs="Arial"/>
        </w:rPr>
      </w:pPr>
      <w:r w:rsidRPr="000A2EE0">
        <w:rPr>
          <w:rFonts w:ascii="Arial" w:hAnsi="Arial" w:cs="Arial"/>
        </w:rPr>
        <w:t xml:space="preserve">  Stieb, J.A. (2009) ‘Assessing Freeman’s Stakeholder Theory’, </w:t>
      </w:r>
      <w:r w:rsidRPr="000A2EE0">
        <w:rPr>
          <w:rStyle w:val="Emphasis"/>
          <w:rFonts w:ascii="Arial" w:eastAsiaTheme="majorEastAsia" w:hAnsi="Arial" w:cs="Arial"/>
        </w:rPr>
        <w:t>Journal of Business Ethics</w:t>
      </w:r>
      <w:r w:rsidRPr="000A2EE0">
        <w:rPr>
          <w:rFonts w:ascii="Arial" w:hAnsi="Arial" w:cs="Arial"/>
        </w:rPr>
        <w:t xml:space="preserve">, 87, pp. 401–414. Available at: </w:t>
      </w:r>
      <w:hyperlink r:id="rId39" w:tgtFrame="_new" w:history="1">
        <w:r w:rsidRPr="000A2EE0">
          <w:rPr>
            <w:rStyle w:val="Hyperlink"/>
            <w:rFonts w:ascii="Arial" w:eastAsiaTheme="majorEastAsia" w:hAnsi="Arial" w:cs="Arial"/>
          </w:rPr>
          <w:t>https://link.springer.com/article/10.1007/s10551-008-9928-4</w:t>
        </w:r>
      </w:hyperlink>
      <w:r w:rsidRPr="000A2EE0">
        <w:rPr>
          <w:rFonts w:ascii="Arial" w:hAnsi="Arial" w:cs="Arial"/>
        </w:rPr>
        <w:t xml:space="preserve"> (Accessed: 01 March 2026).</w:t>
      </w:r>
    </w:p>
    <w:p w14:paraId="1DBD5CB0" w14:textId="0AC7E113" w:rsidR="000A2EE0" w:rsidRPr="000A2EE0" w:rsidRDefault="000A2EE0" w:rsidP="00405D38">
      <w:pPr>
        <w:pStyle w:val="NormalWeb"/>
        <w:numPr>
          <w:ilvl w:val="0"/>
          <w:numId w:val="2"/>
        </w:numPr>
        <w:spacing w:line="360" w:lineRule="auto"/>
        <w:jc w:val="both"/>
        <w:rPr>
          <w:rFonts w:ascii="Arial" w:hAnsi="Arial" w:cs="Arial"/>
        </w:rPr>
      </w:pPr>
      <w:r w:rsidRPr="000A2EE0">
        <w:rPr>
          <w:rFonts w:ascii="Arial" w:hAnsi="Arial" w:cs="Arial"/>
        </w:rPr>
        <w:t xml:space="preserve">Woodside, A.G. (2019) ‘Strategic management and organisational decision-making’, </w:t>
      </w:r>
      <w:r w:rsidRPr="000A2EE0">
        <w:rPr>
          <w:rStyle w:val="Emphasis"/>
          <w:rFonts w:ascii="Arial" w:eastAsiaTheme="majorEastAsia" w:hAnsi="Arial" w:cs="Arial"/>
        </w:rPr>
        <w:t>Journal of Business Research</w:t>
      </w:r>
      <w:r w:rsidRPr="000A2EE0">
        <w:rPr>
          <w:rFonts w:ascii="Arial" w:hAnsi="Arial" w:cs="Arial"/>
        </w:rPr>
        <w:t xml:space="preserve">. Available at: </w:t>
      </w:r>
      <w:hyperlink r:id="rId40" w:tgtFrame="_new" w:history="1">
        <w:r w:rsidRPr="000A2EE0">
          <w:rPr>
            <w:rStyle w:val="Hyperlink"/>
            <w:rFonts w:ascii="Arial" w:eastAsiaTheme="majorEastAsia" w:hAnsi="Arial" w:cs="Arial"/>
          </w:rPr>
          <w:t>https://www.sciencedirect.com/science/article/abs/pii/S0022440519300597</w:t>
        </w:r>
      </w:hyperlink>
      <w:r w:rsidRPr="000A2EE0">
        <w:rPr>
          <w:rFonts w:ascii="Arial" w:hAnsi="Arial" w:cs="Arial"/>
        </w:rPr>
        <w:t xml:space="preserve"> (Accessed: 01 March 2026).</w:t>
      </w:r>
    </w:p>
    <w:p w14:paraId="049987CF" w14:textId="26539760" w:rsidR="000A2EE0" w:rsidRPr="000A2EE0" w:rsidRDefault="000A2EE0" w:rsidP="00405D38">
      <w:pPr>
        <w:pStyle w:val="NormalWeb"/>
        <w:numPr>
          <w:ilvl w:val="0"/>
          <w:numId w:val="2"/>
        </w:numPr>
        <w:spacing w:line="360" w:lineRule="auto"/>
        <w:jc w:val="both"/>
        <w:rPr>
          <w:rFonts w:ascii="Arial" w:hAnsi="Arial" w:cs="Arial"/>
        </w:rPr>
      </w:pPr>
      <w:r w:rsidRPr="000A2EE0">
        <w:rPr>
          <w:rFonts w:ascii="Arial" w:hAnsi="Arial" w:cs="Arial"/>
        </w:rPr>
        <w:lastRenderedPageBreak/>
        <w:t xml:space="preserve"> Zolfani, S.H. et al. (2021) ‘Combining the Suitability-Feasibility-Acceptability (SFA) strategy with the MCDM approach’, </w:t>
      </w:r>
      <w:proofErr w:type="spellStart"/>
      <w:r w:rsidRPr="000A2EE0">
        <w:rPr>
          <w:rStyle w:val="Emphasis"/>
          <w:rFonts w:ascii="Arial" w:eastAsiaTheme="majorEastAsia" w:hAnsi="Arial" w:cs="Arial"/>
        </w:rPr>
        <w:t>Facta</w:t>
      </w:r>
      <w:proofErr w:type="spellEnd"/>
      <w:r w:rsidRPr="000A2EE0">
        <w:rPr>
          <w:rStyle w:val="Emphasis"/>
          <w:rFonts w:ascii="Arial" w:eastAsiaTheme="majorEastAsia" w:hAnsi="Arial" w:cs="Arial"/>
        </w:rPr>
        <w:t xml:space="preserve"> Universitatis – Mechanical Engineering</w:t>
      </w:r>
      <w:r w:rsidRPr="000A2EE0">
        <w:rPr>
          <w:rFonts w:ascii="Arial" w:hAnsi="Arial" w:cs="Arial"/>
        </w:rPr>
        <w:t xml:space="preserve">. Available at: </w:t>
      </w:r>
      <w:hyperlink r:id="rId41" w:tgtFrame="_new" w:history="1">
        <w:r w:rsidRPr="000A2EE0">
          <w:rPr>
            <w:rStyle w:val="Hyperlink"/>
            <w:rFonts w:ascii="Arial" w:eastAsiaTheme="majorEastAsia" w:hAnsi="Arial" w:cs="Arial"/>
          </w:rPr>
          <w:t>https://casopisi.junis.ni.ac.rs/index.php/FUMechEng/article/view/8001</w:t>
        </w:r>
      </w:hyperlink>
      <w:r w:rsidRPr="000A2EE0">
        <w:rPr>
          <w:rFonts w:ascii="Arial" w:hAnsi="Arial" w:cs="Arial"/>
        </w:rPr>
        <w:t xml:space="preserve"> (Accessed: 01 March 2026).</w:t>
      </w:r>
    </w:p>
    <w:p w14:paraId="0EC71AD9" w14:textId="33BACC21" w:rsidR="00112FD1" w:rsidRPr="00112FD1" w:rsidRDefault="00112FD1" w:rsidP="00405D38">
      <w:pPr>
        <w:pStyle w:val="ListParagraph"/>
        <w:spacing w:line="360" w:lineRule="auto"/>
        <w:jc w:val="both"/>
        <w:rPr>
          <w:rFonts w:ascii="Arial" w:hAnsi="Arial" w:cs="Arial"/>
        </w:rPr>
      </w:pPr>
    </w:p>
    <w:p w14:paraId="1AD72795" w14:textId="77777777" w:rsidR="00112FD1" w:rsidRPr="00112FD1" w:rsidRDefault="00112FD1" w:rsidP="00405D38">
      <w:pPr>
        <w:spacing w:line="360" w:lineRule="auto"/>
        <w:jc w:val="both"/>
        <w:rPr>
          <w:rFonts w:ascii="Arial" w:hAnsi="Arial" w:cs="Arial"/>
        </w:rPr>
      </w:pPr>
    </w:p>
    <w:p w14:paraId="431C55D4" w14:textId="77777777" w:rsidR="00FF2C38" w:rsidRPr="00112FD1" w:rsidRDefault="00FF2C38" w:rsidP="00405D38">
      <w:pPr>
        <w:spacing w:line="360" w:lineRule="auto"/>
        <w:jc w:val="both"/>
        <w:rPr>
          <w:rFonts w:ascii="Arial" w:hAnsi="Arial" w:cs="Arial"/>
        </w:rPr>
      </w:pPr>
    </w:p>
    <w:sectPr w:rsidR="00FF2C38" w:rsidRPr="00112F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901561"/>
    <w:multiLevelType w:val="hybridMultilevel"/>
    <w:tmpl w:val="A55C3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1132FF"/>
    <w:multiLevelType w:val="multilevel"/>
    <w:tmpl w:val="49D4A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9842462">
    <w:abstractNumId w:val="1"/>
  </w:num>
  <w:num w:numId="2" w16cid:durableId="10609780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7E6"/>
    <w:rsid w:val="000569ED"/>
    <w:rsid w:val="000A2EE0"/>
    <w:rsid w:val="000C48AE"/>
    <w:rsid w:val="000E653F"/>
    <w:rsid w:val="000F25BD"/>
    <w:rsid w:val="00112FD1"/>
    <w:rsid w:val="00191165"/>
    <w:rsid w:val="002001A0"/>
    <w:rsid w:val="00237385"/>
    <w:rsid w:val="00292AEA"/>
    <w:rsid w:val="00293282"/>
    <w:rsid w:val="00405D38"/>
    <w:rsid w:val="004354F8"/>
    <w:rsid w:val="004401C5"/>
    <w:rsid w:val="004467E6"/>
    <w:rsid w:val="004D7BD5"/>
    <w:rsid w:val="00530013"/>
    <w:rsid w:val="00546428"/>
    <w:rsid w:val="005B416A"/>
    <w:rsid w:val="005F42A9"/>
    <w:rsid w:val="00602B94"/>
    <w:rsid w:val="006159C5"/>
    <w:rsid w:val="00656799"/>
    <w:rsid w:val="00673DB8"/>
    <w:rsid w:val="006943E3"/>
    <w:rsid w:val="006D0843"/>
    <w:rsid w:val="007B1E08"/>
    <w:rsid w:val="007B6F95"/>
    <w:rsid w:val="0082067D"/>
    <w:rsid w:val="008527B2"/>
    <w:rsid w:val="00855104"/>
    <w:rsid w:val="00944B3D"/>
    <w:rsid w:val="009528D7"/>
    <w:rsid w:val="0096541D"/>
    <w:rsid w:val="009A6948"/>
    <w:rsid w:val="009C4390"/>
    <w:rsid w:val="009C49BE"/>
    <w:rsid w:val="00A424C9"/>
    <w:rsid w:val="00AB66B2"/>
    <w:rsid w:val="00AE1CA9"/>
    <w:rsid w:val="00BE0213"/>
    <w:rsid w:val="00BF3791"/>
    <w:rsid w:val="00C12D65"/>
    <w:rsid w:val="00C26C22"/>
    <w:rsid w:val="00C33D5B"/>
    <w:rsid w:val="00C40EFF"/>
    <w:rsid w:val="00C8683E"/>
    <w:rsid w:val="00C97685"/>
    <w:rsid w:val="00CD580D"/>
    <w:rsid w:val="00CE4AA8"/>
    <w:rsid w:val="00CE4CF2"/>
    <w:rsid w:val="00D875B5"/>
    <w:rsid w:val="00DF1C26"/>
    <w:rsid w:val="00E13B65"/>
    <w:rsid w:val="00EC2712"/>
    <w:rsid w:val="00F36F61"/>
    <w:rsid w:val="00F722DE"/>
    <w:rsid w:val="00F73C87"/>
    <w:rsid w:val="00FB23EC"/>
    <w:rsid w:val="00FF2C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F3FE4"/>
  <w15:chartTrackingRefBased/>
  <w15:docId w15:val="{64411A74-319C-488A-9D0F-77D0E23B00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67E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467E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467E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467E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467E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467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67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67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67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67E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467E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467E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467E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467E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467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67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67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67E6"/>
    <w:rPr>
      <w:rFonts w:eastAsiaTheme="majorEastAsia" w:cstheme="majorBidi"/>
      <w:color w:val="272727" w:themeColor="text1" w:themeTint="D8"/>
    </w:rPr>
  </w:style>
  <w:style w:type="paragraph" w:styleId="Title">
    <w:name w:val="Title"/>
    <w:basedOn w:val="Normal"/>
    <w:next w:val="Normal"/>
    <w:link w:val="TitleChar"/>
    <w:uiPriority w:val="10"/>
    <w:qFormat/>
    <w:rsid w:val="004467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67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67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67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67E6"/>
    <w:pPr>
      <w:spacing w:before="160"/>
      <w:jc w:val="center"/>
    </w:pPr>
    <w:rPr>
      <w:i/>
      <w:iCs/>
      <w:color w:val="404040" w:themeColor="text1" w:themeTint="BF"/>
    </w:rPr>
  </w:style>
  <w:style w:type="character" w:customStyle="1" w:styleId="QuoteChar">
    <w:name w:val="Quote Char"/>
    <w:basedOn w:val="DefaultParagraphFont"/>
    <w:link w:val="Quote"/>
    <w:uiPriority w:val="29"/>
    <w:rsid w:val="004467E6"/>
    <w:rPr>
      <w:i/>
      <w:iCs/>
      <w:color w:val="404040" w:themeColor="text1" w:themeTint="BF"/>
    </w:rPr>
  </w:style>
  <w:style w:type="paragraph" w:styleId="ListParagraph">
    <w:name w:val="List Paragraph"/>
    <w:basedOn w:val="Normal"/>
    <w:uiPriority w:val="34"/>
    <w:qFormat/>
    <w:rsid w:val="004467E6"/>
    <w:pPr>
      <w:ind w:left="720"/>
      <w:contextualSpacing/>
    </w:pPr>
  </w:style>
  <w:style w:type="character" w:styleId="IntenseEmphasis">
    <w:name w:val="Intense Emphasis"/>
    <w:basedOn w:val="DefaultParagraphFont"/>
    <w:uiPriority w:val="21"/>
    <w:qFormat/>
    <w:rsid w:val="004467E6"/>
    <w:rPr>
      <w:i/>
      <w:iCs/>
      <w:color w:val="2F5496" w:themeColor="accent1" w:themeShade="BF"/>
    </w:rPr>
  </w:style>
  <w:style w:type="paragraph" w:styleId="IntenseQuote">
    <w:name w:val="Intense Quote"/>
    <w:basedOn w:val="Normal"/>
    <w:next w:val="Normal"/>
    <w:link w:val="IntenseQuoteChar"/>
    <w:uiPriority w:val="30"/>
    <w:qFormat/>
    <w:rsid w:val="004467E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467E6"/>
    <w:rPr>
      <w:i/>
      <w:iCs/>
      <w:color w:val="2F5496" w:themeColor="accent1" w:themeShade="BF"/>
    </w:rPr>
  </w:style>
  <w:style w:type="character" w:styleId="IntenseReference">
    <w:name w:val="Intense Reference"/>
    <w:basedOn w:val="DefaultParagraphFont"/>
    <w:uiPriority w:val="32"/>
    <w:qFormat/>
    <w:rsid w:val="004467E6"/>
    <w:rPr>
      <w:b/>
      <w:bCs/>
      <w:smallCaps/>
      <w:color w:val="2F5496" w:themeColor="accent1" w:themeShade="BF"/>
      <w:spacing w:val="5"/>
    </w:rPr>
  </w:style>
  <w:style w:type="character" w:styleId="Hyperlink">
    <w:name w:val="Hyperlink"/>
    <w:basedOn w:val="DefaultParagraphFont"/>
    <w:uiPriority w:val="99"/>
    <w:unhideWhenUsed/>
    <w:rsid w:val="00855104"/>
    <w:rPr>
      <w:color w:val="0563C1" w:themeColor="hyperlink"/>
      <w:u w:val="single"/>
    </w:rPr>
  </w:style>
  <w:style w:type="character" w:styleId="FollowedHyperlink">
    <w:name w:val="FollowedHyperlink"/>
    <w:basedOn w:val="DefaultParagraphFont"/>
    <w:uiPriority w:val="99"/>
    <w:semiHidden/>
    <w:unhideWhenUsed/>
    <w:rsid w:val="00112FD1"/>
    <w:rPr>
      <w:color w:val="954F72" w:themeColor="followedHyperlink"/>
      <w:u w:val="single"/>
    </w:rPr>
  </w:style>
  <w:style w:type="character" w:styleId="UnresolvedMention">
    <w:name w:val="Unresolved Mention"/>
    <w:basedOn w:val="DefaultParagraphFont"/>
    <w:uiPriority w:val="99"/>
    <w:semiHidden/>
    <w:unhideWhenUsed/>
    <w:rsid w:val="009C49BE"/>
    <w:rPr>
      <w:color w:val="605E5C"/>
      <w:shd w:val="clear" w:color="auto" w:fill="E1DFDD"/>
    </w:rPr>
  </w:style>
  <w:style w:type="paragraph" w:styleId="NormalWeb">
    <w:name w:val="Normal (Web)"/>
    <w:basedOn w:val="Normal"/>
    <w:uiPriority w:val="99"/>
    <w:semiHidden/>
    <w:unhideWhenUsed/>
    <w:rsid w:val="000A2EE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0A2EE0"/>
    <w:rPr>
      <w:i/>
      <w:iCs/>
    </w:rPr>
  </w:style>
  <w:style w:type="paragraph" w:styleId="TOCHeading">
    <w:name w:val="TOC Heading"/>
    <w:basedOn w:val="Heading1"/>
    <w:next w:val="Normal"/>
    <w:uiPriority w:val="39"/>
    <w:unhideWhenUsed/>
    <w:qFormat/>
    <w:rsid w:val="000569ED"/>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0569ED"/>
    <w:pPr>
      <w:spacing w:after="100"/>
    </w:pPr>
  </w:style>
  <w:style w:type="paragraph" w:styleId="TOC2">
    <w:name w:val="toc 2"/>
    <w:basedOn w:val="Normal"/>
    <w:next w:val="Normal"/>
    <w:autoRedefine/>
    <w:uiPriority w:val="39"/>
    <w:unhideWhenUsed/>
    <w:rsid w:val="00602B9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ciencehorizon.com.ua/en/journals/tom-25-7-2022/boston-sonsulting-group-matrix-mozhlivosti-vikoristannya-v-ekonomichnomu-analizi" TargetMode="External"/><Relationship Id="rId18" Type="http://schemas.openxmlformats.org/officeDocument/2006/relationships/hyperlink" Target="https://onlinelibrary.wiley.com/doi/10.1111/j.1540-5915.2011.00315" TargetMode="External"/><Relationship Id="rId26" Type="http://schemas.openxmlformats.org/officeDocument/2006/relationships/hyperlink" Target="https://link.springer.com/chapter/10.1007/978-3-030-70428-5_1?utm_source=chatgpt.com" TargetMode="External"/><Relationship Id="rId39" Type="http://schemas.openxmlformats.org/officeDocument/2006/relationships/hyperlink" Target="https://link.springer.com/article/10.1007/s10551-008-9928-4?utm_source=chatgpt.com" TargetMode="External"/><Relationship Id="rId21" Type="http://schemas.openxmlformats.org/officeDocument/2006/relationships/hyperlink" Target="https://www.worldscientific.com/doi/abs/10.1142/S1363919618500391" TargetMode="External"/><Relationship Id="rId34" Type="http://schemas.openxmlformats.org/officeDocument/2006/relationships/hyperlink" Target="https://www.emerald.com/mbe/article-abstract/1/2/12/284354/COMPETITIVE-STRATEGY" TargetMode="External"/><Relationship Id="rId42"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sciencedirect.com/science/article/abs/pii/073767829400026C" TargetMode="External"/><Relationship Id="rId20" Type="http://schemas.openxmlformats.org/officeDocument/2006/relationships/hyperlink" Target="https://www.taylorfrancis.com/chapters/edit/10.4324/9780203812303-8/strategic-management-publics-issues-james-grunig-fred-repper" TargetMode="External"/><Relationship Id="rId29" Type="http://schemas.openxmlformats.org/officeDocument/2006/relationships/hyperlink" Target="https://www.ceeol.com/search/article-detail?id=470146&amp;utm_source=chatgpt.com" TargetMode="External"/><Relationship Id="rId41" Type="http://schemas.openxmlformats.org/officeDocument/2006/relationships/hyperlink" Target="https://casopisi.junis.ni.ac.rs/index.php/FUMechEng/article/view/8001"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hbr.org/1996/01/using-the-balanced-scorecard-as-a-strategic-management-system" TargetMode="External"/><Relationship Id="rId32" Type="http://schemas.openxmlformats.org/officeDocument/2006/relationships/hyperlink" Target="https://journals.sagepub.com/doi/10.2307/41165998" TargetMode="External"/><Relationship Id="rId37" Type="http://schemas.openxmlformats.org/officeDocument/2006/relationships/hyperlink" Target="https://www.sciencedirect.com/science/article/pii/S1877042816303664" TargetMode="External"/><Relationship Id="rId40" Type="http://schemas.openxmlformats.org/officeDocument/2006/relationships/hyperlink" Target="https://www.sciencedirect.com/science/article/abs/pii/S0022440519300597" TargetMode="External"/><Relationship Id="rId5" Type="http://schemas.openxmlformats.org/officeDocument/2006/relationships/webSettings" Target="webSettings.xml"/><Relationship Id="rId15" Type="http://schemas.openxmlformats.org/officeDocument/2006/relationships/hyperlink" Target="https://www.sciencedirect.com/science/article/abs/pii/0737678286900305?utm_source=chatgpt.com" TargetMode="External"/><Relationship Id="rId23" Type="http://schemas.openxmlformats.org/officeDocument/2006/relationships/hyperlink" Target="https://faculty.washington.edu/pathaksd/BBUS549/Required%20Cases/Innocent%20Drinks%20Case.pdf" TargetMode="External"/><Relationship Id="rId28" Type="http://schemas.openxmlformats.org/officeDocument/2006/relationships/hyperlink" Target="https://www.inderscienceonline.com/doi/abs/10.1504/IJBEX.2020.106368" TargetMode="External"/><Relationship Id="rId36" Type="http://schemas.openxmlformats.org/officeDocument/2006/relationships/hyperlink" Target="https://sms.onlinelibrary.wiley.com/doi/10.1002/smj.4250121003" TargetMode="External"/><Relationship Id="rId10" Type="http://schemas.openxmlformats.org/officeDocument/2006/relationships/image" Target="media/image5.png"/><Relationship Id="rId19" Type="http://schemas.openxmlformats.org/officeDocument/2006/relationships/hyperlink" Target="https://www.emerald.com/ejim/article-abstract/4/3/117/74292/The-role-of-market-research-in-the-development-of" TargetMode="External"/><Relationship Id="rId31" Type="http://schemas.openxmlformats.org/officeDocument/2006/relationships/hyperlink" Target="https://www.sciencedirect.com/science/article/pii/S0148296323004629?utm_source=chatgpt.com"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journals.plos.org/plosone/article?id=10.1371%2Fjournal.pone.0335130&amp;utm_source=chatgpt.com" TargetMode="External"/><Relationship Id="rId22" Type="http://schemas.openxmlformats.org/officeDocument/2006/relationships/hyperlink" Target="https://www.innocentdrinks.co.uk/things-we-make/smoothies" TargetMode="External"/><Relationship Id="rId27" Type="http://schemas.openxmlformats.org/officeDocument/2006/relationships/hyperlink" Target="https://www.emerald.com/ijebr/article-abstract/18/2/159/125416/The-role-of-personnel-commitment-to-strategy" TargetMode="External"/><Relationship Id="rId30" Type="http://schemas.openxmlformats.org/officeDocument/2006/relationships/hyperlink" Target="https://www.sciencedirect.com/science/article/pii/S1877050921002210" TargetMode="External"/><Relationship Id="rId35" Type="http://schemas.openxmlformats.org/officeDocument/2006/relationships/hyperlink" Target="https://sms.onlinelibrary.wiley.com/doi/abs/10.1002/smj.425002030" TargetMode="External"/><Relationship Id="rId43" Type="http://schemas.openxmlformats.org/officeDocument/2006/relationships/theme" Target="theme/theme1.xm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hyperlink" Target="https://link.springer.com/chapter/10.1007/978-3-319-44356-0_2?utm_source=chatgpt.com" TargetMode="External"/><Relationship Id="rId17" Type="http://schemas.openxmlformats.org/officeDocument/2006/relationships/hyperlink" Target="https://www.inderscienceonline.com/doi/abs/10.1504/IJBPM.2018.095095" TargetMode="External"/><Relationship Id="rId25" Type="http://schemas.openxmlformats.org/officeDocument/2006/relationships/hyperlink" Target="https://hbr.org/product/the-strategy-focused-organization-how-balanced-scorecard-companies-thrive-in-the-new-business-environment/1000" TargetMode="External"/><Relationship Id="rId33" Type="http://schemas.openxmlformats.org/officeDocument/2006/relationships/hyperlink" Target="https://www.tandfonline.com/doi/abs/10.1080/0267257X.1991.9964145" TargetMode="External"/><Relationship Id="rId38" Type="http://schemas.openxmlformats.org/officeDocument/2006/relationships/hyperlink" Target="https://link.springer.com/chapter/10.1007/978-3-531-94138-7_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86039F-3115-4DCA-BC19-96BB2A7A4C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5118</Words>
  <Characters>36496</Characters>
  <Application>Microsoft Office Word</Application>
  <DocSecurity>0</DocSecurity>
  <Lines>640</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 Boboc</dc:creator>
  <cp:keywords/>
  <dc:description/>
  <cp:lastModifiedBy>Madalin Boboc</cp:lastModifiedBy>
  <cp:revision>52</cp:revision>
  <dcterms:created xsi:type="dcterms:W3CDTF">2026-03-07T11:25:00Z</dcterms:created>
  <dcterms:modified xsi:type="dcterms:W3CDTF">2026-03-15T15:07:00Z</dcterms:modified>
</cp:coreProperties>
</file>