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8FF0C" w14:textId="77777777" w:rsidR="00F8468F" w:rsidRDefault="00F8468F">
      <w:pPr>
        <w:rPr>
          <w:rFonts w:ascii="Arial" w:hAnsi="Arial" w:cs="Arial"/>
          <w:sz w:val="24"/>
          <w:szCs w:val="24"/>
        </w:rPr>
      </w:pPr>
    </w:p>
    <w:p w14:paraId="078D67FF" w14:textId="77777777" w:rsidR="006A4957" w:rsidRDefault="006A4957">
      <w:pPr>
        <w:rPr>
          <w:rFonts w:ascii="Arial" w:hAnsi="Arial" w:cs="Arial"/>
          <w:sz w:val="24"/>
          <w:szCs w:val="24"/>
        </w:rPr>
      </w:pPr>
    </w:p>
    <w:p w14:paraId="56DB6632" w14:textId="77777777" w:rsidR="006A4957" w:rsidRDefault="006A4957">
      <w:pPr>
        <w:rPr>
          <w:rFonts w:ascii="Arial" w:hAnsi="Arial" w:cs="Arial"/>
          <w:sz w:val="24"/>
          <w:szCs w:val="24"/>
        </w:rPr>
      </w:pPr>
    </w:p>
    <w:p w14:paraId="39EC6DB9" w14:textId="77777777" w:rsidR="006A4957" w:rsidRDefault="006A4957">
      <w:pPr>
        <w:rPr>
          <w:rFonts w:ascii="Arial" w:hAnsi="Arial" w:cs="Arial"/>
          <w:sz w:val="24"/>
          <w:szCs w:val="24"/>
        </w:rPr>
      </w:pPr>
    </w:p>
    <w:p w14:paraId="3E3A18B7" w14:textId="77777777" w:rsidR="006A4957" w:rsidRDefault="006A4957">
      <w:pPr>
        <w:rPr>
          <w:rFonts w:ascii="Arial" w:hAnsi="Arial" w:cs="Arial"/>
          <w:sz w:val="24"/>
          <w:szCs w:val="24"/>
        </w:rPr>
      </w:pPr>
    </w:p>
    <w:p w14:paraId="55D2FB65" w14:textId="77777777" w:rsidR="006A4957" w:rsidRDefault="006A4957">
      <w:pPr>
        <w:rPr>
          <w:rFonts w:ascii="Arial" w:hAnsi="Arial" w:cs="Arial"/>
          <w:sz w:val="24"/>
          <w:szCs w:val="24"/>
        </w:rPr>
      </w:pPr>
    </w:p>
    <w:p w14:paraId="1A034682" w14:textId="77777777" w:rsidR="006A4957" w:rsidRDefault="006A4957">
      <w:pPr>
        <w:rPr>
          <w:rFonts w:ascii="Arial" w:hAnsi="Arial" w:cs="Arial"/>
          <w:sz w:val="24"/>
          <w:szCs w:val="24"/>
        </w:rPr>
      </w:pPr>
    </w:p>
    <w:p w14:paraId="0AB4A386" w14:textId="77777777" w:rsidR="006A4957" w:rsidRPr="002C15C1" w:rsidRDefault="006A4957" w:rsidP="006A4957">
      <w:pPr>
        <w:jc w:val="center"/>
        <w:rPr>
          <w:rFonts w:ascii="Arial" w:hAnsi="Arial" w:cs="Arial"/>
          <w:sz w:val="24"/>
          <w:szCs w:val="24"/>
        </w:rPr>
      </w:pPr>
      <w:r w:rsidRPr="002C15C1">
        <w:rPr>
          <w:rFonts w:ascii="Arial" w:hAnsi="Arial" w:cs="Arial"/>
          <w:sz w:val="24"/>
          <w:szCs w:val="24"/>
        </w:rPr>
        <w:t xml:space="preserve">There are many political and social themes currently debated in the field of gender and sexuality; </w:t>
      </w:r>
      <w:r w:rsidR="00F24AA2" w:rsidRPr="002C15C1">
        <w:rPr>
          <w:rFonts w:ascii="Arial" w:hAnsi="Arial" w:cs="Arial"/>
          <w:sz w:val="24"/>
          <w:szCs w:val="24"/>
        </w:rPr>
        <w:t xml:space="preserve">A </w:t>
      </w:r>
      <w:r w:rsidRPr="002C15C1">
        <w:rPr>
          <w:rFonts w:ascii="Arial" w:hAnsi="Arial" w:cs="Arial"/>
          <w:sz w:val="24"/>
          <w:szCs w:val="24"/>
        </w:rPr>
        <w:t xml:space="preserve">critical evaluation </w:t>
      </w:r>
      <w:r w:rsidR="00F24AA2" w:rsidRPr="002C15C1">
        <w:rPr>
          <w:rFonts w:ascii="Arial" w:hAnsi="Arial" w:cs="Arial"/>
          <w:sz w:val="24"/>
          <w:szCs w:val="24"/>
        </w:rPr>
        <w:t>of gender identity</w:t>
      </w:r>
      <w:r w:rsidRPr="002C15C1">
        <w:rPr>
          <w:rFonts w:ascii="Arial" w:hAnsi="Arial" w:cs="Arial"/>
          <w:sz w:val="24"/>
          <w:szCs w:val="24"/>
        </w:rPr>
        <w:t>.</w:t>
      </w:r>
    </w:p>
    <w:p w14:paraId="4EF20B4B" w14:textId="77777777" w:rsidR="006A4957" w:rsidRPr="002C15C1" w:rsidRDefault="006A4957" w:rsidP="006A4957">
      <w:pPr>
        <w:jc w:val="center"/>
        <w:rPr>
          <w:rFonts w:ascii="Arial" w:hAnsi="Arial" w:cs="Arial"/>
          <w:sz w:val="24"/>
          <w:szCs w:val="24"/>
        </w:rPr>
      </w:pPr>
    </w:p>
    <w:p w14:paraId="36A81E41" w14:textId="77777777" w:rsidR="006A4957" w:rsidRPr="002C15C1" w:rsidRDefault="006A4957" w:rsidP="006A4957">
      <w:pPr>
        <w:jc w:val="center"/>
        <w:rPr>
          <w:rFonts w:ascii="Arial" w:hAnsi="Arial" w:cs="Arial"/>
          <w:sz w:val="24"/>
          <w:szCs w:val="24"/>
        </w:rPr>
      </w:pPr>
    </w:p>
    <w:p w14:paraId="6A9D6D91" w14:textId="091F9523" w:rsidR="006A4957" w:rsidRPr="002C15C1" w:rsidRDefault="006A4957" w:rsidP="006A4957">
      <w:pPr>
        <w:jc w:val="center"/>
        <w:rPr>
          <w:rFonts w:ascii="Arial" w:hAnsi="Arial" w:cs="Arial"/>
          <w:sz w:val="24"/>
          <w:szCs w:val="24"/>
        </w:rPr>
      </w:pPr>
      <w:r w:rsidRPr="002C15C1">
        <w:rPr>
          <w:rFonts w:ascii="Arial" w:hAnsi="Arial" w:cs="Arial"/>
          <w:sz w:val="24"/>
          <w:szCs w:val="24"/>
        </w:rPr>
        <w:t>University of Wales Trinity Saint David</w:t>
      </w:r>
      <w:r w:rsidR="002C15C1">
        <w:rPr>
          <w:rFonts w:ascii="Arial" w:hAnsi="Arial" w:cs="Arial"/>
          <w:sz w:val="24"/>
          <w:szCs w:val="24"/>
        </w:rPr>
        <w:t>.</w:t>
      </w:r>
    </w:p>
    <w:p w14:paraId="3481383B" w14:textId="77777777" w:rsidR="006A4957" w:rsidRDefault="006A4957" w:rsidP="006A4957">
      <w:pPr>
        <w:jc w:val="center"/>
      </w:pPr>
    </w:p>
    <w:p w14:paraId="5C570021" w14:textId="77777777" w:rsidR="006A4957" w:rsidRDefault="006A4957" w:rsidP="006A4957">
      <w:pPr>
        <w:jc w:val="center"/>
      </w:pPr>
    </w:p>
    <w:p w14:paraId="10ACE3E2" w14:textId="77777777" w:rsidR="006A4957" w:rsidRDefault="006A4957" w:rsidP="006A4957">
      <w:pPr>
        <w:jc w:val="center"/>
      </w:pPr>
    </w:p>
    <w:p w14:paraId="53AF0C2C" w14:textId="77777777" w:rsidR="006A4957" w:rsidRDefault="006A4957" w:rsidP="006A4957">
      <w:pPr>
        <w:jc w:val="center"/>
      </w:pPr>
    </w:p>
    <w:p w14:paraId="7D72E13A" w14:textId="77777777" w:rsidR="006A4957" w:rsidRDefault="006A4957" w:rsidP="006A4957">
      <w:pPr>
        <w:jc w:val="center"/>
      </w:pPr>
    </w:p>
    <w:p w14:paraId="3B3767D4" w14:textId="77777777" w:rsidR="006A4957" w:rsidRDefault="006A4957" w:rsidP="006A4957">
      <w:pPr>
        <w:jc w:val="center"/>
      </w:pPr>
    </w:p>
    <w:p w14:paraId="5797104C" w14:textId="77777777" w:rsidR="006A4957" w:rsidRDefault="006A4957" w:rsidP="006A4957">
      <w:pPr>
        <w:jc w:val="center"/>
      </w:pPr>
    </w:p>
    <w:p w14:paraId="59591D1B" w14:textId="77777777" w:rsidR="006A4957" w:rsidRDefault="006A4957" w:rsidP="006A4957">
      <w:pPr>
        <w:jc w:val="center"/>
      </w:pPr>
    </w:p>
    <w:p w14:paraId="4ABE8B6B" w14:textId="77777777" w:rsidR="006A4957" w:rsidRDefault="006A4957" w:rsidP="006A4957">
      <w:pPr>
        <w:jc w:val="center"/>
      </w:pPr>
    </w:p>
    <w:p w14:paraId="0AF77652" w14:textId="77777777" w:rsidR="006A4957" w:rsidRDefault="006A4957" w:rsidP="006A4957">
      <w:pPr>
        <w:jc w:val="center"/>
      </w:pPr>
    </w:p>
    <w:p w14:paraId="5282D139" w14:textId="77777777" w:rsidR="006A4957" w:rsidRDefault="006A4957" w:rsidP="006A4957">
      <w:pPr>
        <w:jc w:val="center"/>
      </w:pPr>
    </w:p>
    <w:p w14:paraId="7FA162B3" w14:textId="77777777" w:rsidR="006A4957" w:rsidRDefault="006A4957" w:rsidP="006A4957">
      <w:pPr>
        <w:jc w:val="center"/>
      </w:pPr>
    </w:p>
    <w:p w14:paraId="6D547BEA" w14:textId="77777777" w:rsidR="006A4957" w:rsidRDefault="006A4957" w:rsidP="006A4957">
      <w:pPr>
        <w:jc w:val="center"/>
      </w:pPr>
    </w:p>
    <w:p w14:paraId="5D22A8D5" w14:textId="77777777" w:rsidR="006A4957" w:rsidRDefault="006A4957" w:rsidP="006A4957">
      <w:pPr>
        <w:jc w:val="center"/>
      </w:pPr>
    </w:p>
    <w:p w14:paraId="15B3D1B7" w14:textId="77777777" w:rsidR="006A4957" w:rsidRDefault="006A4957" w:rsidP="006A4957">
      <w:pPr>
        <w:jc w:val="center"/>
      </w:pPr>
    </w:p>
    <w:p w14:paraId="2E812742" w14:textId="77777777" w:rsidR="006A4957" w:rsidRDefault="006A4957" w:rsidP="006A4957">
      <w:pPr>
        <w:jc w:val="center"/>
      </w:pPr>
    </w:p>
    <w:p w14:paraId="2BCBD749" w14:textId="77777777" w:rsidR="006A4957" w:rsidRDefault="006A4957" w:rsidP="006A4957">
      <w:pPr>
        <w:jc w:val="center"/>
      </w:pPr>
    </w:p>
    <w:p w14:paraId="460EC9DC" w14:textId="77777777" w:rsidR="006A4957" w:rsidRDefault="006A4957" w:rsidP="006A4957">
      <w:pPr>
        <w:jc w:val="center"/>
      </w:pPr>
    </w:p>
    <w:p w14:paraId="4062DB8E" w14:textId="77777777" w:rsidR="006A4957" w:rsidRDefault="006A4957" w:rsidP="006A4957">
      <w:pPr>
        <w:jc w:val="center"/>
      </w:pPr>
    </w:p>
    <w:p w14:paraId="2B8DC03D" w14:textId="77777777" w:rsidR="006A4957" w:rsidRDefault="006A4957" w:rsidP="006A4957">
      <w:pPr>
        <w:rPr>
          <w:rFonts w:ascii="Arial" w:hAnsi="Arial" w:cs="Arial"/>
          <w:sz w:val="24"/>
          <w:szCs w:val="24"/>
        </w:rPr>
      </w:pPr>
    </w:p>
    <w:p w14:paraId="78149BFB" w14:textId="77777777" w:rsidR="001B19A9" w:rsidRDefault="006A4957" w:rsidP="00C1372E">
      <w:pPr>
        <w:ind w:firstLine="720"/>
        <w:rPr>
          <w:rFonts w:ascii="Arial" w:hAnsi="Arial" w:cs="Arial"/>
          <w:sz w:val="24"/>
          <w:szCs w:val="24"/>
        </w:rPr>
      </w:pPr>
      <w:r>
        <w:rPr>
          <w:rFonts w:ascii="Arial" w:hAnsi="Arial" w:cs="Arial"/>
          <w:sz w:val="24"/>
          <w:szCs w:val="24"/>
        </w:rPr>
        <w:t xml:space="preserve">Gender identity is a current social theme which </w:t>
      </w:r>
      <w:r w:rsidR="00770279">
        <w:rPr>
          <w:rFonts w:ascii="Arial" w:hAnsi="Arial" w:cs="Arial"/>
          <w:sz w:val="24"/>
          <w:szCs w:val="24"/>
        </w:rPr>
        <w:t>can be</w:t>
      </w:r>
      <w:r w:rsidR="00106B71">
        <w:rPr>
          <w:rFonts w:ascii="Arial" w:hAnsi="Arial" w:cs="Arial"/>
          <w:sz w:val="24"/>
          <w:szCs w:val="24"/>
        </w:rPr>
        <w:t xml:space="preserve"> </w:t>
      </w:r>
      <w:r w:rsidR="00F67CC2">
        <w:rPr>
          <w:rFonts w:ascii="Arial" w:hAnsi="Arial" w:cs="Arial"/>
          <w:sz w:val="24"/>
          <w:szCs w:val="24"/>
        </w:rPr>
        <w:t xml:space="preserve">described as </w:t>
      </w:r>
      <w:r w:rsidR="001B19A9">
        <w:rPr>
          <w:rFonts w:ascii="Arial" w:hAnsi="Arial" w:cs="Arial"/>
          <w:sz w:val="24"/>
          <w:szCs w:val="24"/>
        </w:rPr>
        <w:t xml:space="preserve">biologically </w:t>
      </w:r>
      <w:r w:rsidR="00F67CC2">
        <w:rPr>
          <w:rFonts w:ascii="Arial" w:hAnsi="Arial" w:cs="Arial"/>
          <w:sz w:val="24"/>
          <w:szCs w:val="24"/>
        </w:rPr>
        <w:t xml:space="preserve">having a gender, </w:t>
      </w:r>
      <w:r w:rsidR="001B19A9">
        <w:rPr>
          <w:rFonts w:ascii="Arial" w:hAnsi="Arial" w:cs="Arial"/>
          <w:sz w:val="24"/>
          <w:szCs w:val="24"/>
        </w:rPr>
        <w:t xml:space="preserve">typically </w:t>
      </w:r>
      <w:r w:rsidR="00F67CC2">
        <w:rPr>
          <w:rFonts w:ascii="Arial" w:hAnsi="Arial" w:cs="Arial"/>
          <w:sz w:val="24"/>
          <w:szCs w:val="24"/>
        </w:rPr>
        <w:t xml:space="preserve">either female or male reproductive parts, </w:t>
      </w:r>
      <w:r w:rsidR="001F65E0">
        <w:rPr>
          <w:rFonts w:ascii="Arial" w:hAnsi="Arial" w:cs="Arial"/>
          <w:sz w:val="24"/>
          <w:szCs w:val="24"/>
        </w:rPr>
        <w:t>however, this is not solely how society identifies gender.</w:t>
      </w:r>
      <w:r w:rsidR="004C7B72">
        <w:rPr>
          <w:rFonts w:ascii="Arial" w:hAnsi="Arial" w:cs="Arial"/>
          <w:sz w:val="24"/>
          <w:szCs w:val="24"/>
        </w:rPr>
        <w:t xml:space="preserve"> </w:t>
      </w:r>
      <w:r w:rsidR="001F65E0">
        <w:rPr>
          <w:rFonts w:ascii="Arial" w:hAnsi="Arial" w:cs="Arial"/>
          <w:sz w:val="24"/>
          <w:szCs w:val="24"/>
        </w:rPr>
        <w:t>Children are</w:t>
      </w:r>
      <w:r w:rsidR="00F67CC2">
        <w:rPr>
          <w:rFonts w:ascii="Arial" w:hAnsi="Arial" w:cs="Arial"/>
          <w:sz w:val="24"/>
          <w:szCs w:val="24"/>
        </w:rPr>
        <w:t xml:space="preserve"> </w:t>
      </w:r>
      <w:r w:rsidR="00106B71">
        <w:rPr>
          <w:rFonts w:ascii="Arial" w:hAnsi="Arial" w:cs="Arial"/>
          <w:sz w:val="24"/>
          <w:szCs w:val="24"/>
        </w:rPr>
        <w:t xml:space="preserve">generally </w:t>
      </w:r>
      <w:r w:rsidR="00F67CC2">
        <w:rPr>
          <w:rFonts w:ascii="Arial" w:hAnsi="Arial" w:cs="Arial"/>
          <w:sz w:val="24"/>
          <w:szCs w:val="24"/>
        </w:rPr>
        <w:t xml:space="preserve">raised </w:t>
      </w:r>
      <w:r w:rsidR="001F65E0">
        <w:rPr>
          <w:rFonts w:ascii="Arial" w:hAnsi="Arial" w:cs="Arial"/>
          <w:sz w:val="24"/>
          <w:szCs w:val="24"/>
        </w:rPr>
        <w:t xml:space="preserve">in line with </w:t>
      </w:r>
      <w:r w:rsidR="00F67CC2">
        <w:rPr>
          <w:rFonts w:ascii="Arial" w:hAnsi="Arial" w:cs="Arial"/>
          <w:sz w:val="24"/>
          <w:szCs w:val="24"/>
        </w:rPr>
        <w:t xml:space="preserve">and </w:t>
      </w:r>
      <w:r w:rsidR="001F65E0">
        <w:rPr>
          <w:rFonts w:ascii="Arial" w:hAnsi="Arial" w:cs="Arial"/>
          <w:sz w:val="24"/>
          <w:szCs w:val="24"/>
        </w:rPr>
        <w:t>are</w:t>
      </w:r>
      <w:r w:rsidR="00F67CC2">
        <w:rPr>
          <w:rFonts w:ascii="Arial" w:hAnsi="Arial" w:cs="Arial"/>
          <w:sz w:val="24"/>
          <w:szCs w:val="24"/>
        </w:rPr>
        <w:t xml:space="preserve"> </w:t>
      </w:r>
      <w:r w:rsidR="00106B71">
        <w:rPr>
          <w:rFonts w:ascii="Arial" w:hAnsi="Arial" w:cs="Arial"/>
          <w:sz w:val="24"/>
          <w:szCs w:val="24"/>
        </w:rPr>
        <w:t xml:space="preserve">thought of as </w:t>
      </w:r>
      <w:r w:rsidR="001F65E0">
        <w:rPr>
          <w:rFonts w:ascii="Arial" w:hAnsi="Arial" w:cs="Arial"/>
          <w:sz w:val="24"/>
          <w:szCs w:val="24"/>
        </w:rPr>
        <w:t xml:space="preserve">being </w:t>
      </w:r>
      <w:r>
        <w:rPr>
          <w:rFonts w:ascii="Arial" w:hAnsi="Arial" w:cs="Arial"/>
          <w:sz w:val="24"/>
          <w:szCs w:val="24"/>
        </w:rPr>
        <w:t>assign</w:t>
      </w:r>
      <w:r w:rsidR="001F65E0">
        <w:rPr>
          <w:rFonts w:ascii="Arial" w:hAnsi="Arial" w:cs="Arial"/>
          <w:sz w:val="24"/>
          <w:szCs w:val="24"/>
        </w:rPr>
        <w:t>ed</w:t>
      </w:r>
      <w:r>
        <w:rPr>
          <w:rFonts w:ascii="Arial" w:hAnsi="Arial" w:cs="Arial"/>
          <w:sz w:val="24"/>
          <w:szCs w:val="24"/>
        </w:rPr>
        <w:t xml:space="preserve"> a </w:t>
      </w:r>
      <w:r w:rsidR="00106B71">
        <w:rPr>
          <w:rFonts w:ascii="Arial" w:hAnsi="Arial" w:cs="Arial"/>
          <w:sz w:val="24"/>
          <w:szCs w:val="24"/>
        </w:rPr>
        <w:t xml:space="preserve">particular </w:t>
      </w:r>
      <w:r>
        <w:rPr>
          <w:rFonts w:ascii="Arial" w:hAnsi="Arial" w:cs="Arial"/>
          <w:sz w:val="24"/>
          <w:szCs w:val="24"/>
        </w:rPr>
        <w:t xml:space="preserve">set of traits </w:t>
      </w:r>
      <w:r w:rsidR="001F65E0">
        <w:rPr>
          <w:rFonts w:ascii="Arial" w:hAnsi="Arial" w:cs="Arial"/>
          <w:sz w:val="24"/>
          <w:szCs w:val="24"/>
        </w:rPr>
        <w:t xml:space="preserve">which are normal or typical </w:t>
      </w:r>
      <w:r>
        <w:rPr>
          <w:rFonts w:ascii="Arial" w:hAnsi="Arial" w:cs="Arial"/>
          <w:sz w:val="24"/>
          <w:szCs w:val="24"/>
        </w:rPr>
        <w:t xml:space="preserve">to </w:t>
      </w:r>
      <w:r w:rsidR="00F67CC2">
        <w:rPr>
          <w:rFonts w:ascii="Arial" w:hAnsi="Arial" w:cs="Arial"/>
          <w:sz w:val="24"/>
          <w:szCs w:val="24"/>
        </w:rPr>
        <w:t>that</w:t>
      </w:r>
      <w:r>
        <w:rPr>
          <w:rFonts w:ascii="Arial" w:hAnsi="Arial" w:cs="Arial"/>
          <w:sz w:val="24"/>
          <w:szCs w:val="24"/>
        </w:rPr>
        <w:t xml:space="preserve"> gender.</w:t>
      </w:r>
      <w:r w:rsidR="001F65E0">
        <w:rPr>
          <w:rFonts w:ascii="Arial" w:hAnsi="Arial" w:cs="Arial"/>
          <w:sz w:val="24"/>
          <w:szCs w:val="24"/>
        </w:rPr>
        <w:t xml:space="preserve"> </w:t>
      </w:r>
      <w:r>
        <w:rPr>
          <w:rFonts w:ascii="Arial" w:hAnsi="Arial" w:cs="Arial"/>
          <w:sz w:val="24"/>
          <w:szCs w:val="24"/>
        </w:rPr>
        <w:t>The challenges that this</w:t>
      </w:r>
      <w:r w:rsidR="001F65E0">
        <w:rPr>
          <w:rFonts w:ascii="Arial" w:hAnsi="Arial" w:cs="Arial"/>
          <w:sz w:val="24"/>
          <w:szCs w:val="24"/>
        </w:rPr>
        <w:t xml:space="preserve"> narrow perspective</w:t>
      </w:r>
      <w:r>
        <w:rPr>
          <w:rFonts w:ascii="Arial" w:hAnsi="Arial" w:cs="Arial"/>
          <w:sz w:val="24"/>
          <w:szCs w:val="24"/>
        </w:rPr>
        <w:t xml:space="preserve"> brings to any individual who doesn’t conform to </w:t>
      </w:r>
      <w:r w:rsidR="00106B71">
        <w:rPr>
          <w:rFonts w:ascii="Arial" w:hAnsi="Arial" w:cs="Arial"/>
          <w:sz w:val="24"/>
          <w:szCs w:val="24"/>
        </w:rPr>
        <w:t>such</w:t>
      </w:r>
      <w:r>
        <w:rPr>
          <w:rFonts w:ascii="Arial" w:hAnsi="Arial" w:cs="Arial"/>
          <w:sz w:val="24"/>
          <w:szCs w:val="24"/>
        </w:rPr>
        <w:t xml:space="preserve"> societal or cultural gender norms can be suggested to cause controversy, ambiguity and disparities</w:t>
      </w:r>
      <w:r w:rsidR="001F65E0">
        <w:rPr>
          <w:rFonts w:ascii="Arial" w:hAnsi="Arial" w:cs="Arial"/>
          <w:sz w:val="24"/>
          <w:szCs w:val="24"/>
        </w:rPr>
        <w:t xml:space="preserve"> along with prejudice, bias and discrimination</w:t>
      </w:r>
      <w:r>
        <w:rPr>
          <w:rFonts w:ascii="Arial" w:hAnsi="Arial" w:cs="Arial"/>
          <w:sz w:val="24"/>
          <w:szCs w:val="24"/>
        </w:rPr>
        <w:t xml:space="preserve">. </w:t>
      </w:r>
      <w:r w:rsidR="00770279">
        <w:rPr>
          <w:rFonts w:ascii="Arial" w:hAnsi="Arial" w:cs="Arial"/>
          <w:sz w:val="24"/>
          <w:szCs w:val="24"/>
        </w:rPr>
        <w:t>Research</w:t>
      </w:r>
      <w:r w:rsidR="001B19A9">
        <w:rPr>
          <w:rFonts w:ascii="Arial" w:hAnsi="Arial" w:cs="Arial"/>
          <w:sz w:val="24"/>
          <w:szCs w:val="24"/>
        </w:rPr>
        <w:t xml:space="preserve"> also stipulates that the dyadic interdependence between men and women cause a uniqueness in which they rely on the other (which is an out-group member) to reproduce. This is usually described as a heterosexual relationship. However, today there are many variations of </w:t>
      </w:r>
      <w:r w:rsidR="004978D0">
        <w:rPr>
          <w:rFonts w:ascii="Arial" w:hAnsi="Arial" w:cs="Arial"/>
          <w:sz w:val="24"/>
          <w:szCs w:val="24"/>
        </w:rPr>
        <w:t>gender identity and</w:t>
      </w:r>
      <w:r w:rsidR="00770279">
        <w:rPr>
          <w:rFonts w:ascii="Arial" w:hAnsi="Arial" w:cs="Arial"/>
          <w:sz w:val="24"/>
          <w:szCs w:val="24"/>
        </w:rPr>
        <w:t xml:space="preserve"> types of</w:t>
      </w:r>
      <w:r w:rsidR="004978D0">
        <w:rPr>
          <w:rFonts w:ascii="Arial" w:hAnsi="Arial" w:cs="Arial"/>
          <w:sz w:val="24"/>
          <w:szCs w:val="24"/>
        </w:rPr>
        <w:t xml:space="preserve"> relationships. </w:t>
      </w:r>
    </w:p>
    <w:p w14:paraId="49B0D263" w14:textId="3D5C5B7A" w:rsidR="003A4C1E" w:rsidRDefault="004C7B72" w:rsidP="00BA669F">
      <w:pPr>
        <w:ind w:firstLine="720"/>
        <w:rPr>
          <w:rFonts w:ascii="Arial" w:hAnsi="Arial" w:cs="Arial"/>
          <w:sz w:val="24"/>
          <w:szCs w:val="24"/>
        </w:rPr>
      </w:pPr>
      <w:r>
        <w:rPr>
          <w:rFonts w:ascii="Arial" w:hAnsi="Arial" w:cs="Arial"/>
          <w:sz w:val="24"/>
          <w:szCs w:val="24"/>
        </w:rPr>
        <w:t>Identity theory and social identity theory</w:t>
      </w:r>
      <w:r w:rsidR="00D37241">
        <w:rPr>
          <w:rFonts w:ascii="Arial" w:hAnsi="Arial" w:cs="Arial"/>
          <w:sz w:val="24"/>
          <w:szCs w:val="24"/>
        </w:rPr>
        <w:t xml:space="preserve"> offer ways in which individuals validate the self. </w:t>
      </w:r>
      <w:r w:rsidR="00C0123A">
        <w:rPr>
          <w:rFonts w:ascii="Arial" w:hAnsi="Arial" w:cs="Arial"/>
          <w:sz w:val="24"/>
          <w:szCs w:val="24"/>
        </w:rPr>
        <w:t xml:space="preserve">These theories suggest that the self is validated not only by the </w:t>
      </w:r>
      <w:r w:rsidR="00770279">
        <w:rPr>
          <w:rFonts w:ascii="Arial" w:hAnsi="Arial" w:cs="Arial"/>
          <w:sz w:val="24"/>
          <w:szCs w:val="24"/>
        </w:rPr>
        <w:t xml:space="preserve">internal aspect of the </w:t>
      </w:r>
      <w:r w:rsidR="00C0123A">
        <w:rPr>
          <w:rFonts w:ascii="Arial" w:hAnsi="Arial" w:cs="Arial"/>
          <w:sz w:val="24"/>
          <w:szCs w:val="24"/>
        </w:rPr>
        <w:t>individual but also about our role within society. Therefore, if society rejects or reflects disapproval to the individual, how does this affect the individual sense of self</w:t>
      </w:r>
      <w:r w:rsidR="00345B0D">
        <w:rPr>
          <w:rFonts w:ascii="Arial" w:hAnsi="Arial" w:cs="Arial"/>
          <w:sz w:val="24"/>
          <w:szCs w:val="24"/>
        </w:rPr>
        <w:t>. The DSM – IV categorises those with gender dysp</w:t>
      </w:r>
      <w:r w:rsidR="00770279">
        <w:rPr>
          <w:rFonts w:ascii="Arial" w:hAnsi="Arial" w:cs="Arial"/>
          <w:sz w:val="24"/>
          <w:szCs w:val="24"/>
        </w:rPr>
        <w:t>hor</w:t>
      </w:r>
      <w:r w:rsidR="00345B0D">
        <w:rPr>
          <w:rFonts w:ascii="Arial" w:hAnsi="Arial" w:cs="Arial"/>
          <w:sz w:val="24"/>
          <w:szCs w:val="24"/>
        </w:rPr>
        <w:t xml:space="preserve">ia, </w:t>
      </w:r>
      <w:r w:rsidR="00770279">
        <w:rPr>
          <w:rFonts w:ascii="Arial" w:hAnsi="Arial" w:cs="Arial"/>
          <w:sz w:val="24"/>
          <w:szCs w:val="24"/>
        </w:rPr>
        <w:t xml:space="preserve">as </w:t>
      </w:r>
      <w:r w:rsidR="00345B0D">
        <w:rPr>
          <w:rFonts w:ascii="Arial" w:hAnsi="Arial" w:cs="Arial"/>
          <w:sz w:val="24"/>
          <w:szCs w:val="24"/>
        </w:rPr>
        <w:t>a disparity between the gender assigned at birth and the gender the individual identifies as later on, as a psychological condition</w:t>
      </w:r>
      <w:r w:rsidR="00770279">
        <w:rPr>
          <w:rFonts w:ascii="Arial" w:hAnsi="Arial" w:cs="Arial"/>
          <w:sz w:val="24"/>
          <w:szCs w:val="24"/>
        </w:rPr>
        <w:t>.</w:t>
      </w:r>
      <w:r w:rsidR="00345B0D">
        <w:rPr>
          <w:rFonts w:ascii="Arial" w:hAnsi="Arial" w:cs="Arial"/>
          <w:sz w:val="24"/>
          <w:szCs w:val="24"/>
        </w:rPr>
        <w:t xml:space="preserve"> </w:t>
      </w:r>
      <w:r w:rsidR="002D318F">
        <w:rPr>
          <w:rFonts w:ascii="Arial" w:hAnsi="Arial" w:cs="Arial"/>
          <w:sz w:val="24"/>
          <w:szCs w:val="24"/>
        </w:rPr>
        <w:t>O</w:t>
      </w:r>
      <w:r w:rsidR="00D838BD">
        <w:rPr>
          <w:rFonts w:ascii="Arial" w:hAnsi="Arial" w:cs="Arial"/>
          <w:sz w:val="24"/>
          <w:szCs w:val="24"/>
        </w:rPr>
        <w:t xml:space="preserve">ther theories and studies such as the queer theory which emerges out of the 1990’s stipulates that gender is part of the </w:t>
      </w:r>
      <w:r w:rsidR="00C121C1">
        <w:rPr>
          <w:rFonts w:ascii="Arial" w:hAnsi="Arial" w:cs="Arial"/>
          <w:sz w:val="24"/>
          <w:szCs w:val="24"/>
        </w:rPr>
        <w:t>crucial</w:t>
      </w:r>
      <w:r w:rsidR="00D838BD">
        <w:rPr>
          <w:rFonts w:ascii="Arial" w:hAnsi="Arial" w:cs="Arial"/>
          <w:sz w:val="24"/>
          <w:szCs w:val="24"/>
        </w:rPr>
        <w:t xml:space="preserve"> self, and social constructs contribute to the</w:t>
      </w:r>
      <w:r w:rsidR="00A66BDC">
        <w:rPr>
          <w:rFonts w:ascii="Arial" w:hAnsi="Arial" w:cs="Arial"/>
          <w:sz w:val="24"/>
          <w:szCs w:val="24"/>
        </w:rPr>
        <w:t>se</w:t>
      </w:r>
      <w:r w:rsidR="00D838BD">
        <w:rPr>
          <w:rFonts w:ascii="Arial" w:hAnsi="Arial" w:cs="Arial"/>
          <w:sz w:val="24"/>
          <w:szCs w:val="24"/>
        </w:rPr>
        <w:t xml:space="preserve"> sexual acts and identities. Queer theory refers any </w:t>
      </w:r>
      <w:r w:rsidR="00C121C1">
        <w:rPr>
          <w:rFonts w:ascii="Arial" w:hAnsi="Arial" w:cs="Arial"/>
          <w:sz w:val="24"/>
          <w:szCs w:val="24"/>
        </w:rPr>
        <w:t>description</w:t>
      </w:r>
      <w:r w:rsidR="00D838BD">
        <w:rPr>
          <w:rFonts w:ascii="Arial" w:hAnsi="Arial" w:cs="Arial"/>
          <w:sz w:val="24"/>
          <w:szCs w:val="24"/>
        </w:rPr>
        <w:t xml:space="preserve"> of sexual </w:t>
      </w:r>
      <w:r w:rsidR="001F3D8A">
        <w:rPr>
          <w:rFonts w:ascii="Arial" w:hAnsi="Arial" w:cs="Arial"/>
          <w:sz w:val="24"/>
          <w:szCs w:val="24"/>
        </w:rPr>
        <w:t>action</w:t>
      </w:r>
      <w:r w:rsidR="00D838BD">
        <w:rPr>
          <w:rFonts w:ascii="Arial" w:hAnsi="Arial" w:cs="Arial"/>
          <w:sz w:val="24"/>
          <w:szCs w:val="24"/>
        </w:rPr>
        <w:t xml:space="preserve"> or identity </w:t>
      </w:r>
      <w:r w:rsidR="00C121C1">
        <w:rPr>
          <w:rFonts w:ascii="Arial" w:hAnsi="Arial" w:cs="Arial"/>
          <w:sz w:val="24"/>
          <w:szCs w:val="24"/>
        </w:rPr>
        <w:t>that is categorised as normal or deviant</w:t>
      </w:r>
      <w:r w:rsidR="00D838BD">
        <w:rPr>
          <w:rFonts w:ascii="Arial" w:hAnsi="Arial" w:cs="Arial"/>
          <w:sz w:val="24"/>
          <w:szCs w:val="24"/>
        </w:rPr>
        <w:t>.</w:t>
      </w:r>
      <w:r w:rsidR="003A4C1E">
        <w:rPr>
          <w:rFonts w:ascii="Arial" w:hAnsi="Arial" w:cs="Arial"/>
          <w:sz w:val="24"/>
          <w:szCs w:val="24"/>
        </w:rPr>
        <w:t xml:space="preserve"> </w:t>
      </w:r>
      <w:r w:rsidR="00C0123A">
        <w:rPr>
          <w:rFonts w:ascii="Arial" w:hAnsi="Arial" w:cs="Arial"/>
          <w:sz w:val="24"/>
          <w:szCs w:val="24"/>
        </w:rPr>
        <w:t xml:space="preserve">Within this essay we will discuss social role theory, and gender identity. </w:t>
      </w:r>
    </w:p>
    <w:p w14:paraId="1F83F084" w14:textId="77777777" w:rsidR="006A4957" w:rsidRPr="00925480" w:rsidRDefault="00925480" w:rsidP="00EF17CC">
      <w:pPr>
        <w:ind w:firstLine="720"/>
        <w:rPr>
          <w:rFonts w:ascii="Arial" w:hAnsi="Arial" w:cs="Arial"/>
          <w:sz w:val="24"/>
          <w:szCs w:val="24"/>
        </w:rPr>
      </w:pPr>
      <w:proofErr w:type="spellStart"/>
      <w:r w:rsidRPr="00925480">
        <w:rPr>
          <w:rFonts w:ascii="Arial" w:hAnsi="Arial" w:cs="Arial"/>
          <w:sz w:val="24"/>
          <w:szCs w:val="24"/>
        </w:rPr>
        <w:t>Eagly’s</w:t>
      </w:r>
      <w:proofErr w:type="spellEnd"/>
      <w:r w:rsidRPr="00925480">
        <w:rPr>
          <w:rFonts w:ascii="Arial" w:hAnsi="Arial" w:cs="Arial"/>
          <w:sz w:val="24"/>
          <w:szCs w:val="24"/>
        </w:rPr>
        <w:t xml:space="preserve"> (1987) social role theory, suggests that a</w:t>
      </w:r>
      <w:r w:rsidR="00106B71" w:rsidRPr="00925480">
        <w:rPr>
          <w:rFonts w:ascii="Arial" w:hAnsi="Arial" w:cs="Arial"/>
          <w:sz w:val="24"/>
          <w:szCs w:val="24"/>
        </w:rPr>
        <w:t>mongst</w:t>
      </w:r>
      <w:r w:rsidR="00106B71">
        <w:rPr>
          <w:rFonts w:ascii="Arial" w:hAnsi="Arial" w:cs="Arial"/>
          <w:sz w:val="24"/>
          <w:szCs w:val="24"/>
        </w:rPr>
        <w:t xml:space="preserve"> traditional gender identities </w:t>
      </w:r>
      <w:r w:rsidR="001F65E0">
        <w:rPr>
          <w:rFonts w:ascii="Arial" w:hAnsi="Arial" w:cs="Arial"/>
          <w:sz w:val="24"/>
          <w:szCs w:val="24"/>
        </w:rPr>
        <w:t xml:space="preserve">there are thought to be two, </w:t>
      </w:r>
      <w:r w:rsidR="00106B71">
        <w:rPr>
          <w:rFonts w:ascii="Arial" w:hAnsi="Arial" w:cs="Arial"/>
          <w:sz w:val="24"/>
          <w:szCs w:val="24"/>
        </w:rPr>
        <w:t xml:space="preserve">males and females, and our global societal norms </w:t>
      </w:r>
      <w:r w:rsidR="00C0123A">
        <w:rPr>
          <w:rFonts w:ascii="Arial" w:hAnsi="Arial" w:cs="Arial"/>
          <w:sz w:val="24"/>
          <w:szCs w:val="24"/>
        </w:rPr>
        <w:t>are</w:t>
      </w:r>
      <w:r w:rsidR="00106B71">
        <w:rPr>
          <w:rFonts w:ascii="Arial" w:hAnsi="Arial" w:cs="Arial"/>
          <w:sz w:val="24"/>
          <w:szCs w:val="24"/>
        </w:rPr>
        <w:t xml:space="preserve"> that men and women have a particular set of descriptive and prescriptive traits</w:t>
      </w:r>
      <w:r w:rsidR="00106B71" w:rsidRPr="006555AA">
        <w:rPr>
          <w:rFonts w:ascii="Arial" w:hAnsi="Arial" w:cs="Arial"/>
          <w:sz w:val="24"/>
          <w:szCs w:val="24"/>
        </w:rPr>
        <w:t>.</w:t>
      </w:r>
      <w:r w:rsidR="00106B71">
        <w:rPr>
          <w:rFonts w:ascii="Arial" w:hAnsi="Arial" w:cs="Arial"/>
          <w:sz w:val="24"/>
          <w:szCs w:val="24"/>
        </w:rPr>
        <w:t xml:space="preserve"> These stipulate how men and women should behave, and give society a way </w:t>
      </w:r>
      <w:r w:rsidR="001F65E0">
        <w:rPr>
          <w:rFonts w:ascii="Arial" w:hAnsi="Arial" w:cs="Arial"/>
          <w:sz w:val="24"/>
          <w:szCs w:val="24"/>
        </w:rPr>
        <w:t xml:space="preserve">in which we </w:t>
      </w:r>
      <w:r w:rsidR="00F67CC2">
        <w:rPr>
          <w:rFonts w:ascii="Arial" w:hAnsi="Arial" w:cs="Arial"/>
          <w:sz w:val="24"/>
          <w:szCs w:val="24"/>
        </w:rPr>
        <w:t xml:space="preserve">expect a gender to </w:t>
      </w:r>
      <w:r w:rsidR="001F65E0">
        <w:rPr>
          <w:rFonts w:ascii="Arial" w:hAnsi="Arial" w:cs="Arial"/>
          <w:sz w:val="24"/>
          <w:szCs w:val="24"/>
        </w:rPr>
        <w:t>act</w:t>
      </w:r>
      <w:r w:rsidR="009C2811">
        <w:rPr>
          <w:rFonts w:ascii="Arial" w:hAnsi="Arial" w:cs="Arial"/>
          <w:sz w:val="24"/>
          <w:szCs w:val="24"/>
        </w:rPr>
        <w:t xml:space="preserve"> </w:t>
      </w:r>
      <w:r w:rsidR="009C2811" w:rsidRPr="006555AA">
        <w:rPr>
          <w:rFonts w:ascii="Arial" w:hAnsi="Arial" w:cs="Arial"/>
          <w:sz w:val="24"/>
          <w:szCs w:val="24"/>
        </w:rPr>
        <w:t>(Koenig, 2018)</w:t>
      </w:r>
      <w:r w:rsidR="002D318F">
        <w:rPr>
          <w:rFonts w:ascii="Arial" w:hAnsi="Arial" w:cs="Arial"/>
          <w:sz w:val="24"/>
          <w:szCs w:val="24"/>
        </w:rPr>
        <w:t xml:space="preserve"> therefore validating the self</w:t>
      </w:r>
      <w:r w:rsidR="00C1372E">
        <w:rPr>
          <w:rFonts w:ascii="Arial" w:hAnsi="Arial" w:cs="Arial"/>
          <w:sz w:val="24"/>
          <w:szCs w:val="24"/>
        </w:rPr>
        <w:t>.</w:t>
      </w:r>
      <w:r w:rsidR="00F67CC2">
        <w:rPr>
          <w:rFonts w:ascii="Arial" w:hAnsi="Arial" w:cs="Arial"/>
          <w:sz w:val="24"/>
          <w:szCs w:val="24"/>
        </w:rPr>
        <w:t xml:space="preserve"> </w:t>
      </w:r>
      <w:r w:rsidR="00C1372E">
        <w:rPr>
          <w:rFonts w:ascii="Arial" w:hAnsi="Arial" w:cs="Arial"/>
          <w:sz w:val="24"/>
          <w:szCs w:val="24"/>
        </w:rPr>
        <w:t>H</w:t>
      </w:r>
      <w:r w:rsidR="00F67CC2">
        <w:rPr>
          <w:rFonts w:ascii="Arial" w:hAnsi="Arial" w:cs="Arial"/>
          <w:sz w:val="24"/>
          <w:szCs w:val="24"/>
        </w:rPr>
        <w:t xml:space="preserve">owever, it must be suggested that these </w:t>
      </w:r>
      <w:r w:rsidR="00C1372E">
        <w:rPr>
          <w:rFonts w:ascii="Arial" w:hAnsi="Arial" w:cs="Arial"/>
          <w:sz w:val="24"/>
          <w:szCs w:val="24"/>
        </w:rPr>
        <w:t xml:space="preserve">preceptive traits </w:t>
      </w:r>
      <w:r w:rsidR="00F67CC2">
        <w:rPr>
          <w:rFonts w:ascii="Arial" w:hAnsi="Arial" w:cs="Arial"/>
          <w:sz w:val="24"/>
          <w:szCs w:val="24"/>
        </w:rPr>
        <w:t>can be very limiting</w:t>
      </w:r>
      <w:r w:rsidR="00EF17CC">
        <w:rPr>
          <w:rFonts w:ascii="Arial" w:hAnsi="Arial" w:cs="Arial"/>
          <w:sz w:val="24"/>
          <w:szCs w:val="24"/>
        </w:rPr>
        <w:t xml:space="preserve"> </w:t>
      </w:r>
      <w:r w:rsidR="00277981" w:rsidRPr="006555AA">
        <w:rPr>
          <w:rFonts w:ascii="Arial" w:hAnsi="Arial" w:cs="Arial"/>
          <w:sz w:val="24"/>
          <w:szCs w:val="24"/>
        </w:rPr>
        <w:t>(</w:t>
      </w:r>
      <w:proofErr w:type="spellStart"/>
      <w:r w:rsidR="00EF17CC" w:rsidRPr="006555AA">
        <w:rPr>
          <w:rFonts w:ascii="Arial" w:hAnsi="Arial" w:cs="Arial"/>
          <w:sz w:val="24"/>
          <w:szCs w:val="24"/>
        </w:rPr>
        <w:t>Busak</w:t>
      </w:r>
      <w:proofErr w:type="spellEnd"/>
      <w:r w:rsidR="00EF17CC" w:rsidRPr="006555AA">
        <w:rPr>
          <w:rFonts w:ascii="Arial" w:hAnsi="Arial" w:cs="Arial"/>
          <w:sz w:val="24"/>
          <w:szCs w:val="24"/>
        </w:rPr>
        <w:t xml:space="preserve">, Kulich, </w:t>
      </w:r>
      <w:proofErr w:type="spellStart"/>
      <w:r w:rsidR="00EF17CC" w:rsidRPr="006555AA">
        <w:rPr>
          <w:rFonts w:ascii="Arial" w:hAnsi="Arial" w:cs="Arial"/>
          <w:sz w:val="24"/>
          <w:szCs w:val="24"/>
        </w:rPr>
        <w:t>Rudan</w:t>
      </w:r>
      <w:proofErr w:type="spellEnd"/>
      <w:r w:rsidR="00EF17CC" w:rsidRPr="006555AA">
        <w:rPr>
          <w:rFonts w:ascii="Arial" w:hAnsi="Arial" w:cs="Arial"/>
          <w:sz w:val="24"/>
          <w:szCs w:val="24"/>
        </w:rPr>
        <w:t xml:space="preserve">, and </w:t>
      </w:r>
      <w:proofErr w:type="spellStart"/>
      <w:r w:rsidR="00EF17CC" w:rsidRPr="006555AA">
        <w:rPr>
          <w:rFonts w:ascii="Arial" w:hAnsi="Arial" w:cs="Arial"/>
          <w:sz w:val="24"/>
          <w:szCs w:val="24"/>
        </w:rPr>
        <w:t>Kinahan</w:t>
      </w:r>
      <w:proofErr w:type="spellEnd"/>
      <w:r w:rsidR="00EF17CC" w:rsidRPr="006555AA">
        <w:rPr>
          <w:rFonts w:ascii="Arial" w:hAnsi="Arial" w:cs="Arial"/>
          <w:sz w:val="24"/>
          <w:szCs w:val="24"/>
        </w:rPr>
        <w:t>, 2018</w:t>
      </w:r>
      <w:r w:rsidR="00277981" w:rsidRPr="006555AA">
        <w:rPr>
          <w:rFonts w:ascii="Arial" w:hAnsi="Arial" w:cs="Arial"/>
          <w:sz w:val="24"/>
          <w:szCs w:val="24"/>
        </w:rPr>
        <w:t>)</w:t>
      </w:r>
      <w:r w:rsidR="00F67CC2" w:rsidRPr="006555AA">
        <w:rPr>
          <w:rFonts w:ascii="Arial" w:hAnsi="Arial" w:cs="Arial"/>
          <w:sz w:val="24"/>
          <w:szCs w:val="24"/>
        </w:rPr>
        <w:t xml:space="preserve">, </w:t>
      </w:r>
      <w:r w:rsidR="00F67CC2">
        <w:rPr>
          <w:rFonts w:ascii="Arial" w:hAnsi="Arial" w:cs="Arial"/>
          <w:sz w:val="24"/>
          <w:szCs w:val="24"/>
        </w:rPr>
        <w:t xml:space="preserve">and </w:t>
      </w:r>
      <w:r w:rsidR="00C1372E">
        <w:rPr>
          <w:rFonts w:ascii="Arial" w:hAnsi="Arial" w:cs="Arial"/>
          <w:sz w:val="24"/>
          <w:szCs w:val="24"/>
        </w:rPr>
        <w:t xml:space="preserve">can </w:t>
      </w:r>
      <w:r w:rsidR="00F67CC2">
        <w:rPr>
          <w:rFonts w:ascii="Arial" w:hAnsi="Arial" w:cs="Arial"/>
          <w:sz w:val="24"/>
          <w:szCs w:val="24"/>
        </w:rPr>
        <w:t xml:space="preserve">causes problems with things such as relationship roles, job </w:t>
      </w:r>
      <w:r w:rsidR="00F67CC2" w:rsidRPr="00925480">
        <w:rPr>
          <w:rFonts w:ascii="Arial" w:hAnsi="Arial" w:cs="Arial"/>
          <w:sz w:val="24"/>
          <w:szCs w:val="24"/>
        </w:rPr>
        <w:t>suitability</w:t>
      </w:r>
      <w:r w:rsidR="00A72414" w:rsidRPr="00925480">
        <w:rPr>
          <w:rFonts w:ascii="Arial" w:hAnsi="Arial" w:cs="Arial"/>
          <w:sz w:val="24"/>
          <w:szCs w:val="24"/>
        </w:rPr>
        <w:t xml:space="preserve"> (Kiser, 2015</w:t>
      </w:r>
      <w:r w:rsidRPr="00925480">
        <w:rPr>
          <w:rFonts w:ascii="Arial" w:hAnsi="Arial" w:cs="Arial"/>
          <w:sz w:val="24"/>
          <w:szCs w:val="24"/>
        </w:rPr>
        <w:t>)</w:t>
      </w:r>
      <w:r w:rsidR="00F67CC2" w:rsidRPr="00925480">
        <w:rPr>
          <w:rFonts w:ascii="Arial" w:hAnsi="Arial" w:cs="Arial"/>
          <w:sz w:val="24"/>
          <w:szCs w:val="24"/>
        </w:rPr>
        <w:t xml:space="preserve">, </w:t>
      </w:r>
      <w:r w:rsidR="001F65E0" w:rsidRPr="00925480">
        <w:rPr>
          <w:rFonts w:ascii="Arial" w:hAnsi="Arial" w:cs="Arial"/>
          <w:sz w:val="24"/>
          <w:szCs w:val="24"/>
        </w:rPr>
        <w:t xml:space="preserve">along with contributing to prejudice </w:t>
      </w:r>
      <w:r w:rsidR="00A72414" w:rsidRPr="00925480">
        <w:rPr>
          <w:rFonts w:ascii="Arial" w:hAnsi="Arial" w:cs="Arial"/>
          <w:sz w:val="24"/>
          <w:szCs w:val="24"/>
        </w:rPr>
        <w:t xml:space="preserve">(Ramos, Barreto &amp; </w:t>
      </w:r>
      <w:proofErr w:type="spellStart"/>
      <w:r w:rsidR="00A72414" w:rsidRPr="00925480">
        <w:rPr>
          <w:rFonts w:ascii="Arial" w:hAnsi="Arial" w:cs="Arial"/>
          <w:sz w:val="24"/>
          <w:szCs w:val="24"/>
        </w:rPr>
        <w:t>Ellemers</w:t>
      </w:r>
      <w:proofErr w:type="spellEnd"/>
      <w:r w:rsidR="00A72414" w:rsidRPr="00925480">
        <w:rPr>
          <w:rFonts w:ascii="Arial" w:hAnsi="Arial" w:cs="Arial"/>
          <w:sz w:val="24"/>
          <w:szCs w:val="24"/>
        </w:rPr>
        <w:t>, 2016</w:t>
      </w:r>
      <w:r w:rsidR="002D318F">
        <w:rPr>
          <w:rFonts w:ascii="Arial" w:hAnsi="Arial" w:cs="Arial"/>
          <w:sz w:val="24"/>
          <w:szCs w:val="24"/>
        </w:rPr>
        <w:t>)</w:t>
      </w:r>
      <w:r w:rsidR="00A72414" w:rsidRPr="00925480">
        <w:rPr>
          <w:rFonts w:ascii="Arial" w:hAnsi="Arial" w:cs="Arial"/>
          <w:sz w:val="24"/>
          <w:szCs w:val="24"/>
        </w:rPr>
        <w:t xml:space="preserve"> </w:t>
      </w:r>
      <w:r w:rsidR="001F65E0" w:rsidRPr="00925480">
        <w:rPr>
          <w:rFonts w:ascii="Arial" w:hAnsi="Arial" w:cs="Arial"/>
          <w:sz w:val="24"/>
          <w:szCs w:val="24"/>
        </w:rPr>
        <w:t>and acts of discrimination</w:t>
      </w:r>
      <w:r w:rsidR="002D318F">
        <w:rPr>
          <w:rFonts w:ascii="Arial" w:hAnsi="Arial" w:cs="Arial"/>
          <w:sz w:val="24"/>
          <w:szCs w:val="24"/>
        </w:rPr>
        <w:t xml:space="preserve"> </w:t>
      </w:r>
      <w:r w:rsidRPr="00925480">
        <w:rPr>
          <w:rFonts w:ascii="Arial" w:hAnsi="Arial" w:cs="Arial"/>
          <w:sz w:val="24"/>
          <w:szCs w:val="24"/>
        </w:rPr>
        <w:t>(</w:t>
      </w:r>
      <w:r w:rsidRPr="00925480">
        <w:rPr>
          <w:rFonts w:ascii="Arial" w:hAnsi="Arial" w:cs="Arial"/>
          <w:noProof/>
          <w:sz w:val="24"/>
          <w:szCs w:val="24"/>
        </w:rPr>
        <w:t>Kite, &amp; Whitley, 2016)</w:t>
      </w:r>
      <w:r w:rsidRPr="00925480">
        <w:rPr>
          <w:rFonts w:ascii="Arial" w:hAnsi="Arial" w:cs="Arial"/>
          <w:sz w:val="24"/>
          <w:szCs w:val="24"/>
        </w:rPr>
        <w:t>.</w:t>
      </w:r>
      <w:r w:rsidR="00C1372E" w:rsidRPr="00925480">
        <w:rPr>
          <w:rFonts w:ascii="Arial" w:hAnsi="Arial" w:cs="Arial"/>
          <w:sz w:val="24"/>
          <w:szCs w:val="24"/>
        </w:rPr>
        <w:t xml:space="preserve"> </w:t>
      </w:r>
    </w:p>
    <w:p w14:paraId="23AEB58C" w14:textId="77777777" w:rsidR="00925480" w:rsidRPr="00FC3853" w:rsidRDefault="00C1372E" w:rsidP="006A4957">
      <w:pPr>
        <w:rPr>
          <w:rFonts w:ascii="Arial" w:hAnsi="Arial" w:cs="Arial"/>
          <w:color w:val="0070C0"/>
          <w:sz w:val="24"/>
          <w:szCs w:val="24"/>
        </w:rPr>
      </w:pPr>
      <w:r>
        <w:rPr>
          <w:rFonts w:ascii="Arial" w:hAnsi="Arial" w:cs="Arial"/>
          <w:sz w:val="24"/>
          <w:szCs w:val="24"/>
        </w:rPr>
        <w:tab/>
      </w:r>
      <w:r w:rsidR="00CB1E60">
        <w:rPr>
          <w:rFonts w:ascii="Arial" w:hAnsi="Arial" w:cs="Arial"/>
          <w:sz w:val="24"/>
          <w:szCs w:val="24"/>
        </w:rPr>
        <w:t>Between men and women,</w:t>
      </w:r>
      <w:r w:rsidR="00C0123A">
        <w:rPr>
          <w:rFonts w:ascii="Arial" w:hAnsi="Arial" w:cs="Arial"/>
          <w:sz w:val="24"/>
          <w:szCs w:val="24"/>
        </w:rPr>
        <w:t xml:space="preserve"> within a heterosexual relationship</w:t>
      </w:r>
      <w:r w:rsidR="00CB1E60">
        <w:rPr>
          <w:rFonts w:ascii="Arial" w:hAnsi="Arial" w:cs="Arial"/>
          <w:sz w:val="24"/>
          <w:szCs w:val="24"/>
        </w:rPr>
        <w:t xml:space="preserve"> </w:t>
      </w:r>
      <w:r w:rsidR="002D318F">
        <w:rPr>
          <w:rFonts w:ascii="Arial" w:hAnsi="Arial" w:cs="Arial"/>
          <w:sz w:val="24"/>
          <w:szCs w:val="24"/>
        </w:rPr>
        <w:t xml:space="preserve">this prejudice is </w:t>
      </w:r>
      <w:r>
        <w:rPr>
          <w:rFonts w:ascii="Arial" w:hAnsi="Arial" w:cs="Arial"/>
          <w:sz w:val="24"/>
          <w:szCs w:val="24"/>
        </w:rPr>
        <w:t xml:space="preserve">described by Glick and Fiske (1997) as ambivalent sexism, this is where a gender can have ambiguous feelings towards the opposite sex, </w:t>
      </w:r>
      <w:r w:rsidR="007B1621">
        <w:rPr>
          <w:rFonts w:ascii="Arial" w:hAnsi="Arial" w:cs="Arial"/>
          <w:sz w:val="24"/>
          <w:szCs w:val="24"/>
        </w:rPr>
        <w:t>meaning both feelings of hostile and benevolent sexism. H</w:t>
      </w:r>
      <w:r>
        <w:rPr>
          <w:rFonts w:ascii="Arial" w:hAnsi="Arial" w:cs="Arial"/>
          <w:sz w:val="24"/>
          <w:szCs w:val="24"/>
        </w:rPr>
        <w:t xml:space="preserve">owever, these feelings can also </w:t>
      </w:r>
      <w:r w:rsidR="007B1621">
        <w:rPr>
          <w:rFonts w:ascii="Arial" w:hAnsi="Arial" w:cs="Arial"/>
          <w:sz w:val="24"/>
          <w:szCs w:val="24"/>
        </w:rPr>
        <w:t xml:space="preserve">transfer and </w:t>
      </w:r>
      <w:r>
        <w:rPr>
          <w:rFonts w:ascii="Arial" w:hAnsi="Arial" w:cs="Arial"/>
          <w:sz w:val="24"/>
          <w:szCs w:val="24"/>
        </w:rPr>
        <w:t>cause in-group ambiguity</w:t>
      </w:r>
      <w:r w:rsidR="00C0123A">
        <w:rPr>
          <w:rFonts w:ascii="Arial" w:hAnsi="Arial" w:cs="Arial"/>
          <w:sz w:val="24"/>
          <w:szCs w:val="24"/>
        </w:rPr>
        <w:t>, demonstrating a sense of othering, even amongst ingroup members</w:t>
      </w:r>
      <w:r>
        <w:rPr>
          <w:rFonts w:ascii="Arial" w:hAnsi="Arial" w:cs="Arial"/>
          <w:sz w:val="24"/>
          <w:szCs w:val="24"/>
        </w:rPr>
        <w:t xml:space="preserve">. The dyadic interdependence between men and women is suggested to be different to any other in-group out-group prejudice, due to the reliance upon each other to reproduce. However, this also beautifully demonstrates the complexity of gender assignment, traits, and the </w:t>
      </w:r>
      <w:r w:rsidR="002D318F">
        <w:rPr>
          <w:rFonts w:ascii="Arial" w:hAnsi="Arial" w:cs="Arial"/>
          <w:sz w:val="24"/>
          <w:szCs w:val="24"/>
        </w:rPr>
        <w:t xml:space="preserve">roles individuals are expected to play, along with </w:t>
      </w:r>
      <w:r w:rsidR="002D318F">
        <w:rPr>
          <w:rFonts w:ascii="Arial" w:hAnsi="Arial" w:cs="Arial"/>
          <w:sz w:val="24"/>
          <w:szCs w:val="24"/>
        </w:rPr>
        <w:lastRenderedPageBreak/>
        <w:t xml:space="preserve">the </w:t>
      </w:r>
      <w:r>
        <w:rPr>
          <w:rFonts w:ascii="Arial" w:hAnsi="Arial" w:cs="Arial"/>
          <w:sz w:val="24"/>
          <w:szCs w:val="24"/>
        </w:rPr>
        <w:t>problems which can arise from using narrow</w:t>
      </w:r>
      <w:r w:rsidR="004D069F">
        <w:rPr>
          <w:rFonts w:ascii="Arial" w:hAnsi="Arial" w:cs="Arial"/>
          <w:sz w:val="24"/>
          <w:szCs w:val="24"/>
        </w:rPr>
        <w:t xml:space="preserve"> or limiting beliefs</w:t>
      </w:r>
      <w:r w:rsidR="00925480">
        <w:rPr>
          <w:rFonts w:ascii="Arial" w:hAnsi="Arial" w:cs="Arial"/>
          <w:sz w:val="24"/>
          <w:szCs w:val="24"/>
        </w:rPr>
        <w:t xml:space="preserve">, and is generally referred to as stereotyping, which can be used as a form of control </w:t>
      </w:r>
      <w:r w:rsidR="00EF17CC">
        <w:rPr>
          <w:rFonts w:ascii="Arial" w:hAnsi="Arial" w:cs="Arial"/>
          <w:sz w:val="24"/>
          <w:szCs w:val="24"/>
        </w:rPr>
        <w:t>(</w:t>
      </w:r>
      <w:r w:rsidR="00925480">
        <w:rPr>
          <w:rFonts w:ascii="Arial" w:hAnsi="Arial" w:cs="Arial"/>
          <w:sz w:val="24"/>
          <w:szCs w:val="24"/>
        </w:rPr>
        <w:t xml:space="preserve">Williams &amp; Best, 1990). </w:t>
      </w:r>
      <w:r w:rsidR="00235B6F" w:rsidRPr="00235B6F">
        <w:rPr>
          <w:rFonts w:ascii="Arial" w:hAnsi="Arial" w:cs="Arial"/>
          <w:sz w:val="24"/>
          <w:szCs w:val="24"/>
        </w:rPr>
        <w:t>Jackman (1994) s</w:t>
      </w:r>
      <w:r w:rsidR="00CB779D">
        <w:rPr>
          <w:rFonts w:ascii="Arial" w:hAnsi="Arial" w:cs="Arial"/>
          <w:sz w:val="24"/>
          <w:szCs w:val="24"/>
        </w:rPr>
        <w:t>uggests</w:t>
      </w:r>
      <w:r w:rsidR="00235B6F" w:rsidRPr="00235B6F">
        <w:rPr>
          <w:rFonts w:ascii="Arial" w:hAnsi="Arial" w:cs="Arial"/>
          <w:sz w:val="24"/>
          <w:szCs w:val="24"/>
        </w:rPr>
        <w:t xml:space="preserve"> that </w:t>
      </w:r>
      <w:r w:rsidR="00CB779D">
        <w:rPr>
          <w:rFonts w:ascii="Arial" w:hAnsi="Arial" w:cs="Arial"/>
          <w:sz w:val="24"/>
          <w:szCs w:val="24"/>
        </w:rPr>
        <w:t xml:space="preserve">the </w:t>
      </w:r>
      <w:r w:rsidR="00235B6F" w:rsidRPr="00235B6F">
        <w:rPr>
          <w:rFonts w:ascii="Arial" w:hAnsi="Arial" w:cs="Arial"/>
          <w:sz w:val="24"/>
          <w:szCs w:val="24"/>
        </w:rPr>
        <w:t xml:space="preserve">dominant group often </w:t>
      </w:r>
      <w:r w:rsidR="00CB779D" w:rsidRPr="00235B6F">
        <w:rPr>
          <w:rFonts w:ascii="Arial" w:hAnsi="Arial" w:cs="Arial"/>
          <w:sz w:val="24"/>
          <w:szCs w:val="24"/>
        </w:rPr>
        <w:t>employ</w:t>
      </w:r>
      <w:r w:rsidR="00CB779D">
        <w:rPr>
          <w:rFonts w:ascii="Arial" w:hAnsi="Arial" w:cs="Arial"/>
          <w:sz w:val="24"/>
          <w:szCs w:val="24"/>
        </w:rPr>
        <w:t xml:space="preserve"> means of</w:t>
      </w:r>
      <w:r w:rsidR="00235B6F" w:rsidRPr="00235B6F">
        <w:rPr>
          <w:rFonts w:ascii="Arial" w:hAnsi="Arial" w:cs="Arial"/>
          <w:sz w:val="24"/>
          <w:szCs w:val="24"/>
        </w:rPr>
        <w:t xml:space="preserve"> social and economic </w:t>
      </w:r>
      <w:r w:rsidR="00CB779D">
        <w:rPr>
          <w:rFonts w:ascii="Arial" w:hAnsi="Arial" w:cs="Arial"/>
          <w:sz w:val="24"/>
          <w:szCs w:val="24"/>
        </w:rPr>
        <w:t>benefits</w:t>
      </w:r>
      <w:r w:rsidR="00235B6F" w:rsidRPr="00235B6F">
        <w:rPr>
          <w:rFonts w:ascii="Arial" w:hAnsi="Arial" w:cs="Arial"/>
          <w:sz w:val="24"/>
          <w:szCs w:val="24"/>
        </w:rPr>
        <w:t xml:space="preserve"> structure to </w:t>
      </w:r>
      <w:r w:rsidR="00CB779D">
        <w:rPr>
          <w:rFonts w:ascii="Arial" w:hAnsi="Arial" w:cs="Arial"/>
          <w:sz w:val="24"/>
          <w:szCs w:val="24"/>
        </w:rPr>
        <w:t>influence</w:t>
      </w:r>
      <w:r w:rsidR="00235B6F" w:rsidRPr="00235B6F">
        <w:rPr>
          <w:rFonts w:ascii="Arial" w:hAnsi="Arial" w:cs="Arial"/>
          <w:sz w:val="24"/>
          <w:szCs w:val="24"/>
        </w:rPr>
        <w:t xml:space="preserve"> and e</w:t>
      </w:r>
      <w:r w:rsidR="00CB779D">
        <w:rPr>
          <w:rFonts w:ascii="Arial" w:hAnsi="Arial" w:cs="Arial"/>
          <w:sz w:val="24"/>
          <w:szCs w:val="24"/>
        </w:rPr>
        <w:t>ncourage</w:t>
      </w:r>
      <w:r w:rsidR="00235B6F" w:rsidRPr="00235B6F">
        <w:rPr>
          <w:rFonts w:ascii="Arial" w:hAnsi="Arial" w:cs="Arial"/>
          <w:sz w:val="24"/>
          <w:szCs w:val="24"/>
        </w:rPr>
        <w:t xml:space="preserve"> subordinates</w:t>
      </w:r>
      <w:r w:rsidR="00CB779D">
        <w:rPr>
          <w:rFonts w:ascii="Arial" w:hAnsi="Arial" w:cs="Arial"/>
          <w:sz w:val="24"/>
          <w:szCs w:val="24"/>
        </w:rPr>
        <w:t xml:space="preserve"> to co-operate</w:t>
      </w:r>
      <w:r w:rsidR="002D318F">
        <w:rPr>
          <w:rFonts w:ascii="Arial" w:hAnsi="Arial" w:cs="Arial"/>
          <w:sz w:val="24"/>
          <w:szCs w:val="24"/>
        </w:rPr>
        <w:t xml:space="preserve">. </w:t>
      </w:r>
      <w:r w:rsidR="00842383" w:rsidRPr="00FC3853">
        <w:rPr>
          <w:rFonts w:ascii="Arial" w:hAnsi="Arial" w:cs="Arial"/>
          <w:color w:val="0070C0"/>
          <w:sz w:val="24"/>
          <w:szCs w:val="24"/>
        </w:rPr>
        <w:t xml:space="preserve"> </w:t>
      </w:r>
    </w:p>
    <w:p w14:paraId="00777B2E" w14:textId="77777777" w:rsidR="00EF17CC" w:rsidRDefault="00EF17CC" w:rsidP="00C423BE">
      <w:pPr>
        <w:ind w:firstLine="720"/>
        <w:rPr>
          <w:rFonts w:ascii="Arial" w:hAnsi="Arial" w:cs="Arial"/>
          <w:sz w:val="24"/>
          <w:szCs w:val="24"/>
        </w:rPr>
      </w:pPr>
      <w:r>
        <w:rPr>
          <w:rFonts w:ascii="Arial" w:hAnsi="Arial" w:cs="Arial"/>
          <w:sz w:val="24"/>
          <w:szCs w:val="24"/>
        </w:rPr>
        <w:t xml:space="preserve">Throughout time, </w:t>
      </w:r>
      <w:r w:rsidR="002D318F">
        <w:rPr>
          <w:rFonts w:ascii="Arial" w:hAnsi="Arial" w:cs="Arial"/>
          <w:sz w:val="24"/>
          <w:szCs w:val="24"/>
        </w:rPr>
        <w:t xml:space="preserve">societies more traditional heterosexual relationships have changed and </w:t>
      </w:r>
      <w:r>
        <w:rPr>
          <w:rFonts w:ascii="Arial" w:hAnsi="Arial" w:cs="Arial"/>
          <w:sz w:val="24"/>
          <w:szCs w:val="24"/>
        </w:rPr>
        <w:t>amongst the lesbian, gay, bisexual</w:t>
      </w:r>
      <w:r w:rsidR="00770279">
        <w:rPr>
          <w:rFonts w:ascii="Arial" w:hAnsi="Arial" w:cs="Arial"/>
          <w:sz w:val="24"/>
          <w:szCs w:val="24"/>
        </w:rPr>
        <w:t xml:space="preserve">, </w:t>
      </w:r>
      <w:r>
        <w:rPr>
          <w:rFonts w:ascii="Arial" w:hAnsi="Arial" w:cs="Arial"/>
          <w:sz w:val="24"/>
          <w:szCs w:val="24"/>
        </w:rPr>
        <w:t xml:space="preserve">transgender </w:t>
      </w:r>
      <w:r w:rsidR="00770279">
        <w:rPr>
          <w:rFonts w:ascii="Arial" w:hAnsi="Arial" w:cs="Arial"/>
          <w:sz w:val="24"/>
          <w:szCs w:val="24"/>
        </w:rPr>
        <w:t xml:space="preserve">and queer </w:t>
      </w:r>
      <w:r w:rsidR="0028199C">
        <w:rPr>
          <w:rFonts w:ascii="Arial" w:hAnsi="Arial" w:cs="Arial"/>
          <w:sz w:val="24"/>
          <w:szCs w:val="24"/>
        </w:rPr>
        <w:t>(LGBT</w:t>
      </w:r>
      <w:r w:rsidR="00770279">
        <w:rPr>
          <w:rFonts w:ascii="Arial" w:hAnsi="Arial" w:cs="Arial"/>
          <w:sz w:val="24"/>
          <w:szCs w:val="24"/>
        </w:rPr>
        <w:t>Q</w:t>
      </w:r>
      <w:r w:rsidR="0028199C">
        <w:rPr>
          <w:rFonts w:ascii="Arial" w:hAnsi="Arial" w:cs="Arial"/>
          <w:sz w:val="24"/>
          <w:szCs w:val="24"/>
        </w:rPr>
        <w:t xml:space="preserve">) </w:t>
      </w:r>
      <w:r>
        <w:rPr>
          <w:rFonts w:ascii="Arial" w:hAnsi="Arial" w:cs="Arial"/>
          <w:sz w:val="24"/>
          <w:szCs w:val="24"/>
        </w:rPr>
        <w:t>community</w:t>
      </w:r>
      <w:r w:rsidR="00CB1E60">
        <w:rPr>
          <w:rFonts w:ascii="Arial" w:hAnsi="Arial" w:cs="Arial"/>
          <w:sz w:val="24"/>
          <w:szCs w:val="24"/>
        </w:rPr>
        <w:t>,</w:t>
      </w:r>
      <w:r>
        <w:rPr>
          <w:rFonts w:ascii="Arial" w:hAnsi="Arial" w:cs="Arial"/>
          <w:sz w:val="24"/>
          <w:szCs w:val="24"/>
        </w:rPr>
        <w:t xml:space="preserve"> groups</w:t>
      </w:r>
      <w:r w:rsidR="00CB1E60">
        <w:rPr>
          <w:rFonts w:ascii="Arial" w:hAnsi="Arial" w:cs="Arial"/>
          <w:sz w:val="24"/>
          <w:szCs w:val="24"/>
        </w:rPr>
        <w:t xml:space="preserve"> and </w:t>
      </w:r>
      <w:r>
        <w:rPr>
          <w:rFonts w:ascii="Arial" w:hAnsi="Arial" w:cs="Arial"/>
          <w:sz w:val="24"/>
          <w:szCs w:val="24"/>
        </w:rPr>
        <w:t xml:space="preserve">individuals have been subject to prejudice and outwards acts of discrimination. Homosexual relationships have been discriminated against and even prosecuted. The first recoded act of discrimination against homosexuality was back in 1566 in north America, where a man was executed. However women, did not receive the same sexual repression for being lesbian, </w:t>
      </w:r>
      <w:r w:rsidR="00CB1E60">
        <w:rPr>
          <w:rFonts w:ascii="Arial" w:hAnsi="Arial" w:cs="Arial"/>
          <w:sz w:val="24"/>
          <w:szCs w:val="24"/>
        </w:rPr>
        <w:t xml:space="preserve">this was said to be </w:t>
      </w:r>
      <w:r>
        <w:rPr>
          <w:rFonts w:ascii="Arial" w:hAnsi="Arial" w:cs="Arial"/>
          <w:sz w:val="24"/>
          <w:szCs w:val="24"/>
        </w:rPr>
        <w:t xml:space="preserve">due to there not being any risk of pregnancy (Morris, 2016). </w:t>
      </w:r>
      <w:r w:rsidR="002D318F">
        <w:rPr>
          <w:rFonts w:ascii="Arial" w:hAnsi="Arial" w:cs="Arial"/>
          <w:sz w:val="24"/>
          <w:szCs w:val="24"/>
        </w:rPr>
        <w:t xml:space="preserve">Homosexuality has only been made a non-criminal offence since 1970’s. </w:t>
      </w:r>
      <w:r w:rsidR="00C0123A">
        <w:rPr>
          <w:rFonts w:ascii="Arial" w:hAnsi="Arial" w:cs="Arial"/>
          <w:sz w:val="24"/>
          <w:szCs w:val="24"/>
        </w:rPr>
        <w:t xml:space="preserve">But women were not repressed in the same ways as men. </w:t>
      </w:r>
      <w:r>
        <w:rPr>
          <w:rFonts w:ascii="Arial" w:hAnsi="Arial" w:cs="Arial"/>
          <w:sz w:val="24"/>
          <w:szCs w:val="24"/>
        </w:rPr>
        <w:t>One way in which th</w:t>
      </w:r>
      <w:r w:rsidR="00C603F8">
        <w:rPr>
          <w:rFonts w:ascii="Arial" w:hAnsi="Arial" w:cs="Arial"/>
          <w:sz w:val="24"/>
          <w:szCs w:val="24"/>
        </w:rPr>
        <w:t>ese sexual discriminations</w:t>
      </w:r>
      <w:r w:rsidR="00C423BE">
        <w:rPr>
          <w:rFonts w:ascii="Arial" w:hAnsi="Arial" w:cs="Arial"/>
          <w:sz w:val="24"/>
          <w:szCs w:val="24"/>
        </w:rPr>
        <w:t xml:space="preserve"> began to become address</w:t>
      </w:r>
      <w:r w:rsidR="000E19F9">
        <w:rPr>
          <w:rFonts w:ascii="Arial" w:hAnsi="Arial" w:cs="Arial"/>
          <w:sz w:val="24"/>
          <w:szCs w:val="24"/>
        </w:rPr>
        <w:t>ed</w:t>
      </w:r>
      <w:r w:rsidR="00C423BE">
        <w:rPr>
          <w:rFonts w:ascii="Arial" w:hAnsi="Arial" w:cs="Arial"/>
          <w:sz w:val="24"/>
          <w:szCs w:val="24"/>
        </w:rPr>
        <w:t xml:space="preserve"> was through the feminis</w:t>
      </w:r>
      <w:r w:rsidR="000E19F9">
        <w:rPr>
          <w:rFonts w:ascii="Arial" w:hAnsi="Arial" w:cs="Arial"/>
          <w:sz w:val="24"/>
          <w:szCs w:val="24"/>
        </w:rPr>
        <w:t>t</w:t>
      </w:r>
      <w:r w:rsidR="00C423BE">
        <w:rPr>
          <w:rFonts w:ascii="Arial" w:hAnsi="Arial" w:cs="Arial"/>
          <w:sz w:val="24"/>
          <w:szCs w:val="24"/>
        </w:rPr>
        <w:t xml:space="preserve"> movement. Even though this</w:t>
      </w:r>
      <w:r w:rsidR="00C603F8">
        <w:rPr>
          <w:rFonts w:ascii="Arial" w:hAnsi="Arial" w:cs="Arial"/>
          <w:sz w:val="24"/>
          <w:szCs w:val="24"/>
        </w:rPr>
        <w:t xml:space="preserve"> movement originally</w:t>
      </w:r>
      <w:r w:rsidR="00C423BE">
        <w:rPr>
          <w:rFonts w:ascii="Arial" w:hAnsi="Arial" w:cs="Arial"/>
          <w:sz w:val="24"/>
          <w:szCs w:val="24"/>
        </w:rPr>
        <w:t xml:space="preserve"> began as equal rights for women</w:t>
      </w:r>
      <w:r w:rsidR="000E19F9">
        <w:rPr>
          <w:rFonts w:ascii="Arial" w:hAnsi="Arial" w:cs="Arial"/>
          <w:sz w:val="24"/>
          <w:szCs w:val="24"/>
        </w:rPr>
        <w:t>,</w:t>
      </w:r>
      <w:r w:rsidR="00C423BE">
        <w:rPr>
          <w:rFonts w:ascii="Arial" w:hAnsi="Arial" w:cs="Arial"/>
          <w:sz w:val="24"/>
          <w:szCs w:val="24"/>
        </w:rPr>
        <w:t xml:space="preserve"> this then merged </w:t>
      </w:r>
      <w:r w:rsidR="0051364F">
        <w:rPr>
          <w:rFonts w:ascii="Arial" w:hAnsi="Arial" w:cs="Arial"/>
          <w:sz w:val="24"/>
          <w:szCs w:val="24"/>
        </w:rPr>
        <w:t xml:space="preserve">through the second and third wave movement </w:t>
      </w:r>
      <w:r w:rsidR="00C423BE">
        <w:rPr>
          <w:rFonts w:ascii="Arial" w:hAnsi="Arial" w:cs="Arial"/>
          <w:sz w:val="24"/>
          <w:szCs w:val="24"/>
        </w:rPr>
        <w:t xml:space="preserve">into equal rights for all. </w:t>
      </w:r>
      <w:r w:rsidR="000E19F9">
        <w:rPr>
          <w:rFonts w:ascii="Arial" w:hAnsi="Arial" w:cs="Arial"/>
          <w:sz w:val="24"/>
          <w:szCs w:val="24"/>
        </w:rPr>
        <w:t>Suggesting that social hierarchy has been present for a long time, and a sense of ‘othering’ has existed</w:t>
      </w:r>
      <w:r w:rsidR="00C603F8">
        <w:rPr>
          <w:rFonts w:ascii="Arial" w:hAnsi="Arial" w:cs="Arial"/>
          <w:sz w:val="24"/>
          <w:szCs w:val="24"/>
        </w:rPr>
        <w:t>.</w:t>
      </w:r>
      <w:r w:rsidR="00C0123A">
        <w:rPr>
          <w:rFonts w:ascii="Arial" w:hAnsi="Arial" w:cs="Arial"/>
          <w:sz w:val="24"/>
          <w:szCs w:val="24"/>
        </w:rPr>
        <w:t xml:space="preserve"> </w:t>
      </w:r>
    </w:p>
    <w:p w14:paraId="02BD337C" w14:textId="4A650842" w:rsidR="00C0123A" w:rsidRDefault="004041E0" w:rsidP="00C423BE">
      <w:pPr>
        <w:ind w:firstLine="720"/>
        <w:rPr>
          <w:rFonts w:ascii="Arial" w:hAnsi="Arial" w:cs="Arial"/>
          <w:sz w:val="24"/>
          <w:szCs w:val="24"/>
        </w:rPr>
      </w:pPr>
      <w:r>
        <w:rPr>
          <w:rFonts w:ascii="Arial" w:hAnsi="Arial" w:cs="Arial"/>
          <w:sz w:val="24"/>
          <w:szCs w:val="24"/>
        </w:rPr>
        <w:t>Additionally, t</w:t>
      </w:r>
      <w:r w:rsidR="0051364F">
        <w:rPr>
          <w:rFonts w:ascii="Arial" w:hAnsi="Arial" w:cs="Arial"/>
          <w:sz w:val="24"/>
          <w:szCs w:val="24"/>
        </w:rPr>
        <w:t xml:space="preserve">his </w:t>
      </w:r>
      <w:r w:rsidR="00C0123A">
        <w:rPr>
          <w:rFonts w:ascii="Arial" w:hAnsi="Arial" w:cs="Arial"/>
          <w:sz w:val="24"/>
          <w:szCs w:val="24"/>
        </w:rPr>
        <w:t xml:space="preserve">would suggest that personal </w:t>
      </w:r>
      <w:r w:rsidR="0051364F">
        <w:rPr>
          <w:rFonts w:ascii="Arial" w:hAnsi="Arial" w:cs="Arial"/>
          <w:sz w:val="24"/>
          <w:szCs w:val="24"/>
        </w:rPr>
        <w:t xml:space="preserve">identity and gender not only </w:t>
      </w:r>
      <w:r w:rsidR="00770279">
        <w:rPr>
          <w:rFonts w:ascii="Arial" w:hAnsi="Arial" w:cs="Arial"/>
          <w:sz w:val="24"/>
          <w:szCs w:val="24"/>
        </w:rPr>
        <w:t>is decided</w:t>
      </w:r>
      <w:r w:rsidR="0051364F">
        <w:rPr>
          <w:rFonts w:ascii="Arial" w:hAnsi="Arial" w:cs="Arial"/>
          <w:sz w:val="24"/>
          <w:szCs w:val="24"/>
        </w:rPr>
        <w:t xml:space="preserve"> from within the individual, but is a multi-dimensional, overlapping of three elements. The gender assigned at birth, the group in which </w:t>
      </w:r>
      <w:r>
        <w:rPr>
          <w:rFonts w:ascii="Arial" w:hAnsi="Arial" w:cs="Arial"/>
          <w:sz w:val="24"/>
          <w:szCs w:val="24"/>
        </w:rPr>
        <w:t xml:space="preserve">feel </w:t>
      </w:r>
      <w:r w:rsidR="0051364F">
        <w:rPr>
          <w:rFonts w:ascii="Arial" w:hAnsi="Arial" w:cs="Arial"/>
          <w:sz w:val="24"/>
          <w:szCs w:val="24"/>
        </w:rPr>
        <w:t xml:space="preserve">we belong to and the role in which we play within that group. Gender seems to be a label that we use to define a person. However, throughout time, we have moved away from the more traditional male and female labels, and have diversified such as transgender, non-binary, </w:t>
      </w:r>
      <w:proofErr w:type="spellStart"/>
      <w:r w:rsidR="0051364F">
        <w:rPr>
          <w:rFonts w:ascii="Arial" w:hAnsi="Arial" w:cs="Arial"/>
          <w:sz w:val="24"/>
          <w:szCs w:val="24"/>
        </w:rPr>
        <w:t>cigendered</w:t>
      </w:r>
      <w:proofErr w:type="spellEnd"/>
      <w:r w:rsidR="0051364F">
        <w:rPr>
          <w:rFonts w:ascii="Arial" w:hAnsi="Arial" w:cs="Arial"/>
          <w:sz w:val="24"/>
          <w:szCs w:val="24"/>
        </w:rPr>
        <w:t xml:space="preserve">, plus many more (APA, 2018). Suggesting to cause the modification of religions, institutions, and social systems, so that society can move towards a more equal way of functioning. </w:t>
      </w:r>
    </w:p>
    <w:p w14:paraId="20FAB900" w14:textId="08EC9905" w:rsidR="004B068E" w:rsidRPr="00842383" w:rsidRDefault="004B068E" w:rsidP="00154177">
      <w:pPr>
        <w:spacing w:line="240" w:lineRule="auto"/>
        <w:ind w:firstLine="720"/>
        <w:rPr>
          <w:rFonts w:ascii="Arial" w:hAnsi="Arial" w:cs="Arial"/>
          <w:sz w:val="24"/>
          <w:szCs w:val="24"/>
        </w:rPr>
      </w:pPr>
      <w:r>
        <w:rPr>
          <w:rFonts w:ascii="Arial" w:hAnsi="Arial" w:cs="Arial"/>
          <w:sz w:val="24"/>
          <w:szCs w:val="24"/>
        </w:rPr>
        <w:t xml:space="preserve">Within the zero-sum perspective model </w:t>
      </w:r>
      <w:r>
        <w:rPr>
          <w:rFonts w:ascii="Times New Roman" w:hAnsi="Times New Roman" w:cs="Times New Roman"/>
          <w:sz w:val="24"/>
          <w:szCs w:val="24"/>
        </w:rPr>
        <w:t>(</w:t>
      </w:r>
      <w:r w:rsidRPr="004B068E">
        <w:rPr>
          <w:rFonts w:ascii="Arial" w:hAnsi="Arial" w:cs="Arial"/>
          <w:sz w:val="24"/>
          <w:szCs w:val="24"/>
        </w:rPr>
        <w:t xml:space="preserve">ZSP) by </w:t>
      </w:r>
      <w:proofErr w:type="spellStart"/>
      <w:r w:rsidRPr="004B068E">
        <w:rPr>
          <w:rFonts w:ascii="Arial" w:hAnsi="Arial" w:cs="Arial"/>
          <w:sz w:val="24"/>
          <w:szCs w:val="24"/>
        </w:rPr>
        <w:t>Ruthig</w:t>
      </w:r>
      <w:proofErr w:type="spellEnd"/>
      <w:r w:rsidRPr="004B068E">
        <w:rPr>
          <w:rFonts w:ascii="Arial" w:hAnsi="Arial" w:cs="Arial"/>
          <w:sz w:val="24"/>
          <w:szCs w:val="24"/>
        </w:rPr>
        <w:t xml:space="preserve">, </w:t>
      </w:r>
      <w:proofErr w:type="spellStart"/>
      <w:r w:rsidRPr="004B068E">
        <w:rPr>
          <w:rFonts w:ascii="Arial" w:hAnsi="Arial" w:cs="Arial"/>
          <w:sz w:val="24"/>
          <w:szCs w:val="24"/>
        </w:rPr>
        <w:t>Kehn</w:t>
      </w:r>
      <w:proofErr w:type="spellEnd"/>
      <w:r w:rsidRPr="004B068E">
        <w:rPr>
          <w:rFonts w:ascii="Arial" w:hAnsi="Arial" w:cs="Arial"/>
          <w:sz w:val="24"/>
          <w:szCs w:val="24"/>
        </w:rPr>
        <w:t xml:space="preserve">, </w:t>
      </w:r>
      <w:proofErr w:type="spellStart"/>
      <w:r w:rsidRPr="004B068E">
        <w:rPr>
          <w:rFonts w:ascii="Arial" w:hAnsi="Arial" w:cs="Arial"/>
          <w:sz w:val="24"/>
          <w:szCs w:val="24"/>
        </w:rPr>
        <w:t>Gamblin</w:t>
      </w:r>
      <w:proofErr w:type="spellEnd"/>
      <w:r w:rsidRPr="004B068E">
        <w:rPr>
          <w:rFonts w:ascii="Arial" w:hAnsi="Arial" w:cs="Arial"/>
          <w:sz w:val="24"/>
          <w:szCs w:val="24"/>
        </w:rPr>
        <w:t xml:space="preserve"> &amp; </w:t>
      </w:r>
      <w:proofErr w:type="spellStart"/>
      <w:r w:rsidRPr="004B068E">
        <w:rPr>
          <w:rFonts w:ascii="Arial" w:hAnsi="Arial" w:cs="Arial"/>
          <w:sz w:val="24"/>
          <w:szCs w:val="24"/>
        </w:rPr>
        <w:t>Vanderzanden</w:t>
      </w:r>
      <w:proofErr w:type="spellEnd"/>
      <w:r w:rsidRPr="004B068E">
        <w:rPr>
          <w:rFonts w:ascii="Arial" w:hAnsi="Arial" w:cs="Arial"/>
          <w:sz w:val="24"/>
          <w:szCs w:val="24"/>
        </w:rPr>
        <w:t xml:space="preserve">, (2017) indicates that individuals who </w:t>
      </w:r>
      <w:r w:rsidRPr="004B068E">
        <w:rPr>
          <w:rFonts w:ascii="Arial" w:hAnsi="Arial" w:cs="Arial"/>
          <w:sz w:val="24"/>
          <w:szCs w:val="24"/>
        </w:rPr>
        <w:t xml:space="preserve">endorse this point of </w:t>
      </w:r>
      <w:r w:rsidRPr="004B068E">
        <w:rPr>
          <w:rFonts w:ascii="Arial" w:hAnsi="Arial" w:cs="Arial"/>
          <w:sz w:val="24"/>
          <w:szCs w:val="24"/>
        </w:rPr>
        <w:t>view</w:t>
      </w:r>
      <w:r w:rsidRPr="004B068E">
        <w:rPr>
          <w:rFonts w:ascii="Arial" w:hAnsi="Arial" w:cs="Arial"/>
          <w:sz w:val="24"/>
          <w:szCs w:val="24"/>
        </w:rPr>
        <w:t xml:space="preserve"> believe</w:t>
      </w:r>
      <w:r w:rsidRPr="004B068E">
        <w:rPr>
          <w:rFonts w:ascii="Arial" w:hAnsi="Arial" w:cs="Arial"/>
          <w:sz w:val="24"/>
          <w:szCs w:val="24"/>
        </w:rPr>
        <w:t xml:space="preserve"> that there is a finite amount of resources</w:t>
      </w:r>
      <w:r w:rsidRPr="004B068E">
        <w:rPr>
          <w:rFonts w:ascii="Arial" w:hAnsi="Arial" w:cs="Arial"/>
          <w:sz w:val="24"/>
          <w:szCs w:val="24"/>
        </w:rPr>
        <w:t xml:space="preserve"> available, and one person’s losses are another person’s gain. Therefore</w:t>
      </w:r>
      <w:r w:rsidRPr="004B068E">
        <w:rPr>
          <w:rFonts w:ascii="Arial" w:hAnsi="Arial" w:cs="Arial"/>
          <w:sz w:val="24"/>
          <w:szCs w:val="24"/>
        </w:rPr>
        <w:t>,</w:t>
      </w:r>
      <w:r w:rsidRPr="004B068E">
        <w:rPr>
          <w:rFonts w:ascii="Arial" w:hAnsi="Arial" w:cs="Arial"/>
          <w:sz w:val="24"/>
          <w:szCs w:val="24"/>
        </w:rPr>
        <w:t xml:space="preserve"> </w:t>
      </w:r>
      <w:r w:rsidRPr="004B068E">
        <w:rPr>
          <w:rFonts w:ascii="Arial" w:hAnsi="Arial" w:cs="Arial"/>
          <w:sz w:val="24"/>
          <w:szCs w:val="24"/>
        </w:rPr>
        <w:t xml:space="preserve">the greater endorsement of the ZSP, the higher the levels of </w:t>
      </w:r>
      <w:r w:rsidRPr="004B068E">
        <w:rPr>
          <w:rFonts w:ascii="Arial" w:hAnsi="Arial" w:cs="Arial"/>
          <w:sz w:val="24"/>
          <w:szCs w:val="24"/>
        </w:rPr>
        <w:t xml:space="preserve">prejudice can be </w:t>
      </w:r>
      <w:r w:rsidRPr="004B068E">
        <w:rPr>
          <w:rFonts w:ascii="Arial" w:hAnsi="Arial" w:cs="Arial"/>
          <w:sz w:val="24"/>
          <w:szCs w:val="24"/>
        </w:rPr>
        <w:t xml:space="preserve">found. </w:t>
      </w:r>
      <w:r>
        <w:rPr>
          <w:rFonts w:ascii="Arial" w:hAnsi="Arial" w:cs="Arial"/>
          <w:sz w:val="24"/>
          <w:szCs w:val="24"/>
        </w:rPr>
        <w:t xml:space="preserve">This can be problematic when applying this theory to identity politics, </w:t>
      </w:r>
      <w:r w:rsidR="00DA7450">
        <w:rPr>
          <w:rFonts w:ascii="Arial" w:hAnsi="Arial" w:cs="Arial"/>
          <w:sz w:val="24"/>
          <w:szCs w:val="24"/>
        </w:rPr>
        <w:t xml:space="preserve">as the government work towards instilling equal rights for all. The </w:t>
      </w:r>
      <w:r w:rsidR="00154177">
        <w:rPr>
          <w:rFonts w:ascii="Arial" w:hAnsi="Arial" w:cs="Arial"/>
          <w:sz w:val="24"/>
          <w:szCs w:val="24"/>
        </w:rPr>
        <w:t xml:space="preserve">government </w:t>
      </w:r>
      <w:r w:rsidR="00DA7450">
        <w:rPr>
          <w:rFonts w:ascii="Arial" w:hAnsi="Arial" w:cs="Arial"/>
          <w:sz w:val="24"/>
          <w:szCs w:val="24"/>
        </w:rPr>
        <w:t>LGBT action plan (2018) includes things such as the gender recognition act 2004, which aims to work towards a less bureaucratic and intrusive way to treat transgendered individuals with dignity and respect, with equal rights at school, and amongst the work place, housing, and safety within the community</w:t>
      </w:r>
      <w:r w:rsidR="00154177">
        <w:rPr>
          <w:rFonts w:ascii="Arial" w:hAnsi="Arial" w:cs="Arial"/>
          <w:sz w:val="24"/>
          <w:szCs w:val="24"/>
        </w:rPr>
        <w:t xml:space="preserve"> and more funding. This can cause disparities, as one group can feel that by giving the other group more, equals less for them, when in fact its just striving towards equality between all humans. </w:t>
      </w:r>
      <w:r w:rsidR="00304664">
        <w:rPr>
          <w:rFonts w:ascii="Arial" w:hAnsi="Arial" w:cs="Arial"/>
          <w:sz w:val="24"/>
          <w:szCs w:val="24"/>
        </w:rPr>
        <w:t xml:space="preserve">Raising the concern, where does this othering stem from, or is it in the way genders are identified that contributes to this problem. </w:t>
      </w:r>
    </w:p>
    <w:p w14:paraId="2F6CD020" w14:textId="77777777" w:rsidR="009E0898" w:rsidRDefault="004D069F" w:rsidP="00C603F8">
      <w:pPr>
        <w:ind w:firstLine="720"/>
        <w:rPr>
          <w:rFonts w:ascii="Arial" w:hAnsi="Arial" w:cs="Arial"/>
          <w:sz w:val="24"/>
          <w:szCs w:val="24"/>
        </w:rPr>
      </w:pPr>
      <w:r>
        <w:rPr>
          <w:rFonts w:ascii="Arial" w:hAnsi="Arial" w:cs="Arial"/>
          <w:sz w:val="24"/>
          <w:szCs w:val="24"/>
        </w:rPr>
        <w:t>Butler (200</w:t>
      </w:r>
      <w:r w:rsidR="00277981">
        <w:rPr>
          <w:rFonts w:ascii="Arial" w:hAnsi="Arial" w:cs="Arial"/>
          <w:sz w:val="24"/>
          <w:szCs w:val="24"/>
        </w:rPr>
        <w:t>9</w:t>
      </w:r>
      <w:r>
        <w:rPr>
          <w:rFonts w:ascii="Arial" w:hAnsi="Arial" w:cs="Arial"/>
          <w:sz w:val="24"/>
          <w:szCs w:val="24"/>
        </w:rPr>
        <w:t xml:space="preserve">) describes gender identity as a performance, which would be in line with the prescriptive and descriptive gender traits of </w:t>
      </w:r>
      <w:r w:rsidR="00277981" w:rsidRPr="006555AA">
        <w:rPr>
          <w:rFonts w:ascii="Arial" w:hAnsi="Arial" w:cs="Arial"/>
          <w:sz w:val="24"/>
          <w:szCs w:val="24"/>
        </w:rPr>
        <w:t>(Koenig, 2018)</w:t>
      </w:r>
      <w:r w:rsidR="00277981">
        <w:rPr>
          <w:rFonts w:ascii="Times New Roman" w:hAnsi="Times New Roman" w:cs="Times New Roman"/>
          <w:sz w:val="24"/>
          <w:szCs w:val="24"/>
        </w:rPr>
        <w:t xml:space="preserve">. </w:t>
      </w:r>
      <w:r w:rsidR="00277981">
        <w:rPr>
          <w:rFonts w:ascii="Arial" w:hAnsi="Arial" w:cs="Arial"/>
          <w:sz w:val="24"/>
          <w:szCs w:val="24"/>
        </w:rPr>
        <w:t xml:space="preserve">And suggests that society is rigged towards heterosexual norms with things such as </w:t>
      </w:r>
      <w:r w:rsidR="00277981">
        <w:rPr>
          <w:rFonts w:ascii="Arial" w:hAnsi="Arial" w:cs="Arial"/>
          <w:sz w:val="24"/>
          <w:szCs w:val="24"/>
        </w:rPr>
        <w:lastRenderedPageBreak/>
        <w:t xml:space="preserve">politics, </w:t>
      </w:r>
      <w:r w:rsidR="00277981" w:rsidRPr="00277981">
        <w:rPr>
          <w:rFonts w:ascii="Arial" w:hAnsi="Arial" w:cs="Arial"/>
          <w:sz w:val="24"/>
          <w:szCs w:val="24"/>
        </w:rPr>
        <w:t xml:space="preserve">economic and societal institutions to address those </w:t>
      </w:r>
      <w:r w:rsidR="0028199C">
        <w:rPr>
          <w:rFonts w:ascii="Arial" w:hAnsi="Arial" w:cs="Arial"/>
          <w:sz w:val="24"/>
          <w:szCs w:val="24"/>
        </w:rPr>
        <w:t xml:space="preserve">basic </w:t>
      </w:r>
      <w:r w:rsidR="00277981" w:rsidRPr="00277981">
        <w:rPr>
          <w:rFonts w:ascii="Arial" w:hAnsi="Arial" w:cs="Arial"/>
          <w:sz w:val="24"/>
          <w:szCs w:val="24"/>
        </w:rPr>
        <w:t xml:space="preserve">needs such as housing, </w:t>
      </w:r>
      <w:r w:rsidR="0028199C">
        <w:rPr>
          <w:rFonts w:ascii="Arial" w:hAnsi="Arial" w:cs="Arial"/>
          <w:sz w:val="24"/>
          <w:szCs w:val="24"/>
        </w:rPr>
        <w:t xml:space="preserve">and </w:t>
      </w:r>
      <w:r w:rsidR="00277981" w:rsidRPr="00277981">
        <w:rPr>
          <w:rFonts w:ascii="Arial" w:hAnsi="Arial" w:cs="Arial"/>
          <w:sz w:val="24"/>
          <w:szCs w:val="24"/>
        </w:rPr>
        <w:t xml:space="preserve">food, which are everyday things that individuals require to thrive and live in security. </w:t>
      </w:r>
      <w:r w:rsidR="00277981">
        <w:rPr>
          <w:rFonts w:ascii="Arial" w:hAnsi="Arial" w:cs="Arial"/>
          <w:sz w:val="24"/>
          <w:szCs w:val="24"/>
        </w:rPr>
        <w:t xml:space="preserve">Yet there are populations such as the minority communities </w:t>
      </w:r>
      <w:r w:rsidR="0028199C">
        <w:rPr>
          <w:rFonts w:ascii="Arial" w:hAnsi="Arial" w:cs="Arial"/>
          <w:sz w:val="24"/>
          <w:szCs w:val="24"/>
        </w:rPr>
        <w:t>(LBGT</w:t>
      </w:r>
      <w:r w:rsidR="00770279">
        <w:rPr>
          <w:rFonts w:ascii="Arial" w:hAnsi="Arial" w:cs="Arial"/>
          <w:sz w:val="24"/>
          <w:szCs w:val="24"/>
        </w:rPr>
        <w:t>Q</w:t>
      </w:r>
      <w:r w:rsidR="0028199C">
        <w:rPr>
          <w:rFonts w:ascii="Arial" w:hAnsi="Arial" w:cs="Arial"/>
          <w:sz w:val="24"/>
          <w:szCs w:val="24"/>
        </w:rPr>
        <w:t xml:space="preserve">) </w:t>
      </w:r>
      <w:r w:rsidR="00277981">
        <w:rPr>
          <w:rFonts w:ascii="Arial" w:hAnsi="Arial" w:cs="Arial"/>
          <w:sz w:val="24"/>
          <w:szCs w:val="24"/>
        </w:rPr>
        <w:t xml:space="preserve">who do not prescribe to the traditional </w:t>
      </w:r>
      <w:r w:rsidR="00770279">
        <w:rPr>
          <w:rFonts w:ascii="Arial" w:hAnsi="Arial" w:cs="Arial"/>
          <w:sz w:val="24"/>
          <w:szCs w:val="24"/>
        </w:rPr>
        <w:t xml:space="preserve">societal </w:t>
      </w:r>
      <w:r w:rsidR="00277981">
        <w:rPr>
          <w:rFonts w:ascii="Arial" w:hAnsi="Arial" w:cs="Arial"/>
          <w:sz w:val="24"/>
          <w:szCs w:val="24"/>
        </w:rPr>
        <w:t>gender norms who are at higher risk of prejudice, acts of discriminations, violence, and death, which suggests that their life is not secured.</w:t>
      </w:r>
      <w:r w:rsidR="00CC4650">
        <w:rPr>
          <w:rFonts w:ascii="Arial" w:hAnsi="Arial" w:cs="Arial"/>
          <w:sz w:val="24"/>
          <w:szCs w:val="24"/>
        </w:rPr>
        <w:t xml:space="preserve"> Gender norms contribute to the discourse of precarity, as all living beings should be equal to all other living beings</w:t>
      </w:r>
      <w:r w:rsidR="00C603F8">
        <w:rPr>
          <w:rFonts w:ascii="Arial" w:hAnsi="Arial" w:cs="Arial"/>
          <w:sz w:val="24"/>
          <w:szCs w:val="24"/>
        </w:rPr>
        <w:t xml:space="preserve"> (Butler, 2009)</w:t>
      </w:r>
      <w:r w:rsidR="00CC4650">
        <w:rPr>
          <w:rFonts w:ascii="Arial" w:hAnsi="Arial" w:cs="Arial"/>
          <w:sz w:val="24"/>
          <w:szCs w:val="24"/>
        </w:rPr>
        <w:t xml:space="preserve">. </w:t>
      </w:r>
      <w:r w:rsidR="00C603F8">
        <w:rPr>
          <w:rFonts w:ascii="Arial" w:hAnsi="Arial" w:cs="Arial"/>
          <w:sz w:val="24"/>
          <w:szCs w:val="24"/>
        </w:rPr>
        <w:t xml:space="preserve">However, </w:t>
      </w:r>
      <w:r w:rsidR="00770279">
        <w:rPr>
          <w:rFonts w:ascii="Arial" w:hAnsi="Arial" w:cs="Arial"/>
          <w:sz w:val="24"/>
          <w:szCs w:val="24"/>
        </w:rPr>
        <w:t xml:space="preserve">societal </w:t>
      </w:r>
      <w:r w:rsidR="00C603F8">
        <w:rPr>
          <w:rFonts w:ascii="Arial" w:hAnsi="Arial" w:cs="Arial"/>
          <w:sz w:val="24"/>
          <w:szCs w:val="24"/>
        </w:rPr>
        <w:t>g</w:t>
      </w:r>
      <w:r w:rsidR="00CC4650">
        <w:rPr>
          <w:rFonts w:ascii="Arial" w:hAnsi="Arial" w:cs="Arial"/>
          <w:sz w:val="24"/>
          <w:szCs w:val="24"/>
        </w:rPr>
        <w:t>ender norms specifically prescriptive and descriptive traits</w:t>
      </w:r>
      <w:r w:rsidR="00C603F8">
        <w:rPr>
          <w:rFonts w:ascii="Arial" w:hAnsi="Arial" w:cs="Arial"/>
          <w:sz w:val="24"/>
          <w:szCs w:val="24"/>
        </w:rPr>
        <w:t>,</w:t>
      </w:r>
      <w:r w:rsidR="00CC4650">
        <w:rPr>
          <w:rFonts w:ascii="Arial" w:hAnsi="Arial" w:cs="Arial"/>
          <w:sz w:val="24"/>
          <w:szCs w:val="24"/>
        </w:rPr>
        <w:t xml:space="preserve"> stipulate how </w:t>
      </w:r>
      <w:r w:rsidR="00C603F8">
        <w:rPr>
          <w:rFonts w:ascii="Arial" w:hAnsi="Arial" w:cs="Arial"/>
          <w:sz w:val="24"/>
          <w:szCs w:val="24"/>
        </w:rPr>
        <w:t>individuals should</w:t>
      </w:r>
      <w:r w:rsidR="00CC4650">
        <w:rPr>
          <w:rFonts w:ascii="Arial" w:hAnsi="Arial" w:cs="Arial"/>
          <w:sz w:val="24"/>
          <w:szCs w:val="24"/>
        </w:rPr>
        <w:t xml:space="preserve"> </w:t>
      </w:r>
      <w:r w:rsidR="00C603F8">
        <w:rPr>
          <w:rFonts w:ascii="Arial" w:hAnsi="Arial" w:cs="Arial"/>
          <w:sz w:val="24"/>
          <w:szCs w:val="24"/>
        </w:rPr>
        <w:t xml:space="preserve">behave and </w:t>
      </w:r>
      <w:r w:rsidR="00CC4650">
        <w:rPr>
          <w:rFonts w:ascii="Arial" w:hAnsi="Arial" w:cs="Arial"/>
          <w:sz w:val="24"/>
          <w:szCs w:val="24"/>
        </w:rPr>
        <w:t xml:space="preserve">appear </w:t>
      </w:r>
      <w:r w:rsidR="00770279">
        <w:rPr>
          <w:rFonts w:ascii="Arial" w:hAnsi="Arial" w:cs="Arial"/>
          <w:sz w:val="24"/>
          <w:szCs w:val="24"/>
        </w:rPr>
        <w:t>amongst</w:t>
      </w:r>
      <w:r w:rsidR="00CC4650">
        <w:rPr>
          <w:rFonts w:ascii="Arial" w:hAnsi="Arial" w:cs="Arial"/>
          <w:sz w:val="24"/>
          <w:szCs w:val="24"/>
        </w:rPr>
        <w:t xml:space="preserve"> society, as in the way we are received in the street to whether we are criminalized in public or protected by the law. </w:t>
      </w:r>
    </w:p>
    <w:p w14:paraId="7C7923D0" w14:textId="77777777" w:rsidR="004D069F" w:rsidRDefault="0028199C" w:rsidP="00CC4650">
      <w:pPr>
        <w:ind w:firstLine="720"/>
        <w:rPr>
          <w:rFonts w:ascii="Arial" w:hAnsi="Arial" w:cs="Arial"/>
          <w:sz w:val="24"/>
          <w:szCs w:val="24"/>
        </w:rPr>
      </w:pPr>
      <w:r>
        <w:rPr>
          <w:rFonts w:ascii="Arial" w:hAnsi="Arial" w:cs="Arial"/>
          <w:sz w:val="24"/>
          <w:szCs w:val="24"/>
        </w:rPr>
        <w:t>So even though, as humans we</w:t>
      </w:r>
      <w:r w:rsidR="009E0898">
        <w:rPr>
          <w:rFonts w:ascii="Arial" w:hAnsi="Arial" w:cs="Arial"/>
          <w:sz w:val="24"/>
          <w:szCs w:val="24"/>
        </w:rPr>
        <w:t xml:space="preserve"> use</w:t>
      </w:r>
      <w:r>
        <w:rPr>
          <w:rFonts w:ascii="Arial" w:hAnsi="Arial" w:cs="Arial"/>
          <w:sz w:val="24"/>
          <w:szCs w:val="24"/>
        </w:rPr>
        <w:t xml:space="preserve"> stereotype</w:t>
      </w:r>
      <w:r w:rsidR="009E0898">
        <w:rPr>
          <w:rFonts w:ascii="Arial" w:hAnsi="Arial" w:cs="Arial"/>
          <w:sz w:val="24"/>
          <w:szCs w:val="24"/>
        </w:rPr>
        <w:t>s</w:t>
      </w:r>
      <w:r>
        <w:rPr>
          <w:rFonts w:ascii="Arial" w:hAnsi="Arial" w:cs="Arial"/>
          <w:sz w:val="24"/>
          <w:szCs w:val="24"/>
        </w:rPr>
        <w:t xml:space="preserve"> </w:t>
      </w:r>
      <w:r w:rsidR="009E0898">
        <w:rPr>
          <w:rFonts w:ascii="Arial" w:hAnsi="Arial" w:cs="Arial"/>
          <w:sz w:val="24"/>
          <w:szCs w:val="24"/>
        </w:rPr>
        <w:t>because it is essential for survival and a way for us to navigate the world, as</w:t>
      </w:r>
      <w:r>
        <w:rPr>
          <w:rFonts w:ascii="Arial" w:hAnsi="Arial" w:cs="Arial"/>
          <w:sz w:val="24"/>
          <w:szCs w:val="24"/>
        </w:rPr>
        <w:t xml:space="preserve"> it is a good way for us to process all the information that we encounter, the flip side to this is that we as humans become uncomfortable with things that do not fall into neat divisions or boxes </w:t>
      </w:r>
      <w:r w:rsidR="009E0898">
        <w:rPr>
          <w:rFonts w:ascii="Arial" w:hAnsi="Arial" w:cs="Arial"/>
          <w:sz w:val="24"/>
          <w:szCs w:val="24"/>
        </w:rPr>
        <w:t xml:space="preserve">that we already have. Taking this view to a wider </w:t>
      </w:r>
      <w:r w:rsidR="000261D7">
        <w:rPr>
          <w:rFonts w:ascii="Arial" w:hAnsi="Arial" w:cs="Arial"/>
          <w:sz w:val="24"/>
          <w:szCs w:val="24"/>
        </w:rPr>
        <w:t>scale</w:t>
      </w:r>
      <w:r w:rsidR="009E0898">
        <w:rPr>
          <w:rFonts w:ascii="Arial" w:hAnsi="Arial" w:cs="Arial"/>
          <w:sz w:val="24"/>
          <w:szCs w:val="24"/>
        </w:rPr>
        <w:t xml:space="preserve">, </w:t>
      </w:r>
      <w:r w:rsidR="000261D7">
        <w:rPr>
          <w:rFonts w:ascii="Arial" w:hAnsi="Arial" w:cs="Arial"/>
          <w:sz w:val="24"/>
          <w:szCs w:val="24"/>
        </w:rPr>
        <w:t xml:space="preserve">this </w:t>
      </w:r>
      <w:r w:rsidR="0051364F">
        <w:rPr>
          <w:rFonts w:ascii="Arial" w:hAnsi="Arial" w:cs="Arial"/>
          <w:sz w:val="24"/>
          <w:szCs w:val="24"/>
        </w:rPr>
        <w:t xml:space="preserve">can be suggested to </w:t>
      </w:r>
      <w:r w:rsidR="000261D7">
        <w:rPr>
          <w:rFonts w:ascii="Arial" w:hAnsi="Arial" w:cs="Arial"/>
          <w:sz w:val="24"/>
          <w:szCs w:val="24"/>
        </w:rPr>
        <w:t>reinforce the view that</w:t>
      </w:r>
      <w:r w:rsidR="009E0898">
        <w:rPr>
          <w:rFonts w:ascii="Arial" w:hAnsi="Arial" w:cs="Arial"/>
          <w:sz w:val="24"/>
          <w:szCs w:val="24"/>
        </w:rPr>
        <w:t xml:space="preserve"> some forms of sexual relations </w:t>
      </w:r>
      <w:r w:rsidR="000261D7">
        <w:rPr>
          <w:rFonts w:ascii="Arial" w:hAnsi="Arial" w:cs="Arial"/>
          <w:sz w:val="24"/>
          <w:szCs w:val="24"/>
        </w:rPr>
        <w:t xml:space="preserve">are more acceptable than others. </w:t>
      </w:r>
      <w:r w:rsidR="000F32AD">
        <w:rPr>
          <w:rFonts w:ascii="Arial" w:hAnsi="Arial" w:cs="Arial"/>
          <w:sz w:val="24"/>
          <w:szCs w:val="24"/>
        </w:rPr>
        <w:t xml:space="preserve">Due to religion, society, and institutional factors, the impact that these institutions </w:t>
      </w:r>
      <w:r w:rsidR="004041E0">
        <w:rPr>
          <w:rFonts w:ascii="Arial" w:hAnsi="Arial" w:cs="Arial"/>
          <w:sz w:val="24"/>
          <w:szCs w:val="24"/>
        </w:rPr>
        <w:t xml:space="preserve">or beliefs </w:t>
      </w:r>
      <w:r w:rsidR="000F32AD">
        <w:rPr>
          <w:rFonts w:ascii="Arial" w:hAnsi="Arial" w:cs="Arial"/>
          <w:sz w:val="24"/>
          <w:szCs w:val="24"/>
        </w:rPr>
        <w:t xml:space="preserve">have had on the general population have brought about </w:t>
      </w:r>
      <w:r w:rsidR="004041E0">
        <w:rPr>
          <w:rFonts w:ascii="Arial" w:hAnsi="Arial" w:cs="Arial"/>
          <w:sz w:val="24"/>
          <w:szCs w:val="24"/>
        </w:rPr>
        <w:t xml:space="preserve">a change within the law, and this has possibly led to </w:t>
      </w:r>
      <w:r w:rsidR="000F32AD">
        <w:rPr>
          <w:rFonts w:ascii="Arial" w:hAnsi="Arial" w:cs="Arial"/>
          <w:sz w:val="24"/>
          <w:szCs w:val="24"/>
        </w:rPr>
        <w:t>the reduction in discrimination from a more outward and direct, to a more distant and covert. This issue ha</w:t>
      </w:r>
      <w:r w:rsidR="00A20518">
        <w:rPr>
          <w:rFonts w:ascii="Arial" w:hAnsi="Arial" w:cs="Arial"/>
          <w:sz w:val="24"/>
          <w:szCs w:val="24"/>
        </w:rPr>
        <w:t>s</w:t>
      </w:r>
      <w:r w:rsidR="000F32AD">
        <w:rPr>
          <w:rFonts w:ascii="Arial" w:hAnsi="Arial" w:cs="Arial"/>
          <w:sz w:val="24"/>
          <w:szCs w:val="24"/>
        </w:rPr>
        <w:t xml:space="preserve"> </w:t>
      </w:r>
      <w:r w:rsidR="004041E0">
        <w:rPr>
          <w:rFonts w:ascii="Arial" w:hAnsi="Arial" w:cs="Arial"/>
          <w:sz w:val="24"/>
          <w:szCs w:val="24"/>
        </w:rPr>
        <w:t xml:space="preserve">also </w:t>
      </w:r>
      <w:r w:rsidR="000F32AD">
        <w:rPr>
          <w:rFonts w:ascii="Arial" w:hAnsi="Arial" w:cs="Arial"/>
          <w:sz w:val="24"/>
          <w:szCs w:val="24"/>
        </w:rPr>
        <w:t>be</w:t>
      </w:r>
      <w:r w:rsidR="00A20518">
        <w:rPr>
          <w:rFonts w:ascii="Arial" w:hAnsi="Arial" w:cs="Arial"/>
          <w:sz w:val="24"/>
          <w:szCs w:val="24"/>
        </w:rPr>
        <w:t>en</w:t>
      </w:r>
      <w:r w:rsidR="000F32AD">
        <w:rPr>
          <w:rFonts w:ascii="Arial" w:hAnsi="Arial" w:cs="Arial"/>
          <w:sz w:val="24"/>
          <w:szCs w:val="24"/>
        </w:rPr>
        <w:t xml:space="preserve"> addressed </w:t>
      </w:r>
      <w:r w:rsidR="00FB2308">
        <w:rPr>
          <w:rFonts w:ascii="Arial" w:hAnsi="Arial" w:cs="Arial"/>
          <w:sz w:val="24"/>
          <w:szCs w:val="24"/>
        </w:rPr>
        <w:t>by</w:t>
      </w:r>
      <w:r w:rsidR="000F32AD">
        <w:rPr>
          <w:rFonts w:ascii="Arial" w:hAnsi="Arial" w:cs="Arial"/>
          <w:sz w:val="24"/>
          <w:szCs w:val="24"/>
        </w:rPr>
        <w:t xml:space="preserve"> government policies hav</w:t>
      </w:r>
      <w:r w:rsidR="00FB2308">
        <w:rPr>
          <w:rFonts w:ascii="Arial" w:hAnsi="Arial" w:cs="Arial"/>
          <w:sz w:val="24"/>
          <w:szCs w:val="24"/>
        </w:rPr>
        <w:t>ing</w:t>
      </w:r>
      <w:r w:rsidR="000F32AD">
        <w:rPr>
          <w:rFonts w:ascii="Arial" w:hAnsi="Arial" w:cs="Arial"/>
          <w:sz w:val="24"/>
          <w:szCs w:val="24"/>
        </w:rPr>
        <w:t xml:space="preserve"> brought laws</w:t>
      </w:r>
      <w:r w:rsidR="00FB2308">
        <w:rPr>
          <w:rFonts w:ascii="Arial" w:hAnsi="Arial" w:cs="Arial"/>
          <w:sz w:val="24"/>
          <w:szCs w:val="24"/>
        </w:rPr>
        <w:t xml:space="preserve"> in to place</w:t>
      </w:r>
      <w:r w:rsidR="000F32AD">
        <w:rPr>
          <w:rFonts w:ascii="Arial" w:hAnsi="Arial" w:cs="Arial"/>
          <w:sz w:val="24"/>
          <w:szCs w:val="24"/>
        </w:rPr>
        <w:t xml:space="preserve"> to create more equal opportunities such as the Equality </w:t>
      </w:r>
      <w:r w:rsidR="00A57E1B">
        <w:rPr>
          <w:rFonts w:ascii="Arial" w:hAnsi="Arial" w:cs="Arial"/>
          <w:sz w:val="24"/>
          <w:szCs w:val="24"/>
        </w:rPr>
        <w:t>A</w:t>
      </w:r>
      <w:r w:rsidR="000F32AD">
        <w:rPr>
          <w:rFonts w:ascii="Arial" w:hAnsi="Arial" w:cs="Arial"/>
          <w:sz w:val="24"/>
          <w:szCs w:val="24"/>
        </w:rPr>
        <w:t>ct 2010</w:t>
      </w:r>
      <w:r w:rsidR="004041E0">
        <w:rPr>
          <w:rFonts w:ascii="Arial" w:hAnsi="Arial" w:cs="Arial"/>
          <w:sz w:val="24"/>
          <w:szCs w:val="24"/>
        </w:rPr>
        <w:t>, and</w:t>
      </w:r>
      <w:r w:rsidR="000F32AD">
        <w:rPr>
          <w:rFonts w:ascii="Arial" w:hAnsi="Arial" w:cs="Arial"/>
          <w:sz w:val="24"/>
          <w:szCs w:val="24"/>
        </w:rPr>
        <w:t xml:space="preserve"> has also led onto </w:t>
      </w:r>
      <w:r w:rsidR="00D73A1A">
        <w:rPr>
          <w:rFonts w:ascii="Arial" w:hAnsi="Arial" w:cs="Arial"/>
          <w:sz w:val="24"/>
          <w:szCs w:val="24"/>
        </w:rPr>
        <w:t>specific guidelines for the minority communities (LGBT</w:t>
      </w:r>
      <w:r w:rsidR="00A57E1B">
        <w:rPr>
          <w:rFonts w:ascii="Arial" w:hAnsi="Arial" w:cs="Arial"/>
          <w:sz w:val="24"/>
          <w:szCs w:val="24"/>
        </w:rPr>
        <w:t>Q</w:t>
      </w:r>
      <w:r w:rsidR="00D73A1A">
        <w:rPr>
          <w:rFonts w:ascii="Arial" w:hAnsi="Arial" w:cs="Arial"/>
          <w:sz w:val="24"/>
          <w:szCs w:val="24"/>
        </w:rPr>
        <w:t xml:space="preserve">) within counselling (British psychological society, 2019). </w:t>
      </w:r>
      <w:r w:rsidR="00F324A6">
        <w:rPr>
          <w:rFonts w:ascii="Arial" w:hAnsi="Arial" w:cs="Arial"/>
          <w:sz w:val="24"/>
          <w:szCs w:val="24"/>
        </w:rPr>
        <w:t xml:space="preserve">Demonstrating that </w:t>
      </w:r>
      <w:r w:rsidR="00A20518">
        <w:rPr>
          <w:rFonts w:ascii="Arial" w:hAnsi="Arial" w:cs="Arial"/>
          <w:sz w:val="24"/>
          <w:szCs w:val="24"/>
        </w:rPr>
        <w:t xml:space="preserve">institutional factors have moved forward with legislation. </w:t>
      </w:r>
    </w:p>
    <w:p w14:paraId="4E5FDF5B" w14:textId="0557FAA6" w:rsidR="00A20518" w:rsidRDefault="00A20518" w:rsidP="00CC4650">
      <w:pPr>
        <w:ind w:firstLine="720"/>
        <w:rPr>
          <w:rFonts w:ascii="Arial" w:hAnsi="Arial" w:cs="Arial"/>
          <w:sz w:val="24"/>
          <w:szCs w:val="24"/>
        </w:rPr>
      </w:pPr>
      <w:r>
        <w:rPr>
          <w:rFonts w:ascii="Arial" w:hAnsi="Arial" w:cs="Arial"/>
          <w:sz w:val="24"/>
          <w:szCs w:val="24"/>
        </w:rPr>
        <w:t xml:space="preserve">Even though this </w:t>
      </w:r>
      <w:r w:rsidR="00F8468F">
        <w:rPr>
          <w:rFonts w:ascii="Arial" w:hAnsi="Arial" w:cs="Arial"/>
          <w:sz w:val="24"/>
          <w:szCs w:val="24"/>
        </w:rPr>
        <w:t xml:space="preserve">demonstrates the progression within </w:t>
      </w:r>
      <w:r w:rsidR="00A57E1B">
        <w:rPr>
          <w:rFonts w:ascii="Arial" w:hAnsi="Arial" w:cs="Arial"/>
          <w:sz w:val="24"/>
          <w:szCs w:val="24"/>
        </w:rPr>
        <w:t xml:space="preserve">institutions amongst </w:t>
      </w:r>
      <w:r w:rsidR="00F8468F">
        <w:rPr>
          <w:rFonts w:ascii="Arial" w:hAnsi="Arial" w:cs="Arial"/>
          <w:sz w:val="24"/>
          <w:szCs w:val="24"/>
        </w:rPr>
        <w:t>society today, this may not have occurred without feminism</w:t>
      </w:r>
      <w:r w:rsidR="004041E0">
        <w:rPr>
          <w:rFonts w:ascii="Arial" w:hAnsi="Arial" w:cs="Arial"/>
          <w:sz w:val="24"/>
          <w:szCs w:val="24"/>
        </w:rPr>
        <w:t xml:space="preserve">, </w:t>
      </w:r>
      <w:r w:rsidR="00A57E1B">
        <w:rPr>
          <w:rFonts w:ascii="Arial" w:hAnsi="Arial" w:cs="Arial"/>
          <w:sz w:val="24"/>
          <w:szCs w:val="24"/>
        </w:rPr>
        <w:t>yet</w:t>
      </w:r>
      <w:r w:rsidR="004041E0">
        <w:rPr>
          <w:rFonts w:ascii="Arial" w:hAnsi="Arial" w:cs="Arial"/>
          <w:sz w:val="24"/>
          <w:szCs w:val="24"/>
        </w:rPr>
        <w:t xml:space="preserve"> still negative experiences occur</w:t>
      </w:r>
      <w:r w:rsidR="00F8468F">
        <w:rPr>
          <w:rFonts w:ascii="Arial" w:hAnsi="Arial" w:cs="Arial"/>
          <w:sz w:val="24"/>
          <w:szCs w:val="24"/>
        </w:rPr>
        <w:t xml:space="preserve">. </w:t>
      </w:r>
      <w:r w:rsidR="00F8468F" w:rsidRPr="00E21A1E">
        <w:rPr>
          <w:rFonts w:ascii="Arial" w:hAnsi="Arial" w:cs="Arial"/>
          <w:sz w:val="24"/>
          <w:szCs w:val="24"/>
        </w:rPr>
        <w:t>Beauvoir (19</w:t>
      </w:r>
      <w:r w:rsidR="00E21A1E" w:rsidRPr="00E21A1E">
        <w:rPr>
          <w:rFonts w:ascii="Arial" w:hAnsi="Arial" w:cs="Arial"/>
          <w:sz w:val="24"/>
          <w:szCs w:val="24"/>
        </w:rPr>
        <w:t>49</w:t>
      </w:r>
      <w:r w:rsidR="00F8468F" w:rsidRPr="00E21A1E">
        <w:rPr>
          <w:rFonts w:ascii="Arial" w:hAnsi="Arial" w:cs="Arial"/>
          <w:sz w:val="24"/>
          <w:szCs w:val="24"/>
        </w:rPr>
        <w:t xml:space="preserve">) states within </w:t>
      </w:r>
      <w:r w:rsidR="00F8468F">
        <w:rPr>
          <w:rFonts w:ascii="Arial" w:hAnsi="Arial" w:cs="Arial"/>
          <w:sz w:val="24"/>
          <w:szCs w:val="24"/>
        </w:rPr>
        <w:t>her work that individuals have the right to live as they choose</w:t>
      </w:r>
      <w:r w:rsidR="004D216A">
        <w:rPr>
          <w:rFonts w:ascii="Arial" w:hAnsi="Arial" w:cs="Arial"/>
          <w:sz w:val="24"/>
          <w:szCs w:val="24"/>
        </w:rPr>
        <w:t>. The American psychological association refers to gender identity as “ones sense of oneself as male, female or transgender” (A</w:t>
      </w:r>
      <w:r w:rsidR="00C97921">
        <w:rPr>
          <w:rFonts w:ascii="Arial" w:hAnsi="Arial" w:cs="Arial"/>
          <w:sz w:val="24"/>
          <w:szCs w:val="24"/>
        </w:rPr>
        <w:t xml:space="preserve">merican </w:t>
      </w:r>
      <w:r w:rsidR="004D216A">
        <w:rPr>
          <w:rFonts w:ascii="Arial" w:hAnsi="Arial" w:cs="Arial"/>
          <w:sz w:val="24"/>
          <w:szCs w:val="24"/>
        </w:rPr>
        <w:t>P</w:t>
      </w:r>
      <w:r w:rsidR="00C97921">
        <w:rPr>
          <w:rFonts w:ascii="Arial" w:hAnsi="Arial" w:cs="Arial"/>
          <w:sz w:val="24"/>
          <w:szCs w:val="24"/>
        </w:rPr>
        <w:t xml:space="preserve">sychological </w:t>
      </w:r>
      <w:r w:rsidR="004D216A">
        <w:rPr>
          <w:rFonts w:ascii="Arial" w:hAnsi="Arial" w:cs="Arial"/>
          <w:sz w:val="24"/>
          <w:szCs w:val="24"/>
        </w:rPr>
        <w:t>A</w:t>
      </w:r>
      <w:r w:rsidR="00C97921">
        <w:rPr>
          <w:rFonts w:ascii="Arial" w:hAnsi="Arial" w:cs="Arial"/>
          <w:sz w:val="24"/>
          <w:szCs w:val="24"/>
        </w:rPr>
        <w:t>ssociation</w:t>
      </w:r>
      <w:r w:rsidR="004D216A">
        <w:rPr>
          <w:rFonts w:ascii="Arial" w:hAnsi="Arial" w:cs="Arial"/>
          <w:sz w:val="24"/>
          <w:szCs w:val="24"/>
        </w:rPr>
        <w:t>, 20</w:t>
      </w:r>
      <w:r w:rsidR="00C268DE">
        <w:rPr>
          <w:rFonts w:ascii="Arial" w:hAnsi="Arial" w:cs="Arial"/>
          <w:sz w:val="24"/>
          <w:szCs w:val="24"/>
        </w:rPr>
        <w:t>00</w:t>
      </w:r>
      <w:r w:rsidR="004D216A">
        <w:rPr>
          <w:rFonts w:ascii="Arial" w:hAnsi="Arial" w:cs="Arial"/>
          <w:sz w:val="24"/>
          <w:szCs w:val="24"/>
        </w:rPr>
        <w:t>). This would indicate that gender is not just biological, it is not solely the gender assigned at birth, it is the persons sense of self (</w:t>
      </w:r>
      <w:proofErr w:type="spellStart"/>
      <w:r w:rsidR="004D216A" w:rsidRPr="00E21A1E">
        <w:rPr>
          <w:rFonts w:ascii="Arial" w:hAnsi="Arial" w:cs="Arial"/>
          <w:sz w:val="24"/>
          <w:szCs w:val="24"/>
        </w:rPr>
        <w:t>Gainor</w:t>
      </w:r>
      <w:proofErr w:type="spellEnd"/>
      <w:r w:rsidR="004D216A" w:rsidRPr="00E21A1E">
        <w:rPr>
          <w:rFonts w:ascii="Arial" w:hAnsi="Arial" w:cs="Arial"/>
          <w:sz w:val="24"/>
          <w:szCs w:val="24"/>
        </w:rPr>
        <w:t xml:space="preserve">, 2000). </w:t>
      </w:r>
      <w:r w:rsidR="004D216A">
        <w:rPr>
          <w:rFonts w:ascii="Arial" w:hAnsi="Arial" w:cs="Arial"/>
          <w:sz w:val="24"/>
          <w:szCs w:val="24"/>
        </w:rPr>
        <w:t xml:space="preserve">The dominant approach within psychological interventions for many years has been </w:t>
      </w:r>
      <w:r w:rsidR="00DC02DE">
        <w:rPr>
          <w:rFonts w:ascii="Arial" w:hAnsi="Arial" w:cs="Arial"/>
          <w:sz w:val="24"/>
          <w:szCs w:val="24"/>
        </w:rPr>
        <w:t xml:space="preserve">the concept </w:t>
      </w:r>
      <w:r w:rsidR="004D216A">
        <w:rPr>
          <w:rFonts w:ascii="Arial" w:hAnsi="Arial" w:cs="Arial"/>
          <w:sz w:val="24"/>
          <w:szCs w:val="24"/>
        </w:rPr>
        <w:t xml:space="preserve">that the person decides their gender, however, research now </w:t>
      </w:r>
      <w:r w:rsidR="00DC02DE">
        <w:rPr>
          <w:rFonts w:ascii="Arial" w:hAnsi="Arial" w:cs="Arial"/>
          <w:sz w:val="24"/>
          <w:szCs w:val="24"/>
        </w:rPr>
        <w:t>identifies that environmental factors</w:t>
      </w:r>
      <w:r w:rsidR="007C6145">
        <w:rPr>
          <w:rFonts w:ascii="Arial" w:hAnsi="Arial" w:cs="Arial"/>
          <w:sz w:val="24"/>
          <w:szCs w:val="24"/>
        </w:rPr>
        <w:t xml:space="preserve"> contribute to this greatly</w:t>
      </w:r>
      <w:r w:rsidR="00DC02DE">
        <w:rPr>
          <w:rFonts w:ascii="Arial" w:hAnsi="Arial" w:cs="Arial"/>
          <w:sz w:val="24"/>
          <w:szCs w:val="24"/>
        </w:rPr>
        <w:t xml:space="preserve">, which are </w:t>
      </w:r>
      <w:r w:rsidR="004D216A">
        <w:rPr>
          <w:rFonts w:ascii="Arial" w:hAnsi="Arial" w:cs="Arial"/>
          <w:sz w:val="24"/>
          <w:szCs w:val="24"/>
        </w:rPr>
        <w:t>cultural, societal and personal interactions</w:t>
      </w:r>
      <w:r w:rsidR="00DC02DE">
        <w:rPr>
          <w:rFonts w:ascii="Arial" w:hAnsi="Arial" w:cs="Arial"/>
          <w:sz w:val="24"/>
          <w:szCs w:val="24"/>
        </w:rPr>
        <w:t>.</w:t>
      </w:r>
      <w:r w:rsidR="004D216A">
        <w:rPr>
          <w:rFonts w:ascii="Arial" w:hAnsi="Arial" w:cs="Arial"/>
          <w:sz w:val="24"/>
          <w:szCs w:val="24"/>
        </w:rPr>
        <w:t xml:space="preserve"> </w:t>
      </w:r>
      <w:r w:rsidR="00DC02DE">
        <w:rPr>
          <w:rFonts w:ascii="Arial" w:hAnsi="Arial" w:cs="Arial"/>
          <w:sz w:val="24"/>
          <w:szCs w:val="24"/>
        </w:rPr>
        <w:t>These factors</w:t>
      </w:r>
      <w:r w:rsidR="004D216A">
        <w:rPr>
          <w:rFonts w:ascii="Arial" w:hAnsi="Arial" w:cs="Arial"/>
          <w:sz w:val="24"/>
          <w:szCs w:val="24"/>
        </w:rPr>
        <w:t xml:space="preserve"> support</w:t>
      </w:r>
      <w:r w:rsidR="00DC02DE">
        <w:rPr>
          <w:rFonts w:ascii="Arial" w:hAnsi="Arial" w:cs="Arial"/>
          <w:sz w:val="24"/>
          <w:szCs w:val="24"/>
        </w:rPr>
        <w:t xml:space="preserve"> the person concept of self, and any discrepancies between those, can cause issues</w:t>
      </w:r>
      <w:r w:rsidR="0099308E">
        <w:rPr>
          <w:rFonts w:ascii="Arial" w:hAnsi="Arial" w:cs="Arial"/>
          <w:sz w:val="24"/>
          <w:szCs w:val="24"/>
        </w:rPr>
        <w:t xml:space="preserve">. </w:t>
      </w:r>
      <w:r w:rsidR="00E67E82">
        <w:rPr>
          <w:rFonts w:ascii="Arial" w:hAnsi="Arial" w:cs="Arial"/>
          <w:sz w:val="24"/>
          <w:szCs w:val="24"/>
        </w:rPr>
        <w:t>For those who feel incongruent with the sex assigned at birth, the gender they identify with differs in varying degrees from the sexual genitalia they were born with (</w:t>
      </w:r>
      <w:r w:rsidR="00C268DE">
        <w:rPr>
          <w:rFonts w:ascii="Arial" w:hAnsi="Arial" w:cs="Arial"/>
          <w:sz w:val="24"/>
          <w:szCs w:val="24"/>
        </w:rPr>
        <w:t>BPS</w:t>
      </w:r>
      <w:r w:rsidR="00E67E82">
        <w:rPr>
          <w:rFonts w:ascii="Arial" w:hAnsi="Arial" w:cs="Arial"/>
          <w:sz w:val="24"/>
          <w:szCs w:val="24"/>
        </w:rPr>
        <w:t>, 20</w:t>
      </w:r>
      <w:r w:rsidR="007D7B92">
        <w:rPr>
          <w:rFonts w:ascii="Arial" w:hAnsi="Arial" w:cs="Arial"/>
          <w:sz w:val="24"/>
          <w:szCs w:val="24"/>
        </w:rPr>
        <w:t>1</w:t>
      </w:r>
      <w:r w:rsidR="00C268DE">
        <w:rPr>
          <w:rFonts w:ascii="Arial" w:hAnsi="Arial" w:cs="Arial"/>
          <w:sz w:val="24"/>
          <w:szCs w:val="24"/>
        </w:rPr>
        <w:t>9</w:t>
      </w:r>
      <w:r w:rsidR="00E67E82">
        <w:rPr>
          <w:rFonts w:ascii="Arial" w:hAnsi="Arial" w:cs="Arial"/>
          <w:sz w:val="24"/>
          <w:szCs w:val="24"/>
        </w:rPr>
        <w:t xml:space="preserve">). </w:t>
      </w:r>
      <w:r w:rsidR="004D216A">
        <w:rPr>
          <w:rFonts w:ascii="Arial" w:hAnsi="Arial" w:cs="Arial"/>
          <w:sz w:val="24"/>
          <w:szCs w:val="24"/>
        </w:rPr>
        <w:t xml:space="preserve"> </w:t>
      </w:r>
    </w:p>
    <w:p w14:paraId="4F0880CC" w14:textId="77777777" w:rsidR="004041E0" w:rsidRDefault="004041E0" w:rsidP="00CC4650">
      <w:pPr>
        <w:ind w:firstLine="720"/>
        <w:rPr>
          <w:rFonts w:ascii="Arial" w:hAnsi="Arial" w:cs="Arial"/>
          <w:sz w:val="24"/>
          <w:szCs w:val="24"/>
        </w:rPr>
      </w:pPr>
      <w:r>
        <w:rPr>
          <w:rFonts w:ascii="Arial" w:hAnsi="Arial" w:cs="Arial"/>
          <w:sz w:val="24"/>
          <w:szCs w:val="24"/>
        </w:rPr>
        <w:t>This discrepancy within an individual can lead onto mental health problems, such as gender dys</w:t>
      </w:r>
      <w:r w:rsidR="00D36377">
        <w:rPr>
          <w:rFonts w:ascii="Arial" w:hAnsi="Arial" w:cs="Arial"/>
          <w:sz w:val="24"/>
          <w:szCs w:val="24"/>
        </w:rPr>
        <w:t>ph</w:t>
      </w:r>
      <w:r>
        <w:rPr>
          <w:rFonts w:ascii="Arial" w:hAnsi="Arial" w:cs="Arial"/>
          <w:sz w:val="24"/>
          <w:szCs w:val="24"/>
        </w:rPr>
        <w:t xml:space="preserve">oria. The DSM-V categorises this </w:t>
      </w:r>
      <w:r w:rsidR="00D36377">
        <w:rPr>
          <w:rFonts w:ascii="Arial" w:hAnsi="Arial" w:cs="Arial"/>
          <w:sz w:val="24"/>
          <w:szCs w:val="24"/>
        </w:rPr>
        <w:t>into three psychosexual disorders</w:t>
      </w:r>
      <w:r w:rsidR="00477143">
        <w:rPr>
          <w:rFonts w:ascii="Arial" w:hAnsi="Arial" w:cs="Arial"/>
          <w:sz w:val="24"/>
          <w:szCs w:val="24"/>
        </w:rPr>
        <w:t>.</w:t>
      </w:r>
      <w:r w:rsidR="00D36377">
        <w:rPr>
          <w:rFonts w:ascii="Arial" w:hAnsi="Arial" w:cs="Arial"/>
          <w:sz w:val="24"/>
          <w:szCs w:val="24"/>
        </w:rPr>
        <w:t xml:space="preserve"> </w:t>
      </w:r>
      <w:r w:rsidR="00477143">
        <w:rPr>
          <w:rFonts w:ascii="Arial" w:hAnsi="Arial" w:cs="Arial"/>
          <w:sz w:val="24"/>
          <w:szCs w:val="24"/>
        </w:rPr>
        <w:t xml:space="preserve">So, </w:t>
      </w:r>
      <w:r w:rsidR="00D36377">
        <w:rPr>
          <w:rFonts w:ascii="Arial" w:hAnsi="Arial" w:cs="Arial"/>
          <w:sz w:val="24"/>
          <w:szCs w:val="24"/>
        </w:rPr>
        <w:t xml:space="preserve">it could be argued that </w:t>
      </w:r>
      <w:r w:rsidR="00477143">
        <w:rPr>
          <w:rFonts w:ascii="Arial" w:hAnsi="Arial" w:cs="Arial"/>
          <w:sz w:val="24"/>
          <w:szCs w:val="24"/>
        </w:rPr>
        <w:t xml:space="preserve">depending on the individual and how much acceptance </w:t>
      </w:r>
      <w:r w:rsidR="00D36377">
        <w:rPr>
          <w:rFonts w:ascii="Arial" w:hAnsi="Arial" w:cs="Arial"/>
          <w:sz w:val="24"/>
          <w:szCs w:val="24"/>
        </w:rPr>
        <w:t xml:space="preserve">and validation </w:t>
      </w:r>
      <w:r w:rsidR="00477143">
        <w:rPr>
          <w:rFonts w:ascii="Arial" w:hAnsi="Arial" w:cs="Arial"/>
          <w:sz w:val="24"/>
          <w:szCs w:val="24"/>
        </w:rPr>
        <w:t xml:space="preserve">they need by external sources such as their social groups, this can have a serious effect on someone’s mental health and well-being. </w:t>
      </w:r>
      <w:r w:rsidR="00FE2282">
        <w:rPr>
          <w:rFonts w:ascii="Arial" w:hAnsi="Arial" w:cs="Arial"/>
          <w:sz w:val="24"/>
          <w:szCs w:val="24"/>
        </w:rPr>
        <w:t>The British psych</w:t>
      </w:r>
      <w:r w:rsidR="00C97921">
        <w:rPr>
          <w:rFonts w:ascii="Arial" w:hAnsi="Arial" w:cs="Arial"/>
          <w:sz w:val="24"/>
          <w:szCs w:val="24"/>
        </w:rPr>
        <w:t xml:space="preserve">ological society (BPS, 2019) encourages the individual to validate the </w:t>
      </w:r>
      <w:r w:rsidR="00C97921">
        <w:rPr>
          <w:rFonts w:ascii="Arial" w:hAnsi="Arial" w:cs="Arial"/>
          <w:sz w:val="24"/>
          <w:szCs w:val="24"/>
        </w:rPr>
        <w:lastRenderedPageBreak/>
        <w:t>self and acknowledges the global political situation where in some regions it is more socially acceptable to be LGBT</w:t>
      </w:r>
      <w:r w:rsidR="00F8327E">
        <w:rPr>
          <w:rFonts w:ascii="Arial" w:hAnsi="Arial" w:cs="Arial"/>
          <w:sz w:val="24"/>
          <w:szCs w:val="24"/>
        </w:rPr>
        <w:t>Q</w:t>
      </w:r>
      <w:r w:rsidR="00C97921">
        <w:rPr>
          <w:rFonts w:ascii="Arial" w:hAnsi="Arial" w:cs="Arial"/>
          <w:sz w:val="24"/>
          <w:szCs w:val="24"/>
        </w:rPr>
        <w:t xml:space="preserve"> than others. The BPS </w:t>
      </w:r>
      <w:r w:rsidR="00CC2404">
        <w:rPr>
          <w:rFonts w:ascii="Arial" w:hAnsi="Arial" w:cs="Arial"/>
          <w:sz w:val="24"/>
          <w:szCs w:val="24"/>
        </w:rPr>
        <w:t xml:space="preserve">(2019) </w:t>
      </w:r>
      <w:r w:rsidR="00C97921">
        <w:rPr>
          <w:rFonts w:ascii="Arial" w:hAnsi="Arial" w:cs="Arial"/>
          <w:sz w:val="24"/>
          <w:szCs w:val="24"/>
        </w:rPr>
        <w:t>also discusses the internalisation of negative societal attitudes, which can cause individuals to experience the feelings of shame and loathing of their gender and sexual identities</w:t>
      </w:r>
      <w:r w:rsidR="008C39E2">
        <w:rPr>
          <w:rFonts w:ascii="Arial" w:hAnsi="Arial" w:cs="Arial"/>
          <w:sz w:val="24"/>
          <w:szCs w:val="24"/>
        </w:rPr>
        <w:t xml:space="preserve">. And the legally recognised and non-recognised relationships which people engage. Acknowledging that even though society has moved forward and is a lot more diverse, societal laws and assumptions have not caught up.  </w:t>
      </w:r>
    </w:p>
    <w:p w14:paraId="1441EAAD" w14:textId="77777777" w:rsidR="00BD3629" w:rsidRPr="006C0320" w:rsidRDefault="00C207E3" w:rsidP="00CC4650">
      <w:pPr>
        <w:ind w:firstLine="720"/>
        <w:rPr>
          <w:rFonts w:ascii="Arial" w:hAnsi="Arial" w:cs="Arial"/>
          <w:sz w:val="24"/>
          <w:szCs w:val="24"/>
        </w:rPr>
      </w:pPr>
      <w:r>
        <w:rPr>
          <w:rFonts w:ascii="Arial" w:hAnsi="Arial" w:cs="Arial"/>
          <w:sz w:val="24"/>
          <w:szCs w:val="24"/>
        </w:rPr>
        <w:t xml:space="preserve">Social identity </w:t>
      </w:r>
      <w:r w:rsidR="00BD3629">
        <w:rPr>
          <w:rFonts w:ascii="Arial" w:hAnsi="Arial" w:cs="Arial"/>
          <w:sz w:val="24"/>
          <w:szCs w:val="24"/>
        </w:rPr>
        <w:t xml:space="preserve">theory </w:t>
      </w:r>
      <w:r w:rsidR="00E116AE">
        <w:rPr>
          <w:rFonts w:ascii="Arial" w:hAnsi="Arial" w:cs="Arial"/>
          <w:sz w:val="24"/>
          <w:szCs w:val="24"/>
        </w:rPr>
        <w:t xml:space="preserve">(Turner, Hogg, Oakes, Reicher &amp; Wetherell, 1987) </w:t>
      </w:r>
      <w:r w:rsidR="00BD3629">
        <w:rPr>
          <w:rFonts w:ascii="Arial" w:hAnsi="Arial" w:cs="Arial"/>
          <w:sz w:val="24"/>
          <w:szCs w:val="24"/>
        </w:rPr>
        <w:t>suggests that</w:t>
      </w:r>
      <w:r w:rsidR="00FB2308">
        <w:rPr>
          <w:rFonts w:ascii="Arial" w:hAnsi="Arial" w:cs="Arial"/>
          <w:sz w:val="24"/>
          <w:szCs w:val="24"/>
        </w:rPr>
        <w:t xml:space="preserve"> the persons knowledge that they belong to a group or social category, an in-group, </w:t>
      </w:r>
      <w:r w:rsidR="00BD3629">
        <w:rPr>
          <w:rFonts w:ascii="Arial" w:hAnsi="Arial" w:cs="Arial"/>
          <w:sz w:val="24"/>
          <w:szCs w:val="24"/>
        </w:rPr>
        <w:t xml:space="preserve">validates the persons sense of self. Often </w:t>
      </w:r>
      <w:r w:rsidR="00FB2308">
        <w:rPr>
          <w:rFonts w:ascii="Arial" w:hAnsi="Arial" w:cs="Arial"/>
          <w:sz w:val="24"/>
          <w:szCs w:val="24"/>
        </w:rPr>
        <w:t>persons different from the self are categorised as the out-group.</w:t>
      </w:r>
      <w:r w:rsidR="004C7B72">
        <w:rPr>
          <w:rFonts w:ascii="Arial" w:hAnsi="Arial" w:cs="Arial"/>
          <w:sz w:val="24"/>
          <w:szCs w:val="24"/>
        </w:rPr>
        <w:t xml:space="preserve"> </w:t>
      </w:r>
      <w:r w:rsidR="00437386">
        <w:rPr>
          <w:rFonts w:ascii="Arial" w:hAnsi="Arial" w:cs="Arial"/>
          <w:sz w:val="24"/>
          <w:szCs w:val="24"/>
        </w:rPr>
        <w:t>Researchers often separated these two elements, into self-categorisation (evaluation) and commitment (psychological) or social comparison</w:t>
      </w:r>
      <w:r w:rsidR="00BD3629">
        <w:rPr>
          <w:rFonts w:ascii="Arial" w:hAnsi="Arial" w:cs="Arial"/>
          <w:sz w:val="24"/>
          <w:szCs w:val="24"/>
        </w:rPr>
        <w:t xml:space="preserve">, and by contributing positive attributions to that group, offers positive attributions to the self. Identity theory </w:t>
      </w:r>
      <w:r w:rsidR="00E116AE">
        <w:rPr>
          <w:rFonts w:ascii="Arial" w:hAnsi="Arial" w:cs="Arial"/>
          <w:sz w:val="24"/>
          <w:szCs w:val="24"/>
        </w:rPr>
        <w:t>(</w:t>
      </w:r>
      <w:proofErr w:type="spellStart"/>
      <w:r w:rsidR="00E116AE">
        <w:rPr>
          <w:rFonts w:ascii="Arial" w:hAnsi="Arial" w:cs="Arial"/>
          <w:sz w:val="24"/>
          <w:szCs w:val="24"/>
        </w:rPr>
        <w:t>Thoists</w:t>
      </w:r>
      <w:proofErr w:type="spellEnd"/>
      <w:r w:rsidR="00E116AE">
        <w:rPr>
          <w:rFonts w:ascii="Arial" w:hAnsi="Arial" w:cs="Arial"/>
          <w:sz w:val="24"/>
          <w:szCs w:val="24"/>
        </w:rPr>
        <w:t xml:space="preserve"> &amp; </w:t>
      </w:r>
      <w:proofErr w:type="spellStart"/>
      <w:r w:rsidR="00E116AE">
        <w:rPr>
          <w:rFonts w:ascii="Arial" w:hAnsi="Arial" w:cs="Arial"/>
          <w:sz w:val="24"/>
          <w:szCs w:val="24"/>
        </w:rPr>
        <w:t>Virshup</w:t>
      </w:r>
      <w:proofErr w:type="spellEnd"/>
      <w:r w:rsidR="00E116AE">
        <w:rPr>
          <w:rFonts w:ascii="Arial" w:hAnsi="Arial" w:cs="Arial"/>
          <w:sz w:val="24"/>
          <w:szCs w:val="24"/>
        </w:rPr>
        <w:t xml:space="preserve">, 1997) </w:t>
      </w:r>
      <w:r w:rsidR="00253082">
        <w:rPr>
          <w:rFonts w:ascii="Arial" w:hAnsi="Arial" w:cs="Arial"/>
          <w:sz w:val="24"/>
          <w:szCs w:val="24"/>
        </w:rPr>
        <w:t>this self-categorisation is also discussed as the formation of the self as an occupant of a role,</w:t>
      </w:r>
      <w:r w:rsidR="006F0E80">
        <w:rPr>
          <w:rFonts w:ascii="Arial" w:hAnsi="Arial" w:cs="Arial"/>
          <w:sz w:val="24"/>
          <w:szCs w:val="24"/>
        </w:rPr>
        <w:t xml:space="preserve"> along with the meaning and expectation of that role.</w:t>
      </w:r>
      <w:r w:rsidR="00594E67">
        <w:rPr>
          <w:rFonts w:ascii="Arial" w:hAnsi="Arial" w:cs="Arial"/>
          <w:sz w:val="24"/>
          <w:szCs w:val="24"/>
        </w:rPr>
        <w:t xml:space="preserve"> </w:t>
      </w:r>
      <w:r w:rsidR="008F14AD">
        <w:rPr>
          <w:rFonts w:ascii="Arial" w:hAnsi="Arial" w:cs="Arial"/>
          <w:sz w:val="24"/>
          <w:szCs w:val="24"/>
        </w:rPr>
        <w:t xml:space="preserve">Both theories suggest that the three components </w:t>
      </w:r>
      <w:r w:rsidR="00F8327E">
        <w:rPr>
          <w:rFonts w:ascii="Arial" w:hAnsi="Arial" w:cs="Arial"/>
          <w:sz w:val="24"/>
          <w:szCs w:val="24"/>
        </w:rPr>
        <w:t>the person, the group and the role within that group, contribute to</w:t>
      </w:r>
      <w:r w:rsidR="008F14AD">
        <w:rPr>
          <w:rFonts w:ascii="Arial" w:hAnsi="Arial" w:cs="Arial"/>
          <w:sz w:val="24"/>
          <w:szCs w:val="24"/>
        </w:rPr>
        <w:t xml:space="preserve"> a person</w:t>
      </w:r>
      <w:r w:rsidR="00F8327E">
        <w:rPr>
          <w:rFonts w:ascii="Arial" w:hAnsi="Arial" w:cs="Arial"/>
          <w:sz w:val="24"/>
          <w:szCs w:val="24"/>
        </w:rPr>
        <w:t>’</w:t>
      </w:r>
      <w:r w:rsidR="008F14AD">
        <w:rPr>
          <w:rFonts w:ascii="Arial" w:hAnsi="Arial" w:cs="Arial"/>
          <w:sz w:val="24"/>
          <w:szCs w:val="24"/>
        </w:rPr>
        <w:t xml:space="preserve">s identity and </w:t>
      </w:r>
      <w:r w:rsidR="00477143">
        <w:rPr>
          <w:rFonts w:ascii="Arial" w:hAnsi="Arial" w:cs="Arial"/>
          <w:sz w:val="24"/>
          <w:szCs w:val="24"/>
        </w:rPr>
        <w:t xml:space="preserve">require </w:t>
      </w:r>
      <w:r w:rsidR="008F14AD">
        <w:rPr>
          <w:rFonts w:ascii="Arial" w:hAnsi="Arial" w:cs="Arial"/>
          <w:sz w:val="24"/>
          <w:szCs w:val="24"/>
        </w:rPr>
        <w:t>each</w:t>
      </w:r>
      <w:r w:rsidR="00477143">
        <w:rPr>
          <w:rFonts w:ascii="Arial" w:hAnsi="Arial" w:cs="Arial"/>
          <w:sz w:val="24"/>
          <w:szCs w:val="24"/>
        </w:rPr>
        <w:t xml:space="preserve"> to help form the persons sense of self </w:t>
      </w:r>
      <w:r w:rsidR="00E116AE">
        <w:rPr>
          <w:rFonts w:ascii="Arial" w:hAnsi="Arial" w:cs="Arial"/>
          <w:sz w:val="24"/>
          <w:szCs w:val="24"/>
        </w:rPr>
        <w:t>(Stets &amp; Burke, 2000)</w:t>
      </w:r>
      <w:r w:rsidR="00253082">
        <w:rPr>
          <w:rFonts w:ascii="Arial" w:hAnsi="Arial" w:cs="Arial"/>
          <w:sz w:val="24"/>
          <w:szCs w:val="24"/>
        </w:rPr>
        <w:t xml:space="preserve">. </w:t>
      </w:r>
      <w:r w:rsidR="005867C9">
        <w:rPr>
          <w:rFonts w:ascii="Arial" w:hAnsi="Arial" w:cs="Arial"/>
          <w:sz w:val="24"/>
          <w:szCs w:val="24"/>
        </w:rPr>
        <w:t>This is most probably due the innate primal human need to belong to a group for survival</w:t>
      </w:r>
      <w:r w:rsidR="002835AF">
        <w:rPr>
          <w:rFonts w:ascii="Arial" w:hAnsi="Arial" w:cs="Arial"/>
          <w:sz w:val="24"/>
          <w:szCs w:val="24"/>
        </w:rPr>
        <w:t xml:space="preserve"> (</w:t>
      </w:r>
      <w:proofErr w:type="spellStart"/>
      <w:r w:rsidR="002835AF" w:rsidRPr="006C0320">
        <w:rPr>
          <w:rFonts w:ascii="Arial" w:hAnsi="Arial" w:cs="Arial"/>
          <w:sz w:val="24"/>
          <w:szCs w:val="24"/>
        </w:rPr>
        <w:t>Marslow</w:t>
      </w:r>
      <w:proofErr w:type="spellEnd"/>
      <w:r w:rsidR="002835AF" w:rsidRPr="006C0320">
        <w:rPr>
          <w:rFonts w:ascii="Arial" w:hAnsi="Arial" w:cs="Arial"/>
          <w:sz w:val="24"/>
          <w:szCs w:val="24"/>
        </w:rPr>
        <w:t>, 19</w:t>
      </w:r>
      <w:r w:rsidR="00065B55" w:rsidRPr="006C0320">
        <w:rPr>
          <w:rFonts w:ascii="Arial" w:hAnsi="Arial" w:cs="Arial"/>
          <w:sz w:val="24"/>
          <w:szCs w:val="24"/>
        </w:rPr>
        <w:t>43</w:t>
      </w:r>
      <w:r w:rsidR="002835AF" w:rsidRPr="006C0320">
        <w:rPr>
          <w:rFonts w:ascii="Arial" w:hAnsi="Arial" w:cs="Arial"/>
          <w:sz w:val="24"/>
          <w:szCs w:val="24"/>
        </w:rPr>
        <w:t xml:space="preserve">) and both theories still require a social structure and hierarchy. </w:t>
      </w:r>
    </w:p>
    <w:p w14:paraId="3FD4BD26" w14:textId="77777777" w:rsidR="00E116AE" w:rsidRDefault="00477143" w:rsidP="00CC4650">
      <w:pPr>
        <w:ind w:firstLine="720"/>
        <w:rPr>
          <w:rFonts w:ascii="Arial" w:hAnsi="Arial" w:cs="Arial"/>
          <w:sz w:val="24"/>
          <w:szCs w:val="24"/>
        </w:rPr>
      </w:pPr>
      <w:r>
        <w:rPr>
          <w:rFonts w:ascii="Arial" w:hAnsi="Arial" w:cs="Arial"/>
          <w:sz w:val="24"/>
          <w:szCs w:val="24"/>
        </w:rPr>
        <w:t>Therefore, if</w:t>
      </w:r>
      <w:r w:rsidR="00F75A66">
        <w:rPr>
          <w:rFonts w:ascii="Arial" w:hAnsi="Arial" w:cs="Arial"/>
          <w:sz w:val="24"/>
          <w:szCs w:val="24"/>
        </w:rPr>
        <w:t xml:space="preserve"> LGBT</w:t>
      </w:r>
      <w:r w:rsidR="005867C9">
        <w:rPr>
          <w:rFonts w:ascii="Arial" w:hAnsi="Arial" w:cs="Arial"/>
          <w:sz w:val="24"/>
          <w:szCs w:val="24"/>
        </w:rPr>
        <w:t>Q</w:t>
      </w:r>
      <w:r>
        <w:rPr>
          <w:rFonts w:ascii="Arial" w:hAnsi="Arial" w:cs="Arial"/>
          <w:sz w:val="24"/>
          <w:szCs w:val="24"/>
        </w:rPr>
        <w:t xml:space="preserve"> communities receive positive support from groups which advocate their lifestyle choice, this will have a positive effect on their sense of self</w:t>
      </w:r>
      <w:r w:rsidR="00F75A66">
        <w:rPr>
          <w:rFonts w:ascii="Arial" w:hAnsi="Arial" w:cs="Arial"/>
          <w:sz w:val="24"/>
          <w:szCs w:val="24"/>
        </w:rPr>
        <w:t xml:space="preserve"> </w:t>
      </w:r>
      <w:r w:rsidR="00F75A66" w:rsidRPr="00F75A66">
        <w:rPr>
          <w:rFonts w:ascii="Arial" w:hAnsi="Arial" w:cs="Arial"/>
          <w:noProof/>
          <w:sz w:val="24"/>
          <w:szCs w:val="24"/>
        </w:rPr>
        <w:t>(Kosciw, Palmer,</w:t>
      </w:r>
      <w:r w:rsidR="00F75A66">
        <w:rPr>
          <w:rFonts w:ascii="Arial" w:hAnsi="Arial" w:cs="Arial"/>
          <w:noProof/>
          <w:sz w:val="24"/>
          <w:szCs w:val="24"/>
        </w:rPr>
        <w:t xml:space="preserve"> </w:t>
      </w:r>
      <w:r w:rsidR="00F75A66" w:rsidRPr="00F75A66">
        <w:rPr>
          <w:rFonts w:ascii="Arial" w:hAnsi="Arial" w:cs="Arial"/>
          <w:noProof/>
          <w:sz w:val="24"/>
          <w:szCs w:val="24"/>
        </w:rPr>
        <w:t>&amp; Kull, 2015)</w:t>
      </w:r>
      <w:r>
        <w:rPr>
          <w:rFonts w:ascii="Arial" w:hAnsi="Arial" w:cs="Arial"/>
          <w:sz w:val="24"/>
          <w:szCs w:val="24"/>
        </w:rPr>
        <w:t>. Groups such as Stonewall</w:t>
      </w:r>
      <w:r w:rsidR="00F75A66">
        <w:rPr>
          <w:rFonts w:ascii="Arial" w:hAnsi="Arial" w:cs="Arial"/>
          <w:sz w:val="24"/>
          <w:szCs w:val="24"/>
        </w:rPr>
        <w:t xml:space="preserve"> </w:t>
      </w:r>
      <w:r>
        <w:rPr>
          <w:rFonts w:ascii="Arial" w:hAnsi="Arial" w:cs="Arial"/>
          <w:sz w:val="24"/>
          <w:szCs w:val="24"/>
        </w:rPr>
        <w:t>provide support which can facilitate resilience for the individual</w:t>
      </w:r>
      <w:r w:rsidR="004A487E">
        <w:rPr>
          <w:rFonts w:ascii="Arial" w:hAnsi="Arial" w:cs="Arial"/>
          <w:sz w:val="24"/>
          <w:szCs w:val="24"/>
        </w:rPr>
        <w:t xml:space="preserve">, this is locally and throughout the UK, it also addresses health and wellbeing, however, when mental health </w:t>
      </w:r>
      <w:r w:rsidR="00061879">
        <w:rPr>
          <w:rFonts w:ascii="Arial" w:hAnsi="Arial" w:cs="Arial"/>
          <w:sz w:val="24"/>
          <w:szCs w:val="24"/>
        </w:rPr>
        <w:t xml:space="preserve">support </w:t>
      </w:r>
      <w:r w:rsidR="004A487E">
        <w:rPr>
          <w:rFonts w:ascii="Arial" w:hAnsi="Arial" w:cs="Arial"/>
          <w:sz w:val="24"/>
          <w:szCs w:val="24"/>
        </w:rPr>
        <w:t>was searched within Swansea</w:t>
      </w:r>
      <w:r w:rsidR="00061879">
        <w:rPr>
          <w:rFonts w:ascii="Arial" w:hAnsi="Arial" w:cs="Arial"/>
          <w:sz w:val="24"/>
          <w:szCs w:val="24"/>
        </w:rPr>
        <w:t xml:space="preserve"> area</w:t>
      </w:r>
      <w:r w:rsidR="004A487E">
        <w:rPr>
          <w:rFonts w:ascii="Arial" w:hAnsi="Arial" w:cs="Arial"/>
          <w:sz w:val="24"/>
          <w:szCs w:val="24"/>
        </w:rPr>
        <w:t>, nothing was available</w:t>
      </w:r>
      <w:r>
        <w:rPr>
          <w:rFonts w:ascii="Arial" w:hAnsi="Arial" w:cs="Arial"/>
          <w:sz w:val="24"/>
          <w:szCs w:val="24"/>
        </w:rPr>
        <w:t xml:space="preserve">. It is important to </w:t>
      </w:r>
      <w:r w:rsidR="00F75A66">
        <w:rPr>
          <w:rFonts w:ascii="Arial" w:hAnsi="Arial" w:cs="Arial"/>
          <w:sz w:val="24"/>
          <w:szCs w:val="24"/>
        </w:rPr>
        <w:t>allow the individual to express themselves as they deem fit, or allow their level of outness in order to improve well-being and resilience, and reduce the effects of victimisation (</w:t>
      </w:r>
      <w:proofErr w:type="spellStart"/>
      <w:r w:rsidR="00F75A66">
        <w:rPr>
          <w:rFonts w:ascii="Arial" w:hAnsi="Arial" w:cs="Arial"/>
          <w:sz w:val="24"/>
          <w:szCs w:val="24"/>
        </w:rPr>
        <w:t>Kosciw</w:t>
      </w:r>
      <w:proofErr w:type="spellEnd"/>
      <w:r w:rsidR="00F75A66">
        <w:rPr>
          <w:rFonts w:ascii="Arial" w:hAnsi="Arial" w:cs="Arial"/>
          <w:sz w:val="24"/>
          <w:szCs w:val="24"/>
        </w:rPr>
        <w:t xml:space="preserve">, </w:t>
      </w:r>
      <w:r w:rsidR="00F75A66" w:rsidRPr="00F75A66">
        <w:rPr>
          <w:rFonts w:ascii="Arial" w:hAnsi="Arial" w:cs="Arial"/>
          <w:i/>
          <w:iCs/>
          <w:sz w:val="24"/>
          <w:szCs w:val="24"/>
        </w:rPr>
        <w:t>et al</w:t>
      </w:r>
      <w:r w:rsidR="00F75A66">
        <w:rPr>
          <w:rFonts w:ascii="Arial" w:hAnsi="Arial" w:cs="Arial"/>
          <w:sz w:val="24"/>
          <w:szCs w:val="24"/>
        </w:rPr>
        <w:t xml:space="preserve">, 2015). </w:t>
      </w:r>
    </w:p>
    <w:p w14:paraId="5F692D86" w14:textId="77777777" w:rsidR="00BD3629" w:rsidRDefault="00A25243" w:rsidP="00EB22C4">
      <w:pPr>
        <w:ind w:firstLine="720"/>
        <w:rPr>
          <w:rFonts w:ascii="Arial" w:hAnsi="Arial" w:cs="Arial"/>
          <w:sz w:val="24"/>
          <w:szCs w:val="24"/>
        </w:rPr>
      </w:pPr>
      <w:r>
        <w:rPr>
          <w:rFonts w:ascii="Arial" w:hAnsi="Arial" w:cs="Arial"/>
          <w:sz w:val="24"/>
          <w:szCs w:val="24"/>
        </w:rPr>
        <w:t xml:space="preserve">Gender schema theory </w:t>
      </w:r>
      <w:r w:rsidR="00DA03C5">
        <w:rPr>
          <w:rFonts w:ascii="Arial" w:hAnsi="Arial" w:cs="Arial"/>
          <w:sz w:val="24"/>
          <w:szCs w:val="24"/>
        </w:rPr>
        <w:t>(</w:t>
      </w:r>
      <w:proofErr w:type="spellStart"/>
      <w:r w:rsidR="00DA03C5">
        <w:rPr>
          <w:rFonts w:ascii="Arial" w:hAnsi="Arial" w:cs="Arial"/>
          <w:sz w:val="24"/>
          <w:szCs w:val="24"/>
        </w:rPr>
        <w:t>Bem</w:t>
      </w:r>
      <w:proofErr w:type="spellEnd"/>
      <w:r w:rsidR="00DA03C5">
        <w:rPr>
          <w:rFonts w:ascii="Arial" w:hAnsi="Arial" w:cs="Arial"/>
          <w:sz w:val="24"/>
          <w:szCs w:val="24"/>
        </w:rPr>
        <w:t xml:space="preserve">, 1981) </w:t>
      </w:r>
      <w:r>
        <w:rPr>
          <w:rFonts w:ascii="Arial" w:hAnsi="Arial" w:cs="Arial"/>
          <w:sz w:val="24"/>
          <w:szCs w:val="24"/>
        </w:rPr>
        <w:t>suggests that gender development is a process of self-identification, which means that the</w:t>
      </w:r>
      <w:r w:rsidR="00DA03C5">
        <w:rPr>
          <w:rFonts w:ascii="Arial" w:hAnsi="Arial" w:cs="Arial"/>
          <w:sz w:val="24"/>
          <w:szCs w:val="24"/>
        </w:rPr>
        <w:t xml:space="preserve"> individual is</w:t>
      </w:r>
      <w:r>
        <w:rPr>
          <w:rFonts w:ascii="Arial" w:hAnsi="Arial" w:cs="Arial"/>
          <w:sz w:val="24"/>
          <w:szCs w:val="24"/>
        </w:rPr>
        <w:t xml:space="preserve"> allowed to discover who they are and identify</w:t>
      </w:r>
      <w:r w:rsidR="00DA03C5">
        <w:rPr>
          <w:rFonts w:ascii="Arial" w:hAnsi="Arial" w:cs="Arial"/>
          <w:sz w:val="24"/>
          <w:szCs w:val="24"/>
        </w:rPr>
        <w:t xml:space="preserve"> themselves and</w:t>
      </w:r>
      <w:r>
        <w:rPr>
          <w:rFonts w:ascii="Arial" w:hAnsi="Arial" w:cs="Arial"/>
          <w:sz w:val="24"/>
          <w:szCs w:val="24"/>
        </w:rPr>
        <w:t xml:space="preserve"> others as male or female. This also suggests that this can change over the course of time and is influenced by the experiences of that individual</w:t>
      </w:r>
      <w:r w:rsidR="00DA03C5">
        <w:rPr>
          <w:rFonts w:ascii="Arial" w:hAnsi="Arial" w:cs="Arial"/>
          <w:sz w:val="24"/>
          <w:szCs w:val="24"/>
        </w:rPr>
        <w:t xml:space="preserve"> as these contribute to the gender schemata (</w:t>
      </w:r>
      <w:proofErr w:type="spellStart"/>
      <w:r w:rsidR="00DA03C5">
        <w:rPr>
          <w:rFonts w:ascii="Arial" w:hAnsi="Arial" w:cs="Arial"/>
          <w:sz w:val="24"/>
          <w:szCs w:val="24"/>
        </w:rPr>
        <w:t>Bem</w:t>
      </w:r>
      <w:proofErr w:type="spellEnd"/>
      <w:r w:rsidR="00DA03C5">
        <w:rPr>
          <w:rFonts w:ascii="Arial" w:hAnsi="Arial" w:cs="Arial"/>
          <w:sz w:val="24"/>
          <w:szCs w:val="24"/>
        </w:rPr>
        <w:t xml:space="preserve">, 1981). However, the challenge within this schema is that self-esteem acts as a regulator of behaviour, which in effect will rely </w:t>
      </w:r>
      <w:r w:rsidR="00EB22C4">
        <w:rPr>
          <w:rFonts w:ascii="Arial" w:hAnsi="Arial" w:cs="Arial"/>
          <w:sz w:val="24"/>
          <w:szCs w:val="24"/>
        </w:rPr>
        <w:t xml:space="preserve">on conforming with cultural and societal norms, so any differentiation of the self will be noted and adaption of behaviour can occur. This theory also proposes that within every individual they </w:t>
      </w:r>
      <w:r w:rsidR="00834F22">
        <w:rPr>
          <w:rFonts w:ascii="Arial" w:hAnsi="Arial" w:cs="Arial"/>
          <w:sz w:val="24"/>
          <w:szCs w:val="24"/>
        </w:rPr>
        <w:t>embody</w:t>
      </w:r>
      <w:r w:rsidR="00EB22C4">
        <w:rPr>
          <w:rFonts w:ascii="Arial" w:hAnsi="Arial" w:cs="Arial"/>
          <w:sz w:val="24"/>
          <w:szCs w:val="24"/>
        </w:rPr>
        <w:t xml:space="preserve"> the masculine and feminine, however these constructs derive from gender-based schematic processes rather than cognitive constructs (</w:t>
      </w:r>
      <w:proofErr w:type="spellStart"/>
      <w:r w:rsidR="00EB22C4">
        <w:rPr>
          <w:rFonts w:ascii="Arial" w:hAnsi="Arial" w:cs="Arial"/>
          <w:sz w:val="24"/>
          <w:szCs w:val="24"/>
        </w:rPr>
        <w:t>Bem</w:t>
      </w:r>
      <w:proofErr w:type="spellEnd"/>
      <w:r w:rsidR="00EB22C4">
        <w:rPr>
          <w:rFonts w:ascii="Arial" w:hAnsi="Arial" w:cs="Arial"/>
          <w:sz w:val="24"/>
          <w:szCs w:val="24"/>
        </w:rPr>
        <w:t>,</w:t>
      </w:r>
      <w:r w:rsidR="00525ED1">
        <w:rPr>
          <w:rFonts w:ascii="Arial" w:hAnsi="Arial" w:cs="Arial"/>
          <w:sz w:val="24"/>
          <w:szCs w:val="24"/>
        </w:rPr>
        <w:t xml:space="preserve"> </w:t>
      </w:r>
      <w:r w:rsidR="00EB22C4">
        <w:rPr>
          <w:rFonts w:ascii="Arial" w:hAnsi="Arial" w:cs="Arial"/>
          <w:sz w:val="24"/>
          <w:szCs w:val="24"/>
        </w:rPr>
        <w:t xml:space="preserve">1981). </w:t>
      </w:r>
      <w:r w:rsidR="00834F22">
        <w:rPr>
          <w:rFonts w:ascii="Arial" w:hAnsi="Arial" w:cs="Arial"/>
          <w:sz w:val="24"/>
          <w:szCs w:val="24"/>
        </w:rPr>
        <w:t xml:space="preserve">Therefore, it can be argued that the sense of self will still be validated by external sources and role models. </w:t>
      </w:r>
    </w:p>
    <w:p w14:paraId="61045BE6" w14:textId="77777777" w:rsidR="007362D8" w:rsidRDefault="007362D8" w:rsidP="00EB22C4">
      <w:pPr>
        <w:ind w:firstLine="720"/>
        <w:rPr>
          <w:rFonts w:ascii="Arial" w:hAnsi="Arial" w:cs="Arial"/>
          <w:sz w:val="24"/>
          <w:szCs w:val="24"/>
        </w:rPr>
      </w:pPr>
      <w:r>
        <w:rPr>
          <w:rFonts w:ascii="Arial" w:hAnsi="Arial" w:cs="Arial"/>
          <w:sz w:val="24"/>
          <w:szCs w:val="24"/>
        </w:rPr>
        <w:lastRenderedPageBreak/>
        <w:t>Gender identity within the LGBTQ community</w:t>
      </w:r>
      <w:r w:rsidR="00686463">
        <w:rPr>
          <w:rFonts w:ascii="Arial" w:hAnsi="Arial" w:cs="Arial"/>
          <w:sz w:val="24"/>
          <w:szCs w:val="24"/>
        </w:rPr>
        <w:t xml:space="preserve">, </w:t>
      </w:r>
      <w:r w:rsidR="007003A4">
        <w:rPr>
          <w:rFonts w:ascii="Arial" w:hAnsi="Arial" w:cs="Arial"/>
          <w:sz w:val="24"/>
          <w:szCs w:val="24"/>
        </w:rPr>
        <w:t xml:space="preserve">research suggests that the </w:t>
      </w:r>
      <w:r w:rsidR="00357689">
        <w:rPr>
          <w:rFonts w:ascii="Arial" w:hAnsi="Arial" w:cs="Arial"/>
          <w:sz w:val="24"/>
          <w:szCs w:val="24"/>
        </w:rPr>
        <w:t>social stigma shapes</w:t>
      </w:r>
      <w:r w:rsidR="007003A4">
        <w:rPr>
          <w:rFonts w:ascii="Arial" w:hAnsi="Arial" w:cs="Arial"/>
          <w:sz w:val="24"/>
          <w:szCs w:val="24"/>
        </w:rPr>
        <w:t xml:space="preserve"> </w:t>
      </w:r>
      <w:r w:rsidR="00357689">
        <w:rPr>
          <w:rFonts w:ascii="Arial" w:hAnsi="Arial" w:cs="Arial"/>
          <w:sz w:val="24"/>
          <w:szCs w:val="24"/>
        </w:rPr>
        <w:t xml:space="preserve">the individuals learned and internalised sense of self. </w:t>
      </w:r>
      <w:r w:rsidR="007003A4">
        <w:rPr>
          <w:rFonts w:ascii="Arial" w:hAnsi="Arial" w:cs="Arial"/>
          <w:sz w:val="24"/>
          <w:szCs w:val="24"/>
        </w:rPr>
        <w:t xml:space="preserve">Original theories by </w:t>
      </w:r>
      <w:r w:rsidR="00357689">
        <w:rPr>
          <w:rFonts w:ascii="Arial" w:hAnsi="Arial" w:cs="Arial"/>
          <w:sz w:val="24"/>
          <w:szCs w:val="24"/>
        </w:rPr>
        <w:t xml:space="preserve">Goffman (1963) states that the minority individuals believe that they are a failure and abnormal, this generally is formulated from social expectations of what is normal. </w:t>
      </w:r>
      <w:r w:rsidR="00C04B5F">
        <w:rPr>
          <w:rFonts w:ascii="Arial" w:hAnsi="Arial" w:cs="Arial"/>
          <w:sz w:val="24"/>
          <w:szCs w:val="24"/>
        </w:rPr>
        <w:t xml:space="preserve">Plummer </w:t>
      </w:r>
      <w:r w:rsidR="0028142E">
        <w:rPr>
          <w:rFonts w:ascii="Arial" w:hAnsi="Arial" w:cs="Arial"/>
          <w:sz w:val="24"/>
          <w:szCs w:val="24"/>
        </w:rPr>
        <w:t xml:space="preserve">(1975) </w:t>
      </w:r>
      <w:r w:rsidR="00C04B5F">
        <w:rPr>
          <w:rFonts w:ascii="Arial" w:hAnsi="Arial" w:cs="Arial"/>
          <w:sz w:val="24"/>
          <w:szCs w:val="24"/>
        </w:rPr>
        <w:t>states that individuals should seek liberation from their own internal</w:t>
      </w:r>
      <w:r w:rsidR="002B4436">
        <w:rPr>
          <w:rFonts w:ascii="Arial" w:hAnsi="Arial" w:cs="Arial"/>
          <w:sz w:val="24"/>
          <w:szCs w:val="24"/>
        </w:rPr>
        <w:t>ised</w:t>
      </w:r>
      <w:r w:rsidR="00C04B5F">
        <w:rPr>
          <w:rFonts w:ascii="Arial" w:hAnsi="Arial" w:cs="Arial"/>
          <w:sz w:val="24"/>
          <w:szCs w:val="24"/>
        </w:rPr>
        <w:t xml:space="preserve"> </w:t>
      </w:r>
      <w:r w:rsidR="002B4436">
        <w:rPr>
          <w:rFonts w:ascii="Arial" w:hAnsi="Arial" w:cs="Arial"/>
          <w:sz w:val="24"/>
          <w:szCs w:val="24"/>
        </w:rPr>
        <w:t>domination</w:t>
      </w:r>
      <w:r w:rsidR="00C04B5F">
        <w:rPr>
          <w:rFonts w:ascii="Arial" w:hAnsi="Arial" w:cs="Arial"/>
          <w:sz w:val="24"/>
          <w:szCs w:val="24"/>
        </w:rPr>
        <w:t xml:space="preserve"> of their sex and sexuality</w:t>
      </w:r>
      <w:r w:rsidR="0028142E">
        <w:rPr>
          <w:rFonts w:ascii="Arial" w:hAnsi="Arial" w:cs="Arial"/>
          <w:sz w:val="24"/>
          <w:szCs w:val="24"/>
        </w:rPr>
        <w:t xml:space="preserve"> and gain support from people within their group. </w:t>
      </w:r>
      <w:r w:rsidR="00D4781A">
        <w:rPr>
          <w:rFonts w:ascii="Arial" w:hAnsi="Arial" w:cs="Arial"/>
          <w:sz w:val="24"/>
          <w:szCs w:val="24"/>
        </w:rPr>
        <w:t xml:space="preserve">Forming a positive self-concept is required for total acceptance. </w:t>
      </w:r>
      <w:r w:rsidR="007003A4">
        <w:rPr>
          <w:rFonts w:ascii="Arial" w:hAnsi="Arial" w:cs="Arial"/>
          <w:sz w:val="24"/>
          <w:szCs w:val="24"/>
        </w:rPr>
        <w:t xml:space="preserve">Issacs </w:t>
      </w:r>
      <w:r w:rsidR="004C05D7">
        <w:rPr>
          <w:rFonts w:ascii="Arial" w:hAnsi="Arial" w:cs="Arial"/>
          <w:sz w:val="24"/>
          <w:szCs w:val="24"/>
        </w:rPr>
        <w:t>and McKendrick (1992) model on gay male identity formation suggest that self-identity and the final stage of self-commitment and acceptance is from the age 19-65 years old.</w:t>
      </w:r>
      <w:r w:rsidR="00DB218F">
        <w:rPr>
          <w:rFonts w:ascii="Arial" w:hAnsi="Arial" w:cs="Arial"/>
          <w:sz w:val="24"/>
          <w:szCs w:val="24"/>
        </w:rPr>
        <w:t xml:space="preserve"> </w:t>
      </w:r>
      <w:proofErr w:type="spellStart"/>
      <w:r w:rsidR="00DB218F">
        <w:rPr>
          <w:rFonts w:ascii="Arial" w:hAnsi="Arial" w:cs="Arial"/>
          <w:sz w:val="24"/>
          <w:szCs w:val="24"/>
        </w:rPr>
        <w:t>Devor</w:t>
      </w:r>
      <w:proofErr w:type="spellEnd"/>
      <w:r w:rsidR="00DB218F">
        <w:rPr>
          <w:rFonts w:ascii="Arial" w:hAnsi="Arial" w:cs="Arial"/>
          <w:sz w:val="24"/>
          <w:szCs w:val="24"/>
        </w:rPr>
        <w:t xml:space="preserve"> (1997) model discuss transgender as a delayed developmental stage, but also notes two stages of identity formation, witnessing, which is discussed as being objective, external validation and mirroring, which is seeing yourself through someone who is similar. Again, demonstrating the social process involved with validation, however the difference within these models on LGBTQ suggests that gender is first developed followed by sexuality identification. </w:t>
      </w:r>
    </w:p>
    <w:p w14:paraId="1EA0F545" w14:textId="77777777" w:rsidR="001A53C2" w:rsidRDefault="00F54C53" w:rsidP="0094059B">
      <w:pPr>
        <w:ind w:firstLine="720"/>
        <w:rPr>
          <w:rFonts w:ascii="Arial" w:hAnsi="Arial" w:cs="Arial"/>
          <w:sz w:val="24"/>
          <w:szCs w:val="24"/>
        </w:rPr>
      </w:pPr>
      <w:r>
        <w:rPr>
          <w:rFonts w:ascii="Arial" w:hAnsi="Arial" w:cs="Arial"/>
          <w:sz w:val="24"/>
          <w:szCs w:val="24"/>
        </w:rPr>
        <w:t>In conclusion</w:t>
      </w:r>
      <w:r w:rsidR="00834F22">
        <w:rPr>
          <w:rFonts w:ascii="Arial" w:hAnsi="Arial" w:cs="Arial"/>
          <w:sz w:val="24"/>
          <w:szCs w:val="24"/>
        </w:rPr>
        <w:t xml:space="preserve">, </w:t>
      </w:r>
      <w:r w:rsidR="00BC0E64">
        <w:rPr>
          <w:rFonts w:ascii="Arial" w:hAnsi="Arial" w:cs="Arial"/>
          <w:sz w:val="24"/>
          <w:szCs w:val="24"/>
        </w:rPr>
        <w:t>gender is</w:t>
      </w:r>
      <w:r w:rsidR="00737022">
        <w:rPr>
          <w:rFonts w:ascii="Arial" w:hAnsi="Arial" w:cs="Arial"/>
          <w:sz w:val="24"/>
          <w:szCs w:val="24"/>
        </w:rPr>
        <w:t xml:space="preserve"> usually</w:t>
      </w:r>
      <w:r w:rsidR="00BC0E64">
        <w:rPr>
          <w:rFonts w:ascii="Arial" w:hAnsi="Arial" w:cs="Arial"/>
          <w:sz w:val="24"/>
          <w:szCs w:val="24"/>
        </w:rPr>
        <w:t xml:space="preserve"> identified amongst society </w:t>
      </w:r>
      <w:r w:rsidR="003C5E4B">
        <w:rPr>
          <w:rFonts w:ascii="Arial" w:hAnsi="Arial" w:cs="Arial"/>
          <w:sz w:val="24"/>
          <w:szCs w:val="24"/>
        </w:rPr>
        <w:t>as the biological</w:t>
      </w:r>
      <w:r w:rsidR="00737022">
        <w:rPr>
          <w:rFonts w:ascii="Arial" w:hAnsi="Arial" w:cs="Arial"/>
          <w:sz w:val="24"/>
          <w:szCs w:val="24"/>
        </w:rPr>
        <w:t xml:space="preserve"> reproductive parts of a male or female, however this alone is not the sole contribution to gender identity. It is also contributed to by the prescriptive and descriptive traits of each gender. </w:t>
      </w:r>
      <w:r>
        <w:rPr>
          <w:rFonts w:ascii="Arial" w:hAnsi="Arial" w:cs="Arial"/>
          <w:sz w:val="24"/>
          <w:szCs w:val="24"/>
        </w:rPr>
        <w:t xml:space="preserve">This would also suggest that identities are flexible, </w:t>
      </w:r>
      <w:r w:rsidR="00732E06">
        <w:rPr>
          <w:rFonts w:ascii="Arial" w:hAnsi="Arial" w:cs="Arial"/>
          <w:sz w:val="24"/>
          <w:szCs w:val="24"/>
        </w:rPr>
        <w:t xml:space="preserve">and that the nature versus nurture debate, and the trio of biology, self-verification and environment contribute greatly to our identity. </w:t>
      </w:r>
      <w:r w:rsidR="003C2A22">
        <w:rPr>
          <w:rFonts w:ascii="Arial" w:hAnsi="Arial" w:cs="Arial"/>
          <w:sz w:val="24"/>
          <w:szCs w:val="24"/>
        </w:rPr>
        <w:t xml:space="preserve">Gender appears to be a way of labelling individuals in order to group them together in a way to identify whether we belong (in-group) or to class them as the others (out-group) which can lead onto acts of prejudice and discrimination. Even though all life should in theory be treated equally, this does not seem to be the case within society, it would appear that even though legislation, institutional guidelines have been updated in line with current time, the problems still occur where people are not treated equally. </w:t>
      </w:r>
      <w:r w:rsidR="003C5E4B">
        <w:rPr>
          <w:rFonts w:ascii="Arial" w:hAnsi="Arial" w:cs="Arial"/>
          <w:sz w:val="24"/>
          <w:szCs w:val="24"/>
        </w:rPr>
        <w:t>The DSM – IV categorising severe issues with gender identity as me</w:t>
      </w:r>
      <w:r w:rsidR="007B6CA8">
        <w:rPr>
          <w:rFonts w:ascii="Arial" w:hAnsi="Arial" w:cs="Arial"/>
          <w:sz w:val="24"/>
          <w:szCs w:val="24"/>
        </w:rPr>
        <w:t>n</w:t>
      </w:r>
      <w:r w:rsidR="003C5E4B">
        <w:rPr>
          <w:rFonts w:ascii="Arial" w:hAnsi="Arial" w:cs="Arial"/>
          <w:sz w:val="24"/>
          <w:szCs w:val="24"/>
        </w:rPr>
        <w:t xml:space="preserve">tal health problems, such as those with gender dysphoria. </w:t>
      </w:r>
      <w:r w:rsidR="003C2A22">
        <w:rPr>
          <w:rFonts w:ascii="Arial" w:hAnsi="Arial" w:cs="Arial"/>
          <w:sz w:val="24"/>
          <w:szCs w:val="24"/>
        </w:rPr>
        <w:t>With a vast amount of theories on where an individuals sense of self derives from, it would appear that a trio of our sense of self, the group in which we identify and the role in which we play within that group all overlap.</w:t>
      </w:r>
    </w:p>
    <w:p w14:paraId="7F4667CF" w14:textId="32314849" w:rsidR="007C6145" w:rsidRDefault="003C2A22" w:rsidP="0094059B">
      <w:pPr>
        <w:ind w:firstLine="720"/>
        <w:rPr>
          <w:rFonts w:ascii="Arial" w:hAnsi="Arial" w:cs="Arial"/>
          <w:sz w:val="24"/>
          <w:szCs w:val="24"/>
        </w:rPr>
      </w:pPr>
      <w:r>
        <w:rPr>
          <w:rFonts w:ascii="Arial" w:hAnsi="Arial" w:cs="Arial"/>
          <w:sz w:val="24"/>
          <w:szCs w:val="24"/>
        </w:rPr>
        <w:t xml:space="preserve">Whilst the original theories such as identity theory, social identity theory and gender identity theory were all pioneering of their time, it would be more fitting for Isaac and </w:t>
      </w:r>
      <w:proofErr w:type="spellStart"/>
      <w:r>
        <w:rPr>
          <w:rFonts w:ascii="Arial" w:hAnsi="Arial" w:cs="Arial"/>
          <w:sz w:val="24"/>
          <w:szCs w:val="24"/>
        </w:rPr>
        <w:t>McKendricks</w:t>
      </w:r>
      <w:proofErr w:type="spellEnd"/>
      <w:r>
        <w:rPr>
          <w:rFonts w:ascii="Arial" w:hAnsi="Arial" w:cs="Arial"/>
          <w:sz w:val="24"/>
          <w:szCs w:val="24"/>
        </w:rPr>
        <w:t xml:space="preserve"> (1992) theory could be argued to be more developed and understanding of todays diversity of </w:t>
      </w:r>
      <w:r w:rsidR="00D145D7">
        <w:rPr>
          <w:rFonts w:ascii="Arial" w:hAnsi="Arial" w:cs="Arial"/>
          <w:sz w:val="24"/>
          <w:szCs w:val="24"/>
        </w:rPr>
        <w:t>the different range of genders of todays society. However, every model does also suggest that even though self-validation is vital for self-identification, that societal and cultural norms and positive experiences contribute greatly to this.</w:t>
      </w:r>
      <w:r w:rsidR="001A53C2">
        <w:rPr>
          <w:rFonts w:ascii="Arial" w:hAnsi="Arial" w:cs="Arial"/>
          <w:sz w:val="24"/>
          <w:szCs w:val="24"/>
        </w:rPr>
        <w:t xml:space="preserve"> Contributing to the continuation of identity politics a</w:t>
      </w:r>
      <w:r w:rsidR="001A53C2">
        <w:rPr>
          <w:rFonts w:ascii="Arial" w:hAnsi="Arial" w:cs="Arial"/>
          <w:sz w:val="24"/>
          <w:szCs w:val="24"/>
        </w:rPr>
        <w:t>nd with perspectives such as one person’s gains is another person’s losses, identity politics will continue to face controversy</w:t>
      </w:r>
      <w:r w:rsidR="001A53C2">
        <w:rPr>
          <w:rFonts w:ascii="Arial" w:hAnsi="Arial" w:cs="Arial"/>
          <w:sz w:val="24"/>
          <w:szCs w:val="24"/>
        </w:rPr>
        <w:t xml:space="preserve">. </w:t>
      </w:r>
      <w:r w:rsidR="0094059B">
        <w:rPr>
          <w:rFonts w:ascii="Arial" w:hAnsi="Arial" w:cs="Arial"/>
          <w:sz w:val="24"/>
          <w:szCs w:val="24"/>
        </w:rPr>
        <w:t xml:space="preserve">Additionally, if personality traits should cease to be defined as having gender properties and if society was able to stop projecting gender traits based on genitalia, our femaleness and maleness would come from self-validation or consciousness and may result in a less problematic society. This way of functioning would be more </w:t>
      </w:r>
      <w:proofErr w:type="spellStart"/>
      <w:r w:rsidR="0094059B">
        <w:rPr>
          <w:rFonts w:ascii="Arial" w:hAnsi="Arial" w:cs="Arial"/>
          <w:sz w:val="24"/>
          <w:szCs w:val="24"/>
        </w:rPr>
        <w:t>aschematic</w:t>
      </w:r>
      <w:proofErr w:type="spellEnd"/>
      <w:r w:rsidR="0094059B">
        <w:rPr>
          <w:rFonts w:ascii="Arial" w:hAnsi="Arial" w:cs="Arial"/>
          <w:sz w:val="24"/>
          <w:szCs w:val="24"/>
        </w:rPr>
        <w:t xml:space="preserve"> (</w:t>
      </w:r>
      <w:proofErr w:type="spellStart"/>
      <w:r w:rsidR="0094059B">
        <w:rPr>
          <w:rFonts w:ascii="Arial" w:hAnsi="Arial" w:cs="Arial"/>
          <w:sz w:val="24"/>
          <w:szCs w:val="24"/>
        </w:rPr>
        <w:t>Bem</w:t>
      </w:r>
      <w:proofErr w:type="spellEnd"/>
      <w:r w:rsidR="0094059B">
        <w:rPr>
          <w:rFonts w:ascii="Arial" w:hAnsi="Arial" w:cs="Arial"/>
          <w:sz w:val="24"/>
          <w:szCs w:val="24"/>
        </w:rPr>
        <w:t>, 1981)</w:t>
      </w:r>
      <w:r w:rsidR="001A53C2">
        <w:rPr>
          <w:rFonts w:ascii="Arial" w:hAnsi="Arial" w:cs="Arial"/>
          <w:sz w:val="24"/>
          <w:szCs w:val="24"/>
        </w:rPr>
        <w:t xml:space="preserve">. </w:t>
      </w:r>
      <w:r w:rsidR="007C6145">
        <w:rPr>
          <w:rFonts w:ascii="Arial" w:hAnsi="Arial" w:cs="Arial"/>
          <w:sz w:val="24"/>
          <w:szCs w:val="24"/>
        </w:rPr>
        <w:t xml:space="preserve">Freedom is not the potential </w:t>
      </w:r>
      <w:r w:rsidR="009C2811">
        <w:rPr>
          <w:rFonts w:ascii="Arial" w:hAnsi="Arial" w:cs="Arial"/>
          <w:sz w:val="24"/>
          <w:szCs w:val="24"/>
        </w:rPr>
        <w:t>which lays in waiting to be performed</w:t>
      </w:r>
      <w:r w:rsidR="004562E9">
        <w:rPr>
          <w:rFonts w:ascii="Arial" w:hAnsi="Arial" w:cs="Arial"/>
          <w:sz w:val="24"/>
          <w:szCs w:val="24"/>
        </w:rPr>
        <w:t xml:space="preserve"> by an individual</w:t>
      </w:r>
      <w:r w:rsidR="009C2811">
        <w:rPr>
          <w:rFonts w:ascii="Arial" w:hAnsi="Arial" w:cs="Arial"/>
          <w:sz w:val="24"/>
          <w:szCs w:val="24"/>
        </w:rPr>
        <w:t xml:space="preserve">, it is the expression of </w:t>
      </w:r>
      <w:r w:rsidR="009C2811">
        <w:rPr>
          <w:rFonts w:ascii="Arial" w:hAnsi="Arial" w:cs="Arial"/>
          <w:sz w:val="24"/>
          <w:szCs w:val="24"/>
        </w:rPr>
        <w:lastRenderedPageBreak/>
        <w:t xml:space="preserve">freedom, </w:t>
      </w:r>
      <w:r w:rsidR="00E111CB">
        <w:rPr>
          <w:rFonts w:ascii="Arial" w:hAnsi="Arial" w:cs="Arial"/>
          <w:sz w:val="24"/>
          <w:szCs w:val="24"/>
        </w:rPr>
        <w:t xml:space="preserve">is </w:t>
      </w:r>
      <w:r w:rsidR="009C2811">
        <w:rPr>
          <w:rFonts w:ascii="Arial" w:hAnsi="Arial" w:cs="Arial"/>
          <w:sz w:val="24"/>
          <w:szCs w:val="24"/>
        </w:rPr>
        <w:t>the act in itself. So by limiting gender identity to male or female this is essentially removing the freedom to exercise that right to be what you chose. Additionally, the gender role that society and institutes stipulate of those genders place pressures to those individuals who do not conform</w:t>
      </w:r>
      <w:r w:rsidR="001A53C2">
        <w:rPr>
          <w:rFonts w:ascii="Arial" w:hAnsi="Arial" w:cs="Arial"/>
          <w:sz w:val="24"/>
          <w:szCs w:val="24"/>
        </w:rPr>
        <w:t xml:space="preserve">, and the political standings will continue to strive for better equality as one life is still not more valid than another, and should not be treated as such. </w:t>
      </w:r>
    </w:p>
    <w:p w14:paraId="4B09678F" w14:textId="77777777" w:rsidR="00551AA8" w:rsidRDefault="00F324A6" w:rsidP="00F324A6">
      <w:pPr>
        <w:rPr>
          <w:rFonts w:ascii="Arial" w:hAnsi="Arial" w:cs="Arial"/>
          <w:sz w:val="24"/>
          <w:szCs w:val="24"/>
        </w:rPr>
      </w:pPr>
      <w:r>
        <w:rPr>
          <w:rFonts w:ascii="Arial" w:hAnsi="Arial" w:cs="Arial"/>
          <w:sz w:val="24"/>
          <w:szCs w:val="24"/>
        </w:rPr>
        <w:tab/>
        <w:t xml:space="preserve"> </w:t>
      </w:r>
    </w:p>
    <w:p w14:paraId="42D6C06D" w14:textId="77777777" w:rsidR="002A04A9" w:rsidRDefault="002A04A9" w:rsidP="00F324A6">
      <w:pPr>
        <w:rPr>
          <w:rFonts w:ascii="Arial" w:hAnsi="Arial" w:cs="Arial"/>
          <w:sz w:val="24"/>
          <w:szCs w:val="24"/>
        </w:rPr>
      </w:pPr>
    </w:p>
    <w:p w14:paraId="43A0E984" w14:textId="77777777" w:rsidR="002A04A9" w:rsidRDefault="002A04A9" w:rsidP="00F324A6">
      <w:pPr>
        <w:rPr>
          <w:rFonts w:ascii="Arial" w:hAnsi="Arial" w:cs="Arial"/>
          <w:sz w:val="24"/>
          <w:szCs w:val="24"/>
        </w:rPr>
      </w:pPr>
    </w:p>
    <w:p w14:paraId="0F2B5794" w14:textId="77777777" w:rsidR="002A04A9" w:rsidRDefault="002A04A9" w:rsidP="00F324A6">
      <w:pPr>
        <w:rPr>
          <w:rFonts w:ascii="Arial" w:hAnsi="Arial" w:cs="Arial"/>
          <w:sz w:val="24"/>
          <w:szCs w:val="24"/>
        </w:rPr>
      </w:pPr>
    </w:p>
    <w:p w14:paraId="0CCB8E74" w14:textId="77777777" w:rsidR="002A04A9" w:rsidRDefault="002A04A9" w:rsidP="00F324A6">
      <w:pPr>
        <w:rPr>
          <w:rFonts w:ascii="Arial" w:hAnsi="Arial" w:cs="Arial"/>
          <w:sz w:val="24"/>
          <w:szCs w:val="24"/>
        </w:rPr>
      </w:pPr>
    </w:p>
    <w:p w14:paraId="7824A8C4" w14:textId="77777777" w:rsidR="002A04A9" w:rsidRDefault="002A04A9" w:rsidP="00F324A6">
      <w:pPr>
        <w:rPr>
          <w:rFonts w:ascii="Arial" w:hAnsi="Arial" w:cs="Arial"/>
          <w:sz w:val="24"/>
          <w:szCs w:val="24"/>
        </w:rPr>
      </w:pPr>
    </w:p>
    <w:p w14:paraId="316B62FC" w14:textId="77777777" w:rsidR="002A04A9" w:rsidRDefault="002A04A9" w:rsidP="00F324A6">
      <w:pPr>
        <w:rPr>
          <w:rFonts w:ascii="Arial" w:hAnsi="Arial" w:cs="Arial"/>
          <w:sz w:val="24"/>
          <w:szCs w:val="24"/>
        </w:rPr>
      </w:pPr>
    </w:p>
    <w:p w14:paraId="7FC13A14" w14:textId="77777777" w:rsidR="002A04A9" w:rsidRDefault="002A04A9" w:rsidP="00F324A6">
      <w:pPr>
        <w:rPr>
          <w:rFonts w:ascii="Arial" w:hAnsi="Arial" w:cs="Arial"/>
          <w:sz w:val="24"/>
          <w:szCs w:val="24"/>
        </w:rPr>
      </w:pPr>
    </w:p>
    <w:p w14:paraId="32DE1DFB" w14:textId="200E4787" w:rsidR="002A04A9" w:rsidRDefault="002A04A9" w:rsidP="00F324A6">
      <w:pPr>
        <w:rPr>
          <w:rFonts w:ascii="Arial" w:hAnsi="Arial" w:cs="Arial"/>
          <w:sz w:val="24"/>
          <w:szCs w:val="24"/>
        </w:rPr>
      </w:pPr>
    </w:p>
    <w:p w14:paraId="5EDAC91A" w14:textId="0A61DA18" w:rsidR="00986E77" w:rsidRDefault="00986E77" w:rsidP="00F324A6">
      <w:pPr>
        <w:rPr>
          <w:rFonts w:ascii="Arial" w:hAnsi="Arial" w:cs="Arial"/>
          <w:sz w:val="24"/>
          <w:szCs w:val="24"/>
        </w:rPr>
      </w:pPr>
    </w:p>
    <w:p w14:paraId="66F8708E" w14:textId="6402ED5F" w:rsidR="00986E77" w:rsidRDefault="00986E77" w:rsidP="00F324A6">
      <w:pPr>
        <w:rPr>
          <w:rFonts w:ascii="Arial" w:hAnsi="Arial" w:cs="Arial"/>
          <w:sz w:val="24"/>
          <w:szCs w:val="24"/>
        </w:rPr>
      </w:pPr>
    </w:p>
    <w:p w14:paraId="5F594408" w14:textId="7E93BDAB" w:rsidR="00986E77" w:rsidRDefault="00986E77" w:rsidP="00F324A6">
      <w:pPr>
        <w:rPr>
          <w:rFonts w:ascii="Arial" w:hAnsi="Arial" w:cs="Arial"/>
          <w:sz w:val="24"/>
          <w:szCs w:val="24"/>
        </w:rPr>
      </w:pPr>
    </w:p>
    <w:p w14:paraId="04E0565D" w14:textId="2D5DF066" w:rsidR="00986E77" w:rsidRDefault="00986E77" w:rsidP="00F324A6">
      <w:pPr>
        <w:rPr>
          <w:rFonts w:ascii="Arial" w:hAnsi="Arial" w:cs="Arial"/>
          <w:sz w:val="24"/>
          <w:szCs w:val="24"/>
        </w:rPr>
      </w:pPr>
    </w:p>
    <w:p w14:paraId="07DC3EE4" w14:textId="27656F65" w:rsidR="00986E77" w:rsidRDefault="00986E77" w:rsidP="00F324A6">
      <w:pPr>
        <w:rPr>
          <w:rFonts w:ascii="Arial" w:hAnsi="Arial" w:cs="Arial"/>
          <w:sz w:val="24"/>
          <w:szCs w:val="24"/>
        </w:rPr>
      </w:pPr>
    </w:p>
    <w:p w14:paraId="796F42DD" w14:textId="3C651BEF" w:rsidR="00986E77" w:rsidRDefault="00986E77" w:rsidP="00F324A6">
      <w:pPr>
        <w:rPr>
          <w:rFonts w:ascii="Arial" w:hAnsi="Arial" w:cs="Arial"/>
          <w:sz w:val="24"/>
          <w:szCs w:val="24"/>
        </w:rPr>
      </w:pPr>
    </w:p>
    <w:p w14:paraId="0DED7F36" w14:textId="6B35F6DB" w:rsidR="00986E77" w:rsidRDefault="00986E77" w:rsidP="00F324A6">
      <w:pPr>
        <w:rPr>
          <w:rFonts w:ascii="Arial" w:hAnsi="Arial" w:cs="Arial"/>
          <w:sz w:val="24"/>
          <w:szCs w:val="24"/>
        </w:rPr>
      </w:pPr>
    </w:p>
    <w:p w14:paraId="104C3143" w14:textId="560A9B00" w:rsidR="00986E77" w:rsidRDefault="00986E77" w:rsidP="00F324A6">
      <w:pPr>
        <w:rPr>
          <w:rFonts w:ascii="Arial" w:hAnsi="Arial" w:cs="Arial"/>
          <w:sz w:val="24"/>
          <w:szCs w:val="24"/>
        </w:rPr>
      </w:pPr>
    </w:p>
    <w:p w14:paraId="6FE929A9" w14:textId="5EF0305A" w:rsidR="00986E77" w:rsidRDefault="00986E77" w:rsidP="00F324A6">
      <w:pPr>
        <w:rPr>
          <w:rFonts w:ascii="Arial" w:hAnsi="Arial" w:cs="Arial"/>
          <w:sz w:val="24"/>
          <w:szCs w:val="24"/>
        </w:rPr>
      </w:pPr>
    </w:p>
    <w:p w14:paraId="3F7BE58E" w14:textId="0F2251E7" w:rsidR="00986E77" w:rsidRDefault="00986E77" w:rsidP="00F324A6">
      <w:pPr>
        <w:rPr>
          <w:rFonts w:ascii="Arial" w:hAnsi="Arial" w:cs="Arial"/>
          <w:sz w:val="24"/>
          <w:szCs w:val="24"/>
        </w:rPr>
      </w:pPr>
    </w:p>
    <w:p w14:paraId="32ACD22D" w14:textId="2B07D839" w:rsidR="00986E77" w:rsidRDefault="00986E77" w:rsidP="00F324A6">
      <w:pPr>
        <w:rPr>
          <w:rFonts w:ascii="Arial" w:hAnsi="Arial" w:cs="Arial"/>
          <w:sz w:val="24"/>
          <w:szCs w:val="24"/>
        </w:rPr>
      </w:pPr>
    </w:p>
    <w:p w14:paraId="66FECE4F" w14:textId="583D911A" w:rsidR="00986E77" w:rsidRDefault="00986E77" w:rsidP="00F324A6">
      <w:pPr>
        <w:rPr>
          <w:rFonts w:ascii="Arial" w:hAnsi="Arial" w:cs="Arial"/>
          <w:sz w:val="24"/>
          <w:szCs w:val="24"/>
        </w:rPr>
      </w:pPr>
    </w:p>
    <w:p w14:paraId="4CF47B92" w14:textId="5A3563CF" w:rsidR="00986E77" w:rsidRDefault="00986E77" w:rsidP="00F324A6">
      <w:pPr>
        <w:rPr>
          <w:rFonts w:ascii="Arial" w:hAnsi="Arial" w:cs="Arial"/>
          <w:sz w:val="24"/>
          <w:szCs w:val="24"/>
        </w:rPr>
      </w:pPr>
    </w:p>
    <w:p w14:paraId="4D42D8E3" w14:textId="18874A65" w:rsidR="00986E77" w:rsidRDefault="00986E77" w:rsidP="00F324A6">
      <w:pPr>
        <w:rPr>
          <w:rFonts w:ascii="Arial" w:hAnsi="Arial" w:cs="Arial"/>
          <w:sz w:val="24"/>
          <w:szCs w:val="24"/>
        </w:rPr>
      </w:pPr>
    </w:p>
    <w:p w14:paraId="193DB493" w14:textId="6F45217F" w:rsidR="00986E77" w:rsidRDefault="00986E77" w:rsidP="00F324A6">
      <w:pPr>
        <w:rPr>
          <w:rFonts w:ascii="Arial" w:hAnsi="Arial" w:cs="Arial"/>
          <w:sz w:val="24"/>
          <w:szCs w:val="24"/>
        </w:rPr>
      </w:pPr>
    </w:p>
    <w:p w14:paraId="4A230AE2" w14:textId="3D6562C8" w:rsidR="00986E77" w:rsidRDefault="00986E77" w:rsidP="00F324A6">
      <w:pPr>
        <w:rPr>
          <w:rFonts w:ascii="Arial" w:hAnsi="Arial" w:cs="Arial"/>
          <w:sz w:val="24"/>
          <w:szCs w:val="24"/>
        </w:rPr>
      </w:pPr>
    </w:p>
    <w:p w14:paraId="42748CF9" w14:textId="77777777" w:rsidR="00986E77" w:rsidRDefault="00986E77" w:rsidP="00F324A6">
      <w:pPr>
        <w:rPr>
          <w:rFonts w:ascii="Arial" w:hAnsi="Arial" w:cs="Arial"/>
          <w:sz w:val="24"/>
          <w:szCs w:val="24"/>
        </w:rPr>
      </w:pPr>
    </w:p>
    <w:sdt>
      <w:sdtPr>
        <w:rPr>
          <w:rFonts w:asciiTheme="minorHAnsi" w:eastAsiaTheme="minorHAnsi" w:hAnsiTheme="minorHAnsi" w:cstheme="minorBidi"/>
          <w:color w:val="auto"/>
          <w:sz w:val="22"/>
          <w:szCs w:val="22"/>
          <w:lang w:val="en-GB"/>
        </w:rPr>
        <w:id w:val="-606969759"/>
        <w:docPartObj>
          <w:docPartGallery w:val="Bibliographies"/>
          <w:docPartUnique/>
        </w:docPartObj>
      </w:sdtPr>
      <w:sdtEndPr/>
      <w:sdtContent>
        <w:p w14:paraId="0E3104D2" w14:textId="77777777" w:rsidR="002A04A9" w:rsidRDefault="002A04A9">
          <w:pPr>
            <w:pStyle w:val="Heading1"/>
          </w:pPr>
          <w:r>
            <w:t>References</w:t>
          </w:r>
        </w:p>
        <w:sdt>
          <w:sdtPr>
            <w:id w:val="-573587230"/>
            <w:bibliography/>
          </w:sdtPr>
          <w:sdtEndPr/>
          <w:sdtContent>
            <w:p w14:paraId="573F0030" w14:textId="77777777" w:rsidR="00661B2A" w:rsidRDefault="002A04A9" w:rsidP="00661B2A">
              <w:pPr>
                <w:pStyle w:val="Bibliography"/>
                <w:ind w:left="720" w:hanging="720"/>
                <w:rPr>
                  <w:noProof/>
                  <w:sz w:val="24"/>
                  <w:szCs w:val="24"/>
                  <w:lang w:val="en-US"/>
                </w:rPr>
              </w:pPr>
              <w:r>
                <w:fldChar w:fldCharType="begin"/>
              </w:r>
              <w:r>
                <w:instrText xml:space="preserve"> BIBLIOGRAPHY </w:instrText>
              </w:r>
              <w:r>
                <w:fldChar w:fldCharType="separate"/>
              </w:r>
              <w:r w:rsidR="00661B2A">
                <w:rPr>
                  <w:noProof/>
                  <w:lang w:val="en-US"/>
                </w:rPr>
                <w:t xml:space="preserve">American psychological association . (2013). </w:t>
              </w:r>
              <w:r w:rsidR="00661B2A">
                <w:rPr>
                  <w:i/>
                  <w:iCs/>
                  <w:noProof/>
                  <w:lang w:val="en-US"/>
                </w:rPr>
                <w:t>Diagnostic and ststistical manual of mental disorders, 5th (Eds).</w:t>
              </w:r>
              <w:r w:rsidR="00661B2A">
                <w:rPr>
                  <w:noProof/>
                  <w:lang w:val="en-US"/>
                </w:rPr>
                <w:t xml:space="preserve"> Arlington: American psychological association .</w:t>
              </w:r>
            </w:p>
            <w:p w14:paraId="26F71625" w14:textId="77777777" w:rsidR="00661B2A" w:rsidRDefault="00661B2A" w:rsidP="00661B2A">
              <w:pPr>
                <w:pStyle w:val="Bibliography"/>
                <w:ind w:left="720" w:hanging="720"/>
                <w:rPr>
                  <w:noProof/>
                  <w:lang w:val="en-US"/>
                </w:rPr>
              </w:pPr>
              <w:r>
                <w:rPr>
                  <w:noProof/>
                  <w:lang w:val="en-US"/>
                </w:rPr>
                <w:t xml:space="preserve">American Psychological Association Division 44 &amp; Committee on Lesbian, Gay and Bisexual Concerns Joint Task Force on Guidelines for Psychotherapy with Lesbian, Gay and Bisexual Clients. (2000). Guidelines for psychotherapy with lesbian, gay and bisexual clients . </w:t>
              </w:r>
              <w:r>
                <w:rPr>
                  <w:i/>
                  <w:iCs/>
                  <w:noProof/>
                  <w:lang w:val="en-US"/>
                </w:rPr>
                <w:t xml:space="preserve">American psychologist </w:t>
              </w:r>
              <w:r>
                <w:rPr>
                  <w:noProof/>
                  <w:lang w:val="en-US"/>
                </w:rPr>
                <w:t>, 55, 1440–1451.</w:t>
              </w:r>
            </w:p>
            <w:p w14:paraId="701941B6" w14:textId="77777777" w:rsidR="00661B2A" w:rsidRDefault="00661B2A" w:rsidP="00661B2A">
              <w:pPr>
                <w:pStyle w:val="Bibliography"/>
                <w:ind w:left="720" w:hanging="720"/>
                <w:rPr>
                  <w:noProof/>
                  <w:lang w:val="en-US"/>
                </w:rPr>
              </w:pPr>
              <w:r>
                <w:rPr>
                  <w:noProof/>
                  <w:lang w:val="en-US"/>
                </w:rPr>
                <w:t xml:space="preserve">Bem, S. L. (1981). Gender schema theory: A cognitive account of sex typing. </w:t>
              </w:r>
              <w:r>
                <w:rPr>
                  <w:i/>
                  <w:iCs/>
                  <w:noProof/>
                  <w:lang w:val="en-US"/>
                </w:rPr>
                <w:t>Psychological review</w:t>
              </w:r>
              <w:r>
                <w:rPr>
                  <w:noProof/>
                  <w:lang w:val="en-US"/>
                </w:rPr>
                <w:t>, 88(4), 354.</w:t>
              </w:r>
            </w:p>
            <w:p w14:paraId="13FACCC5" w14:textId="77777777" w:rsidR="00661B2A" w:rsidRDefault="00661B2A" w:rsidP="00661B2A">
              <w:pPr>
                <w:pStyle w:val="Bibliography"/>
                <w:ind w:left="720" w:hanging="720"/>
                <w:rPr>
                  <w:noProof/>
                  <w:lang w:val="en-US"/>
                </w:rPr>
              </w:pPr>
              <w:r>
                <w:rPr>
                  <w:noProof/>
                  <w:lang w:val="en-US"/>
                </w:rPr>
                <w:t xml:space="preserve">British Psychological society. (2019). </w:t>
              </w:r>
              <w:r>
                <w:rPr>
                  <w:i/>
                  <w:iCs/>
                  <w:noProof/>
                  <w:lang w:val="en-US"/>
                </w:rPr>
                <w:t>Guidelines for psychologists working with gender, sexuality, and relationship diversity.</w:t>
              </w:r>
              <w:r>
                <w:rPr>
                  <w:noProof/>
                  <w:lang w:val="en-US"/>
                </w:rPr>
                <w:t xml:space="preserve"> https://www.bps.org.uk/news-and-policy/guidelines-psychologists-working-gender-sexuality-and-relationship-diversity: British psychological society.</w:t>
              </w:r>
            </w:p>
            <w:p w14:paraId="178E598A" w14:textId="77777777" w:rsidR="00661B2A" w:rsidRDefault="00661B2A" w:rsidP="00661B2A">
              <w:pPr>
                <w:pStyle w:val="Bibliography"/>
                <w:ind w:left="720" w:hanging="720"/>
                <w:rPr>
                  <w:noProof/>
                  <w:lang w:val="en-US"/>
                </w:rPr>
              </w:pPr>
              <w:r>
                <w:rPr>
                  <w:noProof/>
                  <w:lang w:val="en-US"/>
                </w:rPr>
                <w:t xml:space="preserve">Busak, Kulich, Rudan, &amp; Kinahan, . (2018). Be an advocate for others, unless you are a man: Backlash against gender-atypical male job candidates. . </w:t>
              </w:r>
              <w:r>
                <w:rPr>
                  <w:i/>
                  <w:iCs/>
                  <w:noProof/>
                  <w:lang w:val="en-US"/>
                </w:rPr>
                <w:t>Psychology of Men &amp; Masculinity</w:t>
              </w:r>
              <w:r>
                <w:rPr>
                  <w:noProof/>
                  <w:lang w:val="en-US"/>
                </w:rPr>
                <w:t>, 19(1), 156.</w:t>
              </w:r>
            </w:p>
            <w:p w14:paraId="4B0DD0E8" w14:textId="77777777" w:rsidR="00661B2A" w:rsidRDefault="00661B2A" w:rsidP="00661B2A">
              <w:pPr>
                <w:pStyle w:val="Bibliography"/>
                <w:ind w:left="720" w:hanging="720"/>
                <w:rPr>
                  <w:noProof/>
                  <w:lang w:val="en-US"/>
                </w:rPr>
              </w:pPr>
              <w:r>
                <w:rPr>
                  <w:noProof/>
                  <w:lang w:val="en-US"/>
                </w:rPr>
                <w:t xml:space="preserve">Butler, J. . (2009). Performativity, Precarity and Sexual Politics. </w:t>
              </w:r>
              <w:r>
                <w:rPr>
                  <w:i/>
                  <w:iCs/>
                  <w:noProof/>
                  <w:lang w:val="en-US"/>
                </w:rPr>
                <w:t>AIBR. Revista de Antropología Iberoamericana</w:t>
              </w:r>
              <w:r>
                <w:rPr>
                  <w:noProof/>
                  <w:lang w:val="en-US"/>
                </w:rPr>
                <w:t>, 4(3).</w:t>
              </w:r>
            </w:p>
            <w:p w14:paraId="6C1442F3" w14:textId="77777777" w:rsidR="00661B2A" w:rsidRDefault="00661B2A" w:rsidP="00661B2A">
              <w:pPr>
                <w:pStyle w:val="Bibliography"/>
                <w:ind w:left="720" w:hanging="720"/>
                <w:rPr>
                  <w:noProof/>
                  <w:lang w:val="en-US"/>
                </w:rPr>
              </w:pPr>
              <w:r>
                <w:rPr>
                  <w:noProof/>
                  <w:lang w:val="en-US"/>
                </w:rPr>
                <w:t>De Beauvoir, S. (1949). The Second Sex, trans. and ed. HM Parshley. HM Parshley.</w:t>
              </w:r>
            </w:p>
            <w:p w14:paraId="605948FB" w14:textId="77777777" w:rsidR="00661B2A" w:rsidRDefault="00661B2A" w:rsidP="00661B2A">
              <w:pPr>
                <w:pStyle w:val="Bibliography"/>
                <w:ind w:left="720" w:hanging="720"/>
                <w:rPr>
                  <w:noProof/>
                  <w:lang w:val="en-US"/>
                </w:rPr>
              </w:pPr>
              <w:r>
                <w:rPr>
                  <w:noProof/>
                  <w:lang w:val="en-US"/>
                </w:rPr>
                <w:t xml:space="preserve">Devor, H. (1997). </w:t>
              </w:r>
              <w:r>
                <w:rPr>
                  <w:i/>
                  <w:iCs/>
                  <w:noProof/>
                  <w:lang w:val="en-US"/>
                </w:rPr>
                <w:t>FTM: female-to-male transsexuals in society.</w:t>
              </w:r>
              <w:r>
                <w:rPr>
                  <w:noProof/>
                  <w:lang w:val="en-US"/>
                </w:rPr>
                <w:t xml:space="preserve"> Bloomington: Indiana University Press.</w:t>
              </w:r>
            </w:p>
            <w:p w14:paraId="5C51A3D1" w14:textId="77777777" w:rsidR="00661B2A" w:rsidRDefault="00661B2A" w:rsidP="00661B2A">
              <w:pPr>
                <w:pStyle w:val="Bibliography"/>
                <w:ind w:left="720" w:hanging="720"/>
                <w:rPr>
                  <w:noProof/>
                  <w:lang w:val="en-US"/>
                </w:rPr>
              </w:pPr>
              <w:r>
                <w:rPr>
                  <w:noProof/>
                  <w:lang w:val="en-US"/>
                </w:rPr>
                <w:t xml:space="preserve">Eagly, A.H. (1987). Sex Differences in Social Behavior: A Social-role Interpretation. . </w:t>
              </w:r>
              <w:r>
                <w:rPr>
                  <w:i/>
                  <w:iCs/>
                  <w:noProof/>
                  <w:lang w:val="en-US"/>
                </w:rPr>
                <w:t>Hillsdale</w:t>
              </w:r>
              <w:r>
                <w:rPr>
                  <w:noProof/>
                  <w:lang w:val="en-US"/>
                </w:rPr>
                <w:t>, NJ: Lawrence.</w:t>
              </w:r>
            </w:p>
            <w:p w14:paraId="43067293" w14:textId="77777777" w:rsidR="00661B2A" w:rsidRDefault="00661B2A" w:rsidP="00661B2A">
              <w:pPr>
                <w:pStyle w:val="Bibliography"/>
                <w:ind w:left="720" w:hanging="720"/>
                <w:rPr>
                  <w:noProof/>
                  <w:lang w:val="en-US"/>
                </w:rPr>
              </w:pPr>
              <w:r>
                <w:rPr>
                  <w:noProof/>
                  <w:lang w:val="en-US"/>
                </w:rPr>
                <w:t xml:space="preserve">Eliason, M. J., &amp; Schope, R. . (2007). Shifting sands or solid foundation? Lesbian, gay, bisexual, and transgender identity formation. </w:t>
              </w:r>
              <w:r>
                <w:rPr>
                  <w:i/>
                  <w:iCs/>
                  <w:noProof/>
                  <w:lang w:val="en-US"/>
                </w:rPr>
                <w:t>In The health of sexual minorities</w:t>
              </w:r>
              <w:r>
                <w:rPr>
                  <w:noProof/>
                  <w:lang w:val="en-US"/>
                </w:rPr>
                <w:t>, 3-26.</w:t>
              </w:r>
            </w:p>
            <w:p w14:paraId="69664F96" w14:textId="77777777" w:rsidR="00661B2A" w:rsidRDefault="00661B2A" w:rsidP="00661B2A">
              <w:pPr>
                <w:pStyle w:val="Bibliography"/>
                <w:ind w:left="720" w:hanging="720"/>
                <w:rPr>
                  <w:noProof/>
                  <w:lang w:val="en-US"/>
                </w:rPr>
              </w:pPr>
              <w:r>
                <w:rPr>
                  <w:noProof/>
                  <w:lang w:val="en-US"/>
                </w:rPr>
                <w:t xml:space="preserve">Gainor, K. A. . (2000). Including transgender issues in lesbian, gay, and bisexual psychology: Implications for clinical practice and training. </w:t>
              </w:r>
              <w:r>
                <w:rPr>
                  <w:i/>
                  <w:iCs/>
                  <w:noProof/>
                  <w:lang w:val="en-US"/>
                </w:rPr>
                <w:t>Psychological perspectives on lesbian and gay issues</w:t>
              </w:r>
              <w:r>
                <w:rPr>
                  <w:noProof/>
                  <w:lang w:val="en-US"/>
                </w:rPr>
                <w:t>, 5, 131-160.</w:t>
              </w:r>
            </w:p>
            <w:p w14:paraId="150813B3" w14:textId="77777777" w:rsidR="00661B2A" w:rsidRDefault="00661B2A" w:rsidP="00661B2A">
              <w:pPr>
                <w:pStyle w:val="Bibliography"/>
                <w:ind w:left="720" w:hanging="720"/>
                <w:rPr>
                  <w:noProof/>
                  <w:lang w:val="en-US"/>
                </w:rPr>
              </w:pPr>
              <w:r>
                <w:rPr>
                  <w:noProof/>
                  <w:lang w:val="en-US"/>
                </w:rPr>
                <w:t xml:space="preserve">Glick, P., &amp; Fiske, S. T. . (1997). Hostile and benevolent sexism: Measuring ambivalent sexist attitudes toward women. </w:t>
              </w:r>
              <w:r>
                <w:rPr>
                  <w:i/>
                  <w:iCs/>
                  <w:noProof/>
                  <w:lang w:val="en-US"/>
                </w:rPr>
                <w:t>Psychology of women quarterly</w:t>
              </w:r>
              <w:r>
                <w:rPr>
                  <w:noProof/>
                  <w:lang w:val="en-US"/>
                </w:rPr>
                <w:t>, 21(1), 119-135.</w:t>
              </w:r>
            </w:p>
            <w:p w14:paraId="71E86436" w14:textId="77777777" w:rsidR="00661B2A" w:rsidRDefault="00661B2A" w:rsidP="00661B2A">
              <w:pPr>
                <w:pStyle w:val="Bibliography"/>
                <w:ind w:left="720" w:hanging="720"/>
                <w:rPr>
                  <w:noProof/>
                  <w:lang w:val="en-US"/>
                </w:rPr>
              </w:pPr>
              <w:r>
                <w:rPr>
                  <w:noProof/>
                  <w:lang w:val="en-US"/>
                </w:rPr>
                <w:t xml:space="preserve">Goffman, E. . (1963). </w:t>
              </w:r>
              <w:r>
                <w:rPr>
                  <w:i/>
                  <w:iCs/>
                  <w:noProof/>
                  <w:lang w:val="en-US"/>
                </w:rPr>
                <w:t>Stigma: notes on the management of spoiled identity.</w:t>
              </w:r>
              <w:r>
                <w:rPr>
                  <w:noProof/>
                  <w:lang w:val="en-US"/>
                </w:rPr>
                <w:t xml:space="preserve"> New York: Simon &amp; Schuster.</w:t>
              </w:r>
            </w:p>
            <w:p w14:paraId="7B594F91" w14:textId="77777777" w:rsidR="00661B2A" w:rsidRDefault="00661B2A" w:rsidP="00661B2A">
              <w:pPr>
                <w:pStyle w:val="Bibliography"/>
                <w:ind w:left="720" w:hanging="720"/>
                <w:rPr>
                  <w:noProof/>
                  <w:lang w:val="en-US"/>
                </w:rPr>
              </w:pPr>
              <w:r>
                <w:rPr>
                  <w:noProof/>
                  <w:lang w:val="en-US"/>
                </w:rPr>
                <w:t xml:space="preserve">Government equality office. (2018, July). </w:t>
              </w:r>
              <w:r>
                <w:rPr>
                  <w:i/>
                  <w:iCs/>
                  <w:noProof/>
                  <w:lang w:val="en-US"/>
                </w:rPr>
                <w:t>LGBT action plan 2018.</w:t>
              </w:r>
              <w:r>
                <w:rPr>
                  <w:noProof/>
                  <w:lang w:val="en-US"/>
                </w:rPr>
                <w:t xml:space="preserve"> Retrieved from https://assets.publishing.service.gov.uk: https://assets.publishing.service.gov.uk/government/uploads/system/uploads/attachment_data/file/721367/GEO-LGBT-Action-Plan.pdf</w:t>
              </w:r>
            </w:p>
            <w:p w14:paraId="2C4E79DE" w14:textId="77777777" w:rsidR="00661B2A" w:rsidRDefault="00661B2A" w:rsidP="00661B2A">
              <w:pPr>
                <w:pStyle w:val="Bibliography"/>
                <w:ind w:left="720" w:hanging="720"/>
                <w:rPr>
                  <w:noProof/>
                  <w:lang w:val="en-US"/>
                </w:rPr>
              </w:pPr>
              <w:r>
                <w:rPr>
                  <w:noProof/>
                  <w:lang w:val="en-US"/>
                </w:rPr>
                <w:t xml:space="preserve">Isaacs, G., &amp; McKendrick, B. . (1992). </w:t>
              </w:r>
              <w:r>
                <w:rPr>
                  <w:i/>
                  <w:iCs/>
                  <w:noProof/>
                  <w:lang w:val="en-US"/>
                </w:rPr>
                <w:t>Male homosexuality in South Africa: identity formation, culture and crisis.</w:t>
              </w:r>
              <w:r>
                <w:rPr>
                  <w:noProof/>
                  <w:lang w:val="en-US"/>
                </w:rPr>
                <w:t xml:space="preserve"> Capetown: Oxford university press.</w:t>
              </w:r>
            </w:p>
            <w:p w14:paraId="59A60DCB" w14:textId="77777777" w:rsidR="00661B2A" w:rsidRDefault="00661B2A" w:rsidP="00661B2A">
              <w:pPr>
                <w:pStyle w:val="Bibliography"/>
                <w:ind w:left="720" w:hanging="720"/>
                <w:rPr>
                  <w:noProof/>
                  <w:lang w:val="en-US"/>
                </w:rPr>
              </w:pPr>
              <w:r>
                <w:rPr>
                  <w:noProof/>
                  <w:lang w:val="en-US"/>
                </w:rPr>
                <w:t>Jackman, M. R. . (1994). The velvet glove: Paternalism and conflict in gender, class, and race relations. .</w:t>
              </w:r>
            </w:p>
            <w:p w14:paraId="526BFDE9" w14:textId="77777777" w:rsidR="00661B2A" w:rsidRDefault="00661B2A" w:rsidP="00661B2A">
              <w:pPr>
                <w:pStyle w:val="Bibliography"/>
                <w:ind w:left="720" w:hanging="720"/>
                <w:rPr>
                  <w:noProof/>
                  <w:lang w:val="en-US"/>
                </w:rPr>
              </w:pPr>
              <w:r>
                <w:rPr>
                  <w:noProof/>
                  <w:lang w:val="en-US"/>
                </w:rPr>
                <w:lastRenderedPageBreak/>
                <w:t xml:space="preserve">Kiser, A. I. (2015). Workplace and leadership perceptions between men and women. </w:t>
              </w:r>
              <w:r>
                <w:rPr>
                  <w:i/>
                  <w:iCs/>
                  <w:noProof/>
                  <w:lang w:val="en-US"/>
                </w:rPr>
                <w:t>Gender in Management: An International Journal</w:t>
              </w:r>
              <w:r>
                <w:rPr>
                  <w:noProof/>
                  <w:lang w:val="en-US"/>
                </w:rPr>
                <w:t>.</w:t>
              </w:r>
            </w:p>
            <w:p w14:paraId="13F8B355" w14:textId="77777777" w:rsidR="00661B2A" w:rsidRDefault="00661B2A" w:rsidP="00661B2A">
              <w:pPr>
                <w:pStyle w:val="Bibliography"/>
                <w:ind w:left="720" w:hanging="720"/>
                <w:rPr>
                  <w:noProof/>
                  <w:lang w:val="en-US"/>
                </w:rPr>
              </w:pPr>
              <w:r>
                <w:rPr>
                  <w:noProof/>
                  <w:lang w:val="en-US"/>
                </w:rPr>
                <w:t xml:space="preserve">Kite, M., &amp; Whitley, M. (2016). </w:t>
              </w:r>
              <w:r>
                <w:rPr>
                  <w:i/>
                  <w:iCs/>
                  <w:noProof/>
                  <w:lang w:val="en-US"/>
                </w:rPr>
                <w:t>Psychology of prejudice and discrimination (3rd ed.).</w:t>
              </w:r>
              <w:r>
                <w:rPr>
                  <w:noProof/>
                  <w:lang w:val="en-US"/>
                </w:rPr>
                <w:t xml:space="preserve"> New York: Routledge.</w:t>
              </w:r>
            </w:p>
            <w:p w14:paraId="470475A2" w14:textId="77777777" w:rsidR="00661B2A" w:rsidRDefault="00661B2A" w:rsidP="00661B2A">
              <w:pPr>
                <w:pStyle w:val="Bibliography"/>
                <w:ind w:left="720" w:hanging="720"/>
                <w:rPr>
                  <w:noProof/>
                  <w:lang w:val="en-US"/>
                </w:rPr>
              </w:pPr>
              <w:r>
                <w:rPr>
                  <w:noProof/>
                  <w:lang w:val="en-US"/>
                </w:rPr>
                <w:t xml:space="preserve">Koenig, A. M. . (2018). Comparing prescriptive and descriptive gender stereotypes about children, adults, and the elderly. </w:t>
              </w:r>
              <w:r>
                <w:rPr>
                  <w:i/>
                  <w:iCs/>
                  <w:noProof/>
                  <w:lang w:val="en-US"/>
                </w:rPr>
                <w:t>Frontiers in psychology</w:t>
              </w:r>
              <w:r>
                <w:rPr>
                  <w:noProof/>
                  <w:lang w:val="en-US"/>
                </w:rPr>
                <w:t>, 9, 1086.</w:t>
              </w:r>
            </w:p>
            <w:p w14:paraId="112192B5" w14:textId="77777777" w:rsidR="00661B2A" w:rsidRDefault="00661B2A" w:rsidP="00661B2A">
              <w:pPr>
                <w:pStyle w:val="Bibliography"/>
                <w:ind w:left="720" w:hanging="720"/>
                <w:rPr>
                  <w:noProof/>
                  <w:lang w:val="en-US"/>
                </w:rPr>
              </w:pPr>
              <w:r>
                <w:rPr>
                  <w:noProof/>
                  <w:lang w:val="en-US"/>
                </w:rPr>
                <w:t xml:space="preserve">Kosciw, J., G., Palmer, N., A., &amp; Kull, R., M.,. (2015). Reflecting resiliency: Openess about sexual orientation and/or gender identity and its relationship to well-being and educational outcomes for LGBT students. </w:t>
              </w:r>
              <w:r>
                <w:rPr>
                  <w:i/>
                  <w:iCs/>
                  <w:noProof/>
                  <w:lang w:val="en-US"/>
                </w:rPr>
                <w:t>Am J Community psychology</w:t>
              </w:r>
              <w:r>
                <w:rPr>
                  <w:noProof/>
                  <w:lang w:val="en-US"/>
                </w:rPr>
                <w:t>, 55, 167-178.</w:t>
              </w:r>
            </w:p>
            <w:p w14:paraId="5005EED6" w14:textId="77777777" w:rsidR="00661B2A" w:rsidRDefault="00661B2A" w:rsidP="00661B2A">
              <w:pPr>
                <w:pStyle w:val="Bibliography"/>
                <w:ind w:left="720" w:hanging="720"/>
                <w:rPr>
                  <w:noProof/>
                  <w:lang w:val="en-US"/>
                </w:rPr>
              </w:pPr>
              <w:r>
                <w:rPr>
                  <w:noProof/>
                  <w:lang w:val="en-US"/>
                </w:rPr>
                <w:t xml:space="preserve">Maslow, A. H. (1943). A Theory of Human Motivation. </w:t>
              </w:r>
              <w:r>
                <w:rPr>
                  <w:i/>
                  <w:iCs/>
                  <w:noProof/>
                  <w:lang w:val="en-US"/>
                </w:rPr>
                <w:t>Psychological Review</w:t>
              </w:r>
              <w:r>
                <w:rPr>
                  <w:noProof/>
                  <w:lang w:val="en-US"/>
                </w:rPr>
                <w:t>, 50(4), 370-396.</w:t>
              </w:r>
            </w:p>
            <w:p w14:paraId="0EA873B8" w14:textId="77777777" w:rsidR="00661B2A" w:rsidRDefault="00661B2A" w:rsidP="00661B2A">
              <w:pPr>
                <w:pStyle w:val="Bibliography"/>
                <w:ind w:left="720" w:hanging="720"/>
                <w:rPr>
                  <w:noProof/>
                  <w:lang w:val="en-US"/>
                </w:rPr>
              </w:pPr>
              <w:r>
                <w:rPr>
                  <w:noProof/>
                  <w:lang w:val="en-US"/>
                </w:rPr>
                <w:t xml:space="preserve">Morris, B. J. . (2019). History of lesbian, gay, bisexual and transgender social movements. </w:t>
              </w:r>
              <w:r>
                <w:rPr>
                  <w:i/>
                  <w:iCs/>
                  <w:noProof/>
                  <w:lang w:val="en-US"/>
                </w:rPr>
                <w:t xml:space="preserve">American psychological association </w:t>
              </w:r>
              <w:r>
                <w:rPr>
                  <w:noProof/>
                  <w:lang w:val="en-US"/>
                </w:rPr>
                <w:t>.</w:t>
              </w:r>
            </w:p>
            <w:p w14:paraId="6F6C0380" w14:textId="77777777" w:rsidR="00661B2A" w:rsidRDefault="00661B2A" w:rsidP="00661B2A">
              <w:pPr>
                <w:pStyle w:val="Bibliography"/>
                <w:ind w:left="720" w:hanging="720"/>
                <w:rPr>
                  <w:noProof/>
                  <w:lang w:val="en-US"/>
                </w:rPr>
              </w:pPr>
              <w:r>
                <w:rPr>
                  <w:noProof/>
                  <w:lang w:val="en-US"/>
                </w:rPr>
                <w:t xml:space="preserve">Plummer, K. . (1975). </w:t>
              </w:r>
              <w:r>
                <w:rPr>
                  <w:i/>
                  <w:iCs/>
                  <w:noProof/>
                  <w:lang w:val="en-US"/>
                </w:rPr>
                <w:t>Sexual stigma: an interactionist account.</w:t>
              </w:r>
              <w:r>
                <w:rPr>
                  <w:noProof/>
                  <w:lang w:val="en-US"/>
                </w:rPr>
                <w:t xml:space="preserve"> Boston: Routledge &amp; Kegan, Paul.</w:t>
              </w:r>
            </w:p>
            <w:p w14:paraId="1DCF4568" w14:textId="77777777" w:rsidR="00661B2A" w:rsidRDefault="00661B2A" w:rsidP="00661B2A">
              <w:pPr>
                <w:pStyle w:val="Bibliography"/>
                <w:ind w:left="720" w:hanging="720"/>
                <w:rPr>
                  <w:noProof/>
                  <w:lang w:val="en-US"/>
                </w:rPr>
              </w:pPr>
              <w:r>
                <w:rPr>
                  <w:noProof/>
                  <w:lang w:val="en-US"/>
                </w:rPr>
                <w:t xml:space="preserve">Ramos, M. R., Barreto, M., Ellemers, N., Moya, M., Ferreira, L., &amp; Calanchini, J. (2016). Exposure to sexism can decrease implicit gender stereotype bias. </w:t>
              </w:r>
              <w:r>
                <w:rPr>
                  <w:i/>
                  <w:iCs/>
                  <w:noProof/>
                  <w:lang w:val="en-US"/>
                </w:rPr>
                <w:t>European Journal of Social Psychology</w:t>
              </w:r>
              <w:r>
                <w:rPr>
                  <w:noProof/>
                  <w:lang w:val="en-US"/>
                </w:rPr>
                <w:t>, 46(4), 455-466.</w:t>
              </w:r>
            </w:p>
            <w:p w14:paraId="33A65CA8" w14:textId="77777777" w:rsidR="00661B2A" w:rsidRDefault="00661B2A" w:rsidP="00661B2A">
              <w:pPr>
                <w:pStyle w:val="Bibliography"/>
                <w:ind w:left="720" w:hanging="720"/>
                <w:rPr>
                  <w:noProof/>
                  <w:lang w:val="en-US"/>
                </w:rPr>
              </w:pPr>
              <w:r>
                <w:rPr>
                  <w:noProof/>
                  <w:lang w:val="en-US"/>
                </w:rPr>
                <w:t xml:space="preserve">Ruthig, J. C., Kehn, A., Gamblin, B. W., Vanderzanden, K., &amp; Jones, K. . (2017). When women’s gains equal men’s losses: Predicting a zero-sum perspective of gender status. </w:t>
              </w:r>
              <w:r>
                <w:rPr>
                  <w:i/>
                  <w:iCs/>
                  <w:noProof/>
                  <w:lang w:val="en-US"/>
                </w:rPr>
                <w:t>Sex Roles</w:t>
              </w:r>
              <w:r>
                <w:rPr>
                  <w:noProof/>
                  <w:lang w:val="en-US"/>
                </w:rPr>
                <w:t>, 76(1-2), 17-26.</w:t>
              </w:r>
            </w:p>
            <w:p w14:paraId="103D6383" w14:textId="77777777" w:rsidR="00661B2A" w:rsidRDefault="00661B2A" w:rsidP="00661B2A">
              <w:pPr>
                <w:pStyle w:val="Bibliography"/>
                <w:ind w:left="720" w:hanging="720"/>
                <w:rPr>
                  <w:noProof/>
                  <w:lang w:val="en-US"/>
                </w:rPr>
              </w:pPr>
              <w:r>
                <w:rPr>
                  <w:noProof/>
                  <w:lang w:val="en-US"/>
                </w:rPr>
                <w:t xml:space="preserve">Stets, J., E., &amp; Burke, P., J. (2000). Identity theory and Social identity theory. </w:t>
              </w:r>
              <w:r>
                <w:rPr>
                  <w:i/>
                  <w:iCs/>
                  <w:noProof/>
                  <w:lang w:val="en-US"/>
                </w:rPr>
                <w:t>Social psychology quarterly</w:t>
              </w:r>
              <w:r>
                <w:rPr>
                  <w:noProof/>
                  <w:lang w:val="en-US"/>
                </w:rPr>
                <w:t>, 63(3), 224-237,.</w:t>
              </w:r>
            </w:p>
            <w:p w14:paraId="1E1F6133" w14:textId="77777777" w:rsidR="00661B2A" w:rsidRDefault="00661B2A" w:rsidP="00661B2A">
              <w:pPr>
                <w:pStyle w:val="Bibliography"/>
                <w:ind w:left="720" w:hanging="720"/>
                <w:rPr>
                  <w:noProof/>
                  <w:lang w:val="en-US"/>
                </w:rPr>
              </w:pPr>
              <w:r>
                <w:rPr>
                  <w:noProof/>
                  <w:lang w:val="en-US"/>
                </w:rPr>
                <w:t xml:space="preserve">Stonewall. (2020, April 10). </w:t>
              </w:r>
              <w:r>
                <w:rPr>
                  <w:i/>
                  <w:iCs/>
                  <w:noProof/>
                  <w:lang w:val="en-US"/>
                </w:rPr>
                <w:t xml:space="preserve">Stonewall </w:t>
              </w:r>
              <w:r>
                <w:rPr>
                  <w:noProof/>
                  <w:lang w:val="en-US"/>
                </w:rPr>
                <w:t>. Retrieved from Stonewall: www.stonewall.org.uk</w:t>
              </w:r>
            </w:p>
            <w:p w14:paraId="34E09561" w14:textId="77777777" w:rsidR="00661B2A" w:rsidRDefault="00661B2A" w:rsidP="00661B2A">
              <w:pPr>
                <w:pStyle w:val="Bibliography"/>
                <w:ind w:left="720" w:hanging="720"/>
                <w:rPr>
                  <w:noProof/>
                  <w:lang w:val="en-US"/>
                </w:rPr>
              </w:pPr>
              <w:r>
                <w:rPr>
                  <w:noProof/>
                  <w:lang w:val="en-US"/>
                </w:rPr>
                <w:t xml:space="preserve">Thoits, P., A., &amp; Virshup, L., K. (1997). </w:t>
              </w:r>
              <w:r>
                <w:rPr>
                  <w:i/>
                  <w:iCs/>
                  <w:noProof/>
                  <w:lang w:val="en-US"/>
                </w:rPr>
                <w:t>"Me's and We's: Forms and functions of social identities.".</w:t>
              </w:r>
              <w:r>
                <w:rPr>
                  <w:noProof/>
                  <w:lang w:val="en-US"/>
                </w:rPr>
                <w:t xml:space="preserve"> New York: Oxford Press .</w:t>
              </w:r>
            </w:p>
            <w:p w14:paraId="26CF7864" w14:textId="77777777" w:rsidR="00661B2A" w:rsidRDefault="00661B2A" w:rsidP="00661B2A">
              <w:pPr>
                <w:pStyle w:val="Bibliography"/>
                <w:ind w:left="720" w:hanging="720"/>
                <w:rPr>
                  <w:noProof/>
                  <w:lang w:val="en-US"/>
                </w:rPr>
              </w:pPr>
              <w:r>
                <w:rPr>
                  <w:noProof/>
                  <w:lang w:val="en-US"/>
                </w:rPr>
                <w:t xml:space="preserve">Turner, J., C., Hogg, M., A., Oakes, P., J., Reicher, S., D., &amp; Wetherall, M., S. (1987). </w:t>
              </w:r>
              <w:r>
                <w:rPr>
                  <w:i/>
                  <w:iCs/>
                  <w:noProof/>
                  <w:lang w:val="en-US"/>
                </w:rPr>
                <w:t>Rediscovering the social group: A self-categorisation theory.</w:t>
              </w:r>
              <w:r>
                <w:rPr>
                  <w:noProof/>
                  <w:lang w:val="en-US"/>
                </w:rPr>
                <w:t xml:space="preserve"> New York: Basil Blackwell .</w:t>
              </w:r>
            </w:p>
            <w:p w14:paraId="004A591E" w14:textId="77777777" w:rsidR="00661B2A" w:rsidRDefault="00661B2A" w:rsidP="00661B2A">
              <w:pPr>
                <w:pStyle w:val="Bibliography"/>
                <w:ind w:left="720" w:hanging="720"/>
                <w:rPr>
                  <w:noProof/>
                  <w:lang w:val="en-US"/>
                </w:rPr>
              </w:pPr>
              <w:r>
                <w:rPr>
                  <w:noProof/>
                  <w:lang w:val="en-US"/>
                </w:rPr>
                <w:t xml:space="preserve">Williams, J. E., &amp; Best, D. L. . (1990). </w:t>
              </w:r>
              <w:r>
                <w:rPr>
                  <w:i/>
                  <w:iCs/>
                  <w:noProof/>
                  <w:lang w:val="en-US"/>
                </w:rPr>
                <w:t>Measuring sex stereotypes: A multination study, Rev.</w:t>
              </w:r>
              <w:r>
                <w:rPr>
                  <w:noProof/>
                  <w:lang w:val="en-US"/>
                </w:rPr>
                <w:t xml:space="preserve"> Sage Publications, Inc.</w:t>
              </w:r>
            </w:p>
            <w:p w14:paraId="3C97CC47" w14:textId="77777777" w:rsidR="002A04A9" w:rsidRDefault="002A04A9" w:rsidP="00661B2A">
              <w:r>
                <w:rPr>
                  <w:b/>
                  <w:bCs/>
                  <w:noProof/>
                </w:rPr>
                <w:fldChar w:fldCharType="end"/>
              </w:r>
            </w:p>
          </w:sdtContent>
        </w:sdt>
      </w:sdtContent>
    </w:sdt>
    <w:p w14:paraId="2684A6D2" w14:textId="77777777" w:rsidR="002A04A9" w:rsidRPr="00277981" w:rsidRDefault="002A04A9" w:rsidP="00F324A6">
      <w:pPr>
        <w:rPr>
          <w:rFonts w:ascii="Arial" w:hAnsi="Arial" w:cs="Arial"/>
          <w:sz w:val="24"/>
          <w:szCs w:val="24"/>
        </w:rPr>
      </w:pPr>
    </w:p>
    <w:sectPr w:rsidR="002A04A9" w:rsidRPr="00277981" w:rsidSect="006A4957">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B2784" w14:textId="77777777" w:rsidR="00274660" w:rsidRDefault="00274660" w:rsidP="006A4957">
      <w:pPr>
        <w:spacing w:after="0" w:line="240" w:lineRule="auto"/>
      </w:pPr>
      <w:r>
        <w:separator/>
      </w:r>
    </w:p>
  </w:endnote>
  <w:endnote w:type="continuationSeparator" w:id="0">
    <w:p w14:paraId="4C00A829" w14:textId="77777777" w:rsidR="00274660" w:rsidRDefault="00274660" w:rsidP="006A4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096C3" w14:textId="77777777" w:rsidR="00274660" w:rsidRDefault="00274660" w:rsidP="006A4957">
      <w:pPr>
        <w:spacing w:after="0" w:line="240" w:lineRule="auto"/>
      </w:pPr>
      <w:r>
        <w:separator/>
      </w:r>
    </w:p>
  </w:footnote>
  <w:footnote w:type="continuationSeparator" w:id="0">
    <w:p w14:paraId="2BC7EF74" w14:textId="77777777" w:rsidR="00274660" w:rsidRDefault="00274660" w:rsidP="006A4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81C73" w14:textId="77777777" w:rsidR="00274660" w:rsidRDefault="00274660">
    <w:pPr>
      <w:pStyle w:val="Header"/>
    </w:pPr>
    <w:r>
      <w:t xml:space="preserve">Societal gender identity. </w:t>
    </w: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957"/>
    <w:rsid w:val="000261D7"/>
    <w:rsid w:val="00061879"/>
    <w:rsid w:val="00065B55"/>
    <w:rsid w:val="000725CE"/>
    <w:rsid w:val="000978E9"/>
    <w:rsid w:val="000A4BEF"/>
    <w:rsid w:val="000B0823"/>
    <w:rsid w:val="000C0EC6"/>
    <w:rsid w:val="000E19F9"/>
    <w:rsid w:val="000F32AD"/>
    <w:rsid w:val="00106B71"/>
    <w:rsid w:val="00154177"/>
    <w:rsid w:val="001A53C2"/>
    <w:rsid w:val="001B19A9"/>
    <w:rsid w:val="001F3D8A"/>
    <w:rsid w:val="001F65E0"/>
    <w:rsid w:val="00235B6F"/>
    <w:rsid w:val="00253082"/>
    <w:rsid w:val="00274660"/>
    <w:rsid w:val="00277981"/>
    <w:rsid w:val="0028142E"/>
    <w:rsid w:val="0028199C"/>
    <w:rsid w:val="002835AF"/>
    <w:rsid w:val="002A04A9"/>
    <w:rsid w:val="002B4436"/>
    <w:rsid w:val="002C15C1"/>
    <w:rsid w:val="002D318F"/>
    <w:rsid w:val="00304664"/>
    <w:rsid w:val="00345B0D"/>
    <w:rsid w:val="00357689"/>
    <w:rsid w:val="0036787C"/>
    <w:rsid w:val="003A4C1E"/>
    <w:rsid w:val="003B595B"/>
    <w:rsid w:val="003C2A22"/>
    <w:rsid w:val="003C5E4B"/>
    <w:rsid w:val="003D3714"/>
    <w:rsid w:val="003E0F10"/>
    <w:rsid w:val="004041E0"/>
    <w:rsid w:val="00412ECE"/>
    <w:rsid w:val="00437386"/>
    <w:rsid w:val="00452B79"/>
    <w:rsid w:val="004562E9"/>
    <w:rsid w:val="00477143"/>
    <w:rsid w:val="004978D0"/>
    <w:rsid w:val="004A487E"/>
    <w:rsid w:val="004B068E"/>
    <w:rsid w:val="004C05D7"/>
    <w:rsid w:val="004C7B72"/>
    <w:rsid w:val="004D069F"/>
    <w:rsid w:val="004D216A"/>
    <w:rsid w:val="004F4296"/>
    <w:rsid w:val="0051364F"/>
    <w:rsid w:val="00525ED1"/>
    <w:rsid w:val="00551AA8"/>
    <w:rsid w:val="0055256A"/>
    <w:rsid w:val="00575B08"/>
    <w:rsid w:val="005867C9"/>
    <w:rsid w:val="00594E67"/>
    <w:rsid w:val="005968C1"/>
    <w:rsid w:val="006555AA"/>
    <w:rsid w:val="00661B2A"/>
    <w:rsid w:val="00686463"/>
    <w:rsid w:val="006A4957"/>
    <w:rsid w:val="006C0320"/>
    <w:rsid w:val="006F0E80"/>
    <w:rsid w:val="006F5A5E"/>
    <w:rsid w:val="007003A4"/>
    <w:rsid w:val="007223E4"/>
    <w:rsid w:val="00732E06"/>
    <w:rsid w:val="00735EDF"/>
    <w:rsid w:val="007362D8"/>
    <w:rsid w:val="00737022"/>
    <w:rsid w:val="00770279"/>
    <w:rsid w:val="007866A0"/>
    <w:rsid w:val="007B1621"/>
    <w:rsid w:val="007B6CA8"/>
    <w:rsid w:val="007C6145"/>
    <w:rsid w:val="007D7B92"/>
    <w:rsid w:val="00834F22"/>
    <w:rsid w:val="00842383"/>
    <w:rsid w:val="00864530"/>
    <w:rsid w:val="008B027B"/>
    <w:rsid w:val="008C39E2"/>
    <w:rsid w:val="008D06EF"/>
    <w:rsid w:val="008F14AD"/>
    <w:rsid w:val="00925480"/>
    <w:rsid w:val="00934F5B"/>
    <w:rsid w:val="0094059B"/>
    <w:rsid w:val="00986E77"/>
    <w:rsid w:val="0099308E"/>
    <w:rsid w:val="009A1F7C"/>
    <w:rsid w:val="009C2811"/>
    <w:rsid w:val="009E0898"/>
    <w:rsid w:val="00A20518"/>
    <w:rsid w:val="00A25243"/>
    <w:rsid w:val="00A47AED"/>
    <w:rsid w:val="00A57E1B"/>
    <w:rsid w:val="00A66BDC"/>
    <w:rsid w:val="00A72414"/>
    <w:rsid w:val="00A97A11"/>
    <w:rsid w:val="00AB1C34"/>
    <w:rsid w:val="00BA669F"/>
    <w:rsid w:val="00BB43EE"/>
    <w:rsid w:val="00BC0E64"/>
    <w:rsid w:val="00BD3115"/>
    <w:rsid w:val="00BD3629"/>
    <w:rsid w:val="00BF171E"/>
    <w:rsid w:val="00C0123A"/>
    <w:rsid w:val="00C04B5F"/>
    <w:rsid w:val="00C121C1"/>
    <w:rsid w:val="00C1372E"/>
    <w:rsid w:val="00C207E3"/>
    <w:rsid w:val="00C268DE"/>
    <w:rsid w:val="00C423BE"/>
    <w:rsid w:val="00C603F8"/>
    <w:rsid w:val="00C97921"/>
    <w:rsid w:val="00CB1E60"/>
    <w:rsid w:val="00CB779D"/>
    <w:rsid w:val="00CC2404"/>
    <w:rsid w:val="00CC4650"/>
    <w:rsid w:val="00D145D7"/>
    <w:rsid w:val="00D36377"/>
    <w:rsid w:val="00D36F53"/>
    <w:rsid w:val="00D37241"/>
    <w:rsid w:val="00D4781A"/>
    <w:rsid w:val="00D52F82"/>
    <w:rsid w:val="00D66276"/>
    <w:rsid w:val="00D73A1A"/>
    <w:rsid w:val="00D838BD"/>
    <w:rsid w:val="00DA03C5"/>
    <w:rsid w:val="00DA7450"/>
    <w:rsid w:val="00DB218F"/>
    <w:rsid w:val="00DC02DE"/>
    <w:rsid w:val="00E111CB"/>
    <w:rsid w:val="00E116AE"/>
    <w:rsid w:val="00E21A1E"/>
    <w:rsid w:val="00E3565A"/>
    <w:rsid w:val="00E67E82"/>
    <w:rsid w:val="00EB22C4"/>
    <w:rsid w:val="00EF17CC"/>
    <w:rsid w:val="00EF58C3"/>
    <w:rsid w:val="00F005A9"/>
    <w:rsid w:val="00F24AA2"/>
    <w:rsid w:val="00F324A6"/>
    <w:rsid w:val="00F54C53"/>
    <w:rsid w:val="00F603EA"/>
    <w:rsid w:val="00F67CC2"/>
    <w:rsid w:val="00F75A66"/>
    <w:rsid w:val="00F8327E"/>
    <w:rsid w:val="00F8468F"/>
    <w:rsid w:val="00FB2308"/>
    <w:rsid w:val="00FC3853"/>
    <w:rsid w:val="00FC6D4B"/>
    <w:rsid w:val="00FE2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AC35"/>
  <w15:chartTrackingRefBased/>
  <w15:docId w15:val="{B787ECCE-C2A8-4944-BA8C-81C0BDAFD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4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57"/>
  </w:style>
  <w:style w:type="paragraph" w:styleId="Footer">
    <w:name w:val="footer"/>
    <w:basedOn w:val="Normal"/>
    <w:link w:val="FooterChar"/>
    <w:uiPriority w:val="99"/>
    <w:unhideWhenUsed/>
    <w:rsid w:val="006A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57"/>
  </w:style>
  <w:style w:type="character" w:customStyle="1" w:styleId="Heading1Char">
    <w:name w:val="Heading 1 Char"/>
    <w:basedOn w:val="DefaultParagraphFont"/>
    <w:link w:val="Heading1"/>
    <w:uiPriority w:val="9"/>
    <w:rsid w:val="002A04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A0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89409">
      <w:bodyDiv w:val="1"/>
      <w:marLeft w:val="0"/>
      <w:marRight w:val="0"/>
      <w:marTop w:val="0"/>
      <w:marBottom w:val="0"/>
      <w:divBdr>
        <w:top w:val="none" w:sz="0" w:space="0" w:color="auto"/>
        <w:left w:val="none" w:sz="0" w:space="0" w:color="auto"/>
        <w:bottom w:val="none" w:sz="0" w:space="0" w:color="auto"/>
        <w:right w:val="none" w:sz="0" w:space="0" w:color="auto"/>
      </w:divBdr>
    </w:div>
    <w:div w:id="1214732783">
      <w:bodyDiv w:val="1"/>
      <w:marLeft w:val="0"/>
      <w:marRight w:val="0"/>
      <w:marTop w:val="0"/>
      <w:marBottom w:val="0"/>
      <w:divBdr>
        <w:top w:val="none" w:sz="0" w:space="0" w:color="auto"/>
        <w:left w:val="none" w:sz="0" w:space="0" w:color="auto"/>
        <w:bottom w:val="none" w:sz="0" w:space="0" w:color="auto"/>
        <w:right w:val="none" w:sz="0" w:space="0" w:color="auto"/>
      </w:divBdr>
    </w:div>
    <w:div w:id="1629630555">
      <w:bodyDiv w:val="1"/>
      <w:marLeft w:val="0"/>
      <w:marRight w:val="0"/>
      <w:marTop w:val="0"/>
      <w:marBottom w:val="0"/>
      <w:divBdr>
        <w:top w:val="none" w:sz="0" w:space="0" w:color="auto"/>
        <w:left w:val="none" w:sz="0" w:space="0" w:color="auto"/>
        <w:bottom w:val="none" w:sz="0" w:space="0" w:color="auto"/>
        <w:right w:val="none" w:sz="0" w:space="0" w:color="auto"/>
      </w:divBdr>
    </w:div>
    <w:div w:id="202532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Gli97</b:Tag>
    <b:SourceType>JournalArticle</b:SourceType>
    <b:Guid>{CC60D72E-F7B9-4F4A-84B7-042831535EE8}</b:Guid>
    <b:Author>
      <b:Author>
        <b:Corporate>Glick, P., &amp; Fiske, S. T. </b:Corporate>
      </b:Author>
    </b:Author>
    <b:Title>Hostile and benevolent sexism: Measuring ambivalent sexist attitudes toward women</b:Title>
    <b:JournalName>Psychology of women quarterly</b:JournalName>
    <b:Year>1997</b:Year>
    <b:Pages>21(1), 119-135</b:Pages>
    <b:RefOrder>1</b:RefOrder>
  </b:Source>
  <b:Source>
    <b:Tag>Koe18</b:Tag>
    <b:SourceType>JournalArticle</b:SourceType>
    <b:Guid>{128FA331-4BE8-42FA-AC74-5761A0F1BD94}</b:Guid>
    <b:Author>
      <b:Author>
        <b:Corporate>Koenig, A. M. </b:Corporate>
      </b:Author>
    </b:Author>
    <b:Title>Comparing prescriptive and descriptive gender stereotypes about children, adults, and the elderly</b:Title>
    <b:JournalName>Frontiers in psychology</b:JournalName>
    <b:Year>2018</b:Year>
    <b:Pages>9, 1086.</b:Pages>
    <b:RefOrder>2</b:RefOrder>
  </b:Source>
  <b:Source>
    <b:Tag>Eag87</b:Tag>
    <b:SourceType>JournalArticle</b:SourceType>
    <b:Guid>{66E36DD6-9107-4FBA-8154-48A879F1A185}</b:Guid>
    <b:Author>
      <b:Author>
        <b:Corporate>Eagly, A.H.</b:Corporate>
      </b:Author>
    </b:Author>
    <b:Title>Sex Differences in Social Behavior: A Social-role Interpretation. </b:Title>
    <b:JournalName>Hillsdale</b:JournalName>
    <b:Year>1987</b:Year>
    <b:Pages>NJ: Lawrence</b:Pages>
    <b:RefOrder>3</b:RefOrder>
  </b:Source>
  <b:Source>
    <b:Tag>Rut17</b:Tag>
    <b:SourceType>JournalArticle</b:SourceType>
    <b:Guid>{BFCE92B0-6A52-4DC2-A98A-027DAEBA948D}</b:Guid>
    <b:Author>
      <b:Author>
        <b:Corporate>Ruthig, J. C., Kehn, A., Gamblin, B. W., Vanderzanden, K., &amp; Jones, K.  </b:Corporate>
      </b:Author>
    </b:Author>
    <b:Title>When women’s gains equal men’s losses: Predicting a zero-sum perspective of gender status</b:Title>
    <b:JournalName>Sex Roles</b:JournalName>
    <b:Year>2017</b:Year>
    <b:Pages>76(1-2), 17-26</b:Pages>
    <b:RefOrder>4</b:RefOrder>
  </b:Source>
  <b:Source>
    <b:Tag>Bus18</b:Tag>
    <b:SourceType>JournalArticle</b:SourceType>
    <b:Guid>{C945D1C9-0962-483A-8EA0-4BC6E259E823}</b:Guid>
    <b:Author>
      <b:Author>
        <b:Corporate>Busak, Kulich, Rudan, &amp; Kinahan, </b:Corporate>
      </b:Author>
    </b:Author>
    <b:Title>Be an advocate for others, unless you are a man: Backlash against gender-atypical male job candidates. </b:Title>
    <b:JournalName>Psychology of Men &amp; Masculinity</b:JournalName>
    <b:Year>2018</b:Year>
    <b:Pages>19(1), 156</b:Pages>
    <b:RefOrder>5</b:RefOrder>
  </b:Source>
  <b:Source>
    <b:Tag>Ram16</b:Tag>
    <b:SourceType>JournalArticle</b:SourceType>
    <b:Guid>{3BF3863E-458A-4DAC-9D45-E7151F62DDF1}</b:Guid>
    <b:Author>
      <b:Author>
        <b:Corporate>Ramos, M. R., Barreto, M., Ellemers, N., Moya, M., Ferreira, L., &amp; Calanchini, J.</b:Corporate>
      </b:Author>
    </b:Author>
    <b:Title>Exposure to sexism can decrease implicit gender stereotype bias</b:Title>
    <b:JournalName> European Journal of Social Psychology</b:JournalName>
    <b:Year>2016</b:Year>
    <b:Pages>46(4), 455-466</b:Pages>
    <b:RefOrder>6</b:RefOrder>
  </b:Source>
  <b:Source>
    <b:Tag>Kit161</b:Tag>
    <b:SourceType>Book</b:SourceType>
    <b:Guid>{F7F2D6D5-4E41-4F4B-821C-904CD2A2A426}</b:Guid>
    <b:Author>
      <b:Author>
        <b:Corporate>Kite, M., &amp; Whitley, M.</b:Corporate>
      </b:Author>
    </b:Author>
    <b:Title>Psychology of prejudice and discrimination (3rd ed.)</b:Title>
    <b:Year>2016</b:Year>
    <b:City>New York</b:City>
    <b:Publisher>Routledge</b:Publisher>
    <b:RefOrder>7</b:RefOrder>
  </b:Source>
  <b:Source>
    <b:Tag>Kis15</b:Tag>
    <b:SourceType>JournalArticle</b:SourceType>
    <b:Guid>{81AADF97-10B9-4661-8DD5-51589A6AA082}</b:Guid>
    <b:Author>
      <b:Author>
        <b:Corporate>Kiser, A. I.</b:Corporate>
      </b:Author>
    </b:Author>
    <b:Title>Workplace and leadership perceptions between men and women</b:Title>
    <b:JournalName>Gender in Management: An International Journal</b:JournalName>
    <b:Year>2015</b:Year>
    <b:RefOrder>8</b:RefOrder>
  </b:Source>
  <b:Source>
    <b:Tag>Wil90</b:Tag>
    <b:SourceType>Book</b:SourceType>
    <b:Guid>{84293FFA-7FD3-4668-90A8-554DEF74F68B}</b:Guid>
    <b:Title>Measuring sex stereotypes: A multination study, Rev</b:Title>
    <b:Year>1990</b:Year>
    <b:Author>
      <b:Author>
        <b:Corporate>Williams, J. E., &amp; Best, D. L. </b:Corporate>
      </b:Author>
    </b:Author>
    <b:Publisher>Sage Publications, Inc.</b:Publisher>
    <b:RefOrder>9</b:RefOrder>
  </b:Source>
  <b:Source>
    <b:Tag>Jac94</b:Tag>
    <b:SourceType>JournalArticle</b:SourceType>
    <b:Guid>{1F1C2012-283F-4CD1-B316-01A2DCEF7399}</b:Guid>
    <b:Author>
      <b:Author>
        <b:Corporate>Jackman, M. R. </b:Corporate>
      </b:Author>
    </b:Author>
    <b:Title>The velvet glove: Paternalism and conflict in gender, class, and race relations. </b:Title>
    <b:Year>1994</b:Year>
    <b:RefOrder>10</b:RefOrder>
  </b:Source>
  <b:Source>
    <b:Tag>Bri192</b:Tag>
    <b:SourceType>Report</b:SourceType>
    <b:Guid>{D844F7E8-77EC-4DD5-8DA7-CD4FFA3F1157}</b:Guid>
    <b:Title>Guidelines for psychologists working with gender, sexuality, and relationship diversity</b:Title>
    <b:Year>2019</b:Year>
    <b:Publisher>British psychological society</b:Publisher>
    <b:Author>
      <b:Author>
        <b:Corporate>British Psychological society</b:Corporate>
      </b:Author>
    </b:Author>
    <b:City>https://www.bps.org.uk/news-and-policy/guidelines-psychologists-working-gender-sexuality-and-relationship-diversity</b:City>
    <b:RefOrder>11</b:RefOrder>
  </b:Source>
  <b:Source>
    <b:Tag>Ste00</b:Tag>
    <b:SourceType>JournalArticle</b:SourceType>
    <b:Guid>{FDCCDDBB-855B-4475-84A8-E8BD1404387A}</b:Guid>
    <b:Author>
      <b:Author>
        <b:Corporate>Stets, J., E., &amp; Burke, P., J.</b:Corporate>
      </b:Author>
    </b:Author>
    <b:Title>Identity theory and Social identity theory</b:Title>
    <b:Year>2000</b:Year>
    <b:JournalName>Social psychology quarterly</b:JournalName>
    <b:Pages>63(3), 224-237,</b:Pages>
    <b:RefOrder>12</b:RefOrder>
  </b:Source>
  <b:Source>
    <b:Tag>Tho97</b:Tag>
    <b:SourceType>Book</b:SourceType>
    <b:Guid>{CDAD4A28-DE84-49B5-AF2A-BE15D56FEB19}</b:Guid>
    <b:Author>
      <b:Author>
        <b:Corporate>Thoits, P., A., &amp; Virshup, L., K.</b:Corporate>
      </b:Author>
    </b:Author>
    <b:Title>"Me's and We's: Forms and functions of social identities."</b:Title>
    <b:Year>1997</b:Year>
    <b:City>New York</b:City>
    <b:Publisher>Oxford Press </b:Publisher>
    <b:RefOrder>13</b:RefOrder>
  </b:Source>
  <b:Source>
    <b:Tag>Tur87</b:Tag>
    <b:SourceType>Book</b:SourceType>
    <b:Guid>{A5113D0E-BFEA-4DF7-94A8-39B465D9DC51}</b:Guid>
    <b:Author>
      <b:Author>
        <b:Corporate>Turner, J., C., Hogg, M., A., Oakes, P., J., Reicher, S., D., &amp; Wetherall, M., S.</b:Corporate>
      </b:Author>
    </b:Author>
    <b:Title>Rediscovering the social group: A self-categorisation theory</b:Title>
    <b:Year>1987</b:Year>
    <b:City>New York</b:City>
    <b:Publisher>Basil Blackwell </b:Publisher>
    <b:RefOrder>14</b:RefOrder>
  </b:Source>
  <b:Source>
    <b:Tag>Kos15</b:Tag>
    <b:SourceType>JournalArticle</b:SourceType>
    <b:Guid>{BEAD5C8A-0491-4E1D-A12A-C7A22C30B1D1}</b:Guid>
    <b:Author>
      <b:Author>
        <b:Corporate>Kosciw, J., G., Palmer, N., A., &amp; Kull, R., M.,</b:Corporate>
      </b:Author>
    </b:Author>
    <b:Title>Reflecting resiliency: Openess about sexual orientation and/or gender identity and its relationship to well-being and educational outcomes for LGBT students</b:Title>
    <b:Year>2015</b:Year>
    <b:JournalName>Am J Community psychology</b:JournalName>
    <b:Pages>55, 167-178</b:Pages>
    <b:RefOrder>15</b:RefOrder>
  </b:Source>
  <b:Source>
    <b:Tag>But09</b:Tag>
    <b:SourceType>JournalArticle</b:SourceType>
    <b:Guid>{1A612046-A810-4F22-A6D8-B05166D5C5D9}</b:Guid>
    <b:Author>
      <b:Author>
        <b:Corporate>Butler, J. </b:Corporate>
      </b:Author>
    </b:Author>
    <b:Title>Performativity, Precarity and Sexual Politics</b:Title>
    <b:JournalName> AIBR. Revista de Antropología Iberoamericana</b:JournalName>
    <b:Year>2009</b:Year>
    <b:Pages>4(3)</b:Pages>
    <b:RefOrder>16</b:RefOrder>
  </b:Source>
  <b:Source>
    <b:Tag>Ame13</b:Tag>
    <b:SourceType>Book</b:SourceType>
    <b:Guid>{208A7DD2-F70F-45C9-8799-700E0010B0EC}</b:Guid>
    <b:Author>
      <b:Author>
        <b:Corporate>American psychological association </b:Corporate>
      </b:Author>
    </b:Author>
    <b:Title>Diagnostic and ststistical manual of mental disorders, 5th (Eds)</b:Title>
    <b:Year>2013</b:Year>
    <b:City>Arlington</b:City>
    <b:Publisher>American psychological association </b:Publisher>
    <b:RefOrder>17</b:RefOrder>
  </b:Source>
  <b:Source>
    <b:Tag>Mas43</b:Tag>
    <b:SourceType>JournalArticle</b:SourceType>
    <b:Guid>{8F854D58-CE3B-4D31-8B43-8FB0AA44BC0B}</b:Guid>
    <b:Author>
      <b:Author>
        <b:NameList>
          <b:Person>
            <b:Last>Maslow</b:Last>
            <b:First>A.</b:First>
            <b:Middle>H.</b:Middle>
          </b:Person>
        </b:NameList>
      </b:Author>
    </b:Author>
    <b:Title>A Theory of Human Motivation</b:Title>
    <b:Year>1943</b:Year>
    <b:JournalName>Psychological Review</b:JournalName>
    <b:Pages>50(4), 370-396</b:Pages>
    <b:RefOrder>18</b:RefOrder>
  </b:Source>
  <b:Source>
    <b:Tag>Bem81</b:Tag>
    <b:SourceType>JournalArticle</b:SourceType>
    <b:Guid>{62ECB7AE-865A-4B8E-9C6C-986B3C66EA35}</b:Guid>
    <b:Author>
      <b:Author>
        <b:Corporate>Bem, S. L.</b:Corporate>
      </b:Author>
    </b:Author>
    <b:Title>Gender schema theory: A cognitive account of sex typing</b:Title>
    <b:JournalName>Psychological review</b:JournalName>
    <b:Year>1981</b:Year>
    <b:Pages>88(4), 354</b:Pages>
    <b:RefOrder>19</b:RefOrder>
  </b:Source>
  <b:Source>
    <b:Tag>Dev97</b:Tag>
    <b:SourceType>Book</b:SourceType>
    <b:Guid>{00750C42-939E-4220-9019-26F9CFE0ACD6}</b:Guid>
    <b:Author>
      <b:Author>
        <b:Corporate>Devor, H.</b:Corporate>
      </b:Author>
    </b:Author>
    <b:Title>FTM: female-to-male transsexuals in society</b:Title>
    <b:JournalName>Indiana University</b:JournalName>
    <b:Year>1997</b:Year>
    <b:City>Bloomington</b:City>
    <b:Publisher>Indiana University Press</b:Publisher>
    <b:RefOrder>20</b:RefOrder>
  </b:Source>
  <b:Source>
    <b:Tag>Gof63</b:Tag>
    <b:SourceType>Book</b:SourceType>
    <b:Guid>{1EA800C6-2631-40D7-A1E1-70CF2D890349}</b:Guid>
    <b:Author>
      <b:Author>
        <b:Corporate>Goffman, E. </b:Corporate>
      </b:Author>
    </b:Author>
    <b:Title>Stigma: notes on the management of spoiled identity</b:Title>
    <b:Year>1963</b:Year>
    <b:City>New York</b:City>
    <b:Publisher> Simon &amp; Schuster</b:Publisher>
    <b:RefOrder>21</b:RefOrder>
  </b:Source>
  <b:Source>
    <b:Tag>Isa92</b:Tag>
    <b:SourceType>Book</b:SourceType>
    <b:Guid>{E184BE5B-FAED-449F-82C0-39E6870664AA}</b:Guid>
    <b:Author>
      <b:Author>
        <b:Corporate>Isaacs, G., &amp; McKendrick, B. </b:Corporate>
      </b:Author>
    </b:Author>
    <b:Title>Male homosexuality in South Africa: identity formation, culture and crisis</b:Title>
    <b:Year>1992</b:Year>
    <b:City>Capetown</b:City>
    <b:Publisher>Oxford university press</b:Publisher>
    <b:RefOrder>22</b:RefOrder>
  </b:Source>
  <b:Source>
    <b:Tag>Plu75</b:Tag>
    <b:SourceType>Book</b:SourceType>
    <b:Guid>{B845EC41-D17A-4257-B0FC-7FFE47AA6F46}</b:Guid>
    <b:Author>
      <b:Author>
        <b:Corporate>Plummer, K. </b:Corporate>
      </b:Author>
    </b:Author>
    <b:Title>Sexual stigma: an interactionist account</b:Title>
    <b:Year>1975</b:Year>
    <b:City>Boston</b:City>
    <b:Publisher>Routledge &amp; Kegan, Paul</b:Publisher>
    <b:RefOrder>23</b:RefOrder>
  </b:Source>
  <b:Source>
    <b:Tag>Eli07</b:Tag>
    <b:SourceType>JournalArticle</b:SourceType>
    <b:Guid>{442C92A1-10A6-40D7-BDE4-1FA2A4ED2635}</b:Guid>
    <b:Title>Shifting sands or solid foundation? Lesbian, gay, bisexual, and transgender identity formation</b:Title>
    <b:Year>2007</b:Year>
    <b:City>Boston, MA.</b:City>
    <b:Publisher>Springer</b:Publisher>
    <b:Author>
      <b:Author>
        <b:Corporate>Eliason, M. J., &amp; Schope, R. </b:Corporate>
      </b:Author>
    </b:Author>
    <b:JournalName>In The health of sexual minorities</b:JournalName>
    <b:Pages>3-26</b:Pages>
    <b:RefOrder>24</b:RefOrder>
  </b:Source>
  <b:Source>
    <b:Tag>Gov18</b:Tag>
    <b:SourceType>DocumentFromInternetSite</b:SourceType>
    <b:Guid>{221A452C-C408-474E-838E-82972EE6E80F}</b:Guid>
    <b:Title>LGBT action plan 2018</b:Title>
    <b:Year>2018</b:Year>
    <b:Month>July</b:Month>
    <b:Author>
      <b:Author>
        <b:Corporate>Government equality office</b:Corporate>
      </b:Author>
    </b:Author>
    <b:InternetSiteTitle>https://assets.publishing.service.gov.uk</b:InternetSiteTitle>
    <b:URL>https://assets.publishing.service.gov.uk/government/uploads/system/uploads/attachment_data/file/721367/GEO-LGBT-Action-Plan.pdf</b:URL>
    <b:RefOrder>25</b:RefOrder>
  </b:Source>
  <b:Source>
    <b:Tag>Ame00</b:Tag>
    <b:SourceType>JournalArticle</b:SourceType>
    <b:Guid>{C1A8505D-EA6E-4B6E-9E56-DB16340F71E5}</b:Guid>
    <b:Title>Guidelines for psychotherapy with lesbian, gay and bisexual clients </b:Title>
    <b:Year>2000</b:Year>
    <b:Author>
      <b:Author>
        <b:Corporate>American Psychological Association  Division 44 &amp; Committee on Lesbian, Gay and Bisexual Concerns Joint Task Force on Guidelines for Psychotherapy with Lesbian, Gay and Bisexual Clients</b:Corporate>
      </b:Author>
    </b:Author>
    <b:JournalName>American psychologist </b:JournalName>
    <b:Pages>55, 1440–1451</b:Pages>
    <b:RefOrder>26</b:RefOrder>
  </b:Source>
  <b:Source>
    <b:Tag>Sto20</b:Tag>
    <b:SourceType>InternetSite</b:SourceType>
    <b:Guid>{F2AB7EC0-BF8A-4396-BA51-F794618B53F8}</b:Guid>
    <b:Title>Stonewall </b:Title>
    <b:Year>2020</b:Year>
    <b:Author>
      <b:Author>
        <b:Corporate>Stonewall</b:Corporate>
      </b:Author>
    </b:Author>
    <b:InternetSiteTitle>Stonewall</b:InternetSiteTitle>
    <b:Month>April</b:Month>
    <b:Day>10</b:Day>
    <b:URL>www.stonewall.org.uk</b:URL>
    <b:RefOrder>27</b:RefOrder>
  </b:Source>
  <b:Source>
    <b:Tag>DeB49</b:Tag>
    <b:SourceType>BookSection</b:SourceType>
    <b:Guid>{7A1B50E2-E7DC-4E9D-A72C-E49C07265AD0}</b:Guid>
    <b:Title>The Second Sex, trans. and ed. HM Parshley</b:Title>
    <b:Year>1949</b:Year>
    <b:Author>
      <b:Author>
        <b:Corporate>De Beauvoir, S.</b:Corporate>
      </b:Author>
    </b:Author>
    <b:Publisher>HM Parshley</b:Publisher>
    <b:Pages>447</b:Pages>
    <b:RefOrder>28</b:RefOrder>
  </b:Source>
  <b:Source>
    <b:Tag>Gai00</b:Tag>
    <b:SourceType>JournalArticle</b:SourceType>
    <b:Guid>{A9206770-7307-425D-B053-3839EE820717}</b:Guid>
    <b:Title> Including transgender issues in lesbian, gay, and bisexual psychology: Implications for clinical practice and training</b:Title>
    <b:Year>2000</b:Year>
    <b:Pages>5, 131-160</b:Pages>
    <b:Author>
      <b:Author>
        <b:Corporate>Gainor, K. A. </b:Corporate>
      </b:Author>
    </b:Author>
    <b:JournalName>Psychological perspectives on lesbian and gay issues</b:JournalName>
    <b:RefOrder>29</b:RefOrder>
  </b:Source>
  <b:Source>
    <b:Tag>Mor19</b:Tag>
    <b:SourceType>JournalArticle</b:SourceType>
    <b:Guid>{42BDAF82-35A2-46F1-B759-F1A30242B360}</b:Guid>
    <b:Author>
      <b:Author>
        <b:Corporate>Morris, B. J. </b:Corporate>
      </b:Author>
    </b:Author>
    <b:Title>History of lesbian, gay, bisexual and transgender social movements</b:Title>
    <b:JournalName>American psychological association </b:JournalName>
    <b:Year>2019</b:Year>
    <b:RefOrder>30</b:RefOrder>
  </b:Source>
</b:Sources>
</file>

<file path=customXml/itemProps1.xml><?xml version="1.0" encoding="utf-8"?>
<ds:datastoreItem xmlns:ds="http://schemas.openxmlformats.org/officeDocument/2006/customXml" ds:itemID="{0AE277D0-BB7A-48F9-9DF3-056040F3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3417</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82</cp:revision>
  <dcterms:created xsi:type="dcterms:W3CDTF">2020-05-06T11:58:00Z</dcterms:created>
  <dcterms:modified xsi:type="dcterms:W3CDTF">2020-05-12T12:21:00Z</dcterms:modified>
</cp:coreProperties>
</file>