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BFA23D" w14:textId="77777777" w:rsidR="007C5593" w:rsidRDefault="000A5866">
      <w:pPr>
        <w:spacing w:line="480" w:lineRule="auto"/>
        <w:jc w:val="center"/>
        <w:rPr>
          <w:b/>
          <w:sz w:val="40"/>
          <w:szCs w:val="40"/>
        </w:rPr>
      </w:pPr>
      <w:r>
        <w:rPr>
          <w:b/>
          <w:noProof/>
          <w:lang w:val="en-US"/>
        </w:rPr>
        <w:drawing>
          <wp:inline distT="114300" distB="114300" distL="114300" distR="114300" wp14:anchorId="7343B1DD" wp14:editId="070B4E92">
            <wp:extent cx="5049656" cy="2014538"/>
            <wp:effectExtent l="0" t="0" r="0" b="0"/>
            <wp:docPr id="8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5049656" cy="2014538"/>
                    </a:xfrm>
                    <a:prstGeom prst="rect">
                      <a:avLst/>
                    </a:prstGeom>
                    <a:ln/>
                  </pic:spPr>
                </pic:pic>
              </a:graphicData>
            </a:graphic>
          </wp:inline>
        </w:drawing>
      </w:r>
    </w:p>
    <w:p w14:paraId="5BBFAD70" w14:textId="77777777" w:rsidR="007C5593" w:rsidRPr="007132D5" w:rsidRDefault="007C5593">
      <w:pPr>
        <w:spacing w:before="240" w:after="240" w:line="360" w:lineRule="auto"/>
        <w:jc w:val="center"/>
        <w:rPr>
          <w:rFonts w:ascii="Times New Roman" w:hAnsi="Times New Roman" w:cs="Times New Roman"/>
          <w:b/>
          <w:sz w:val="40"/>
          <w:szCs w:val="40"/>
        </w:rPr>
      </w:pPr>
    </w:p>
    <w:p w14:paraId="636D9321" w14:textId="77777777" w:rsidR="007C5593" w:rsidRPr="007132D5" w:rsidRDefault="000A5866">
      <w:pPr>
        <w:spacing w:before="240" w:after="240" w:line="360" w:lineRule="auto"/>
        <w:jc w:val="center"/>
        <w:rPr>
          <w:rFonts w:ascii="Times New Roman" w:hAnsi="Times New Roman" w:cs="Times New Roman"/>
          <w:b/>
          <w:sz w:val="40"/>
          <w:szCs w:val="40"/>
        </w:rPr>
      </w:pPr>
      <w:r w:rsidRPr="007132D5">
        <w:rPr>
          <w:rFonts w:ascii="Times New Roman" w:hAnsi="Times New Roman" w:cs="Times New Roman"/>
          <w:b/>
          <w:sz w:val="40"/>
          <w:szCs w:val="40"/>
        </w:rPr>
        <w:t>Lovepreet Kaur (2234040)</w:t>
      </w:r>
    </w:p>
    <w:p w14:paraId="7DB232F9" w14:textId="77777777" w:rsidR="007C5593" w:rsidRPr="007132D5" w:rsidRDefault="000A5866">
      <w:pPr>
        <w:spacing w:before="240" w:after="240" w:line="360" w:lineRule="auto"/>
        <w:jc w:val="center"/>
        <w:rPr>
          <w:rFonts w:ascii="Times New Roman" w:hAnsi="Times New Roman" w:cs="Times New Roman"/>
          <w:b/>
          <w:sz w:val="40"/>
          <w:szCs w:val="40"/>
        </w:rPr>
      </w:pPr>
      <w:r w:rsidRPr="007132D5">
        <w:rPr>
          <w:rFonts w:ascii="Times New Roman" w:hAnsi="Times New Roman" w:cs="Times New Roman"/>
          <w:b/>
          <w:sz w:val="40"/>
          <w:szCs w:val="40"/>
        </w:rPr>
        <w:t>Dissertation (BMMB7003)</w:t>
      </w:r>
    </w:p>
    <w:p w14:paraId="385A806E" w14:textId="77777777" w:rsidR="007C5593" w:rsidRPr="007132D5" w:rsidRDefault="000A5866">
      <w:pPr>
        <w:spacing w:before="240" w:after="240" w:line="360" w:lineRule="auto"/>
        <w:jc w:val="center"/>
        <w:rPr>
          <w:rFonts w:ascii="Times New Roman" w:hAnsi="Times New Roman" w:cs="Times New Roman"/>
          <w:b/>
          <w:sz w:val="40"/>
          <w:szCs w:val="40"/>
        </w:rPr>
      </w:pPr>
      <w:r w:rsidRPr="007132D5">
        <w:rPr>
          <w:rFonts w:ascii="Times New Roman" w:hAnsi="Times New Roman" w:cs="Times New Roman"/>
          <w:b/>
          <w:sz w:val="40"/>
          <w:szCs w:val="40"/>
        </w:rPr>
        <w:t>Master of Business Administration</w:t>
      </w:r>
    </w:p>
    <w:p w14:paraId="02FDCD1D" w14:textId="181640EE" w:rsidR="007C5593" w:rsidRPr="007132D5" w:rsidRDefault="000A5866">
      <w:pPr>
        <w:spacing w:after="160" w:line="360" w:lineRule="auto"/>
        <w:jc w:val="center"/>
        <w:rPr>
          <w:rFonts w:ascii="Times New Roman" w:hAnsi="Times New Roman" w:cs="Times New Roman"/>
          <w:b/>
          <w:sz w:val="40"/>
          <w:szCs w:val="40"/>
        </w:rPr>
      </w:pPr>
      <w:r w:rsidRPr="007132D5">
        <w:rPr>
          <w:rFonts w:ascii="Times New Roman" w:hAnsi="Times New Roman" w:cs="Times New Roman"/>
          <w:b/>
          <w:sz w:val="40"/>
          <w:szCs w:val="40"/>
        </w:rPr>
        <w:t>Submitted – Friday 6</w:t>
      </w:r>
      <w:r w:rsidRPr="007132D5">
        <w:rPr>
          <w:rFonts w:ascii="Times New Roman" w:hAnsi="Times New Roman" w:cs="Times New Roman"/>
          <w:b/>
          <w:sz w:val="40"/>
          <w:szCs w:val="40"/>
          <w:vertAlign w:val="superscript"/>
        </w:rPr>
        <w:t>th</w:t>
      </w:r>
      <w:r w:rsidRPr="007132D5">
        <w:rPr>
          <w:rFonts w:ascii="Times New Roman" w:hAnsi="Times New Roman" w:cs="Times New Roman"/>
          <w:b/>
          <w:sz w:val="40"/>
          <w:szCs w:val="40"/>
        </w:rPr>
        <w:t xml:space="preserve"> December 2024</w:t>
      </w:r>
      <w:r w:rsidR="00387D73">
        <w:rPr>
          <w:rFonts w:ascii="Times New Roman" w:hAnsi="Times New Roman" w:cs="Times New Roman"/>
          <w:b/>
          <w:sz w:val="40"/>
          <w:szCs w:val="40"/>
        </w:rPr>
        <w:br/>
        <w:t>Words counts- 15278</w:t>
      </w:r>
    </w:p>
    <w:p w14:paraId="5DB27A25" w14:textId="77777777" w:rsidR="007C5593" w:rsidRPr="007132D5" w:rsidRDefault="007C5593">
      <w:pPr>
        <w:spacing w:after="160" w:line="259" w:lineRule="auto"/>
        <w:rPr>
          <w:rFonts w:ascii="Times New Roman" w:hAnsi="Times New Roman" w:cs="Times New Roman"/>
          <w:u w:val="single"/>
        </w:rPr>
      </w:pPr>
    </w:p>
    <w:p w14:paraId="2304C885" w14:textId="77777777" w:rsidR="007C5593" w:rsidRPr="007132D5" w:rsidRDefault="000A5866">
      <w:pPr>
        <w:pBdr>
          <w:top w:val="single" w:sz="4" w:space="11" w:color="156082"/>
          <w:bottom w:val="single" w:sz="4" w:space="10" w:color="156082"/>
        </w:pBdr>
        <w:spacing w:before="360" w:after="360" w:line="259" w:lineRule="auto"/>
        <w:ind w:left="864" w:right="864"/>
        <w:jc w:val="center"/>
        <w:rPr>
          <w:rFonts w:ascii="Times New Roman" w:eastAsia="Aptos" w:hAnsi="Times New Roman" w:cs="Times New Roman"/>
          <w:i/>
          <w:color w:val="156082"/>
          <w:sz w:val="30"/>
          <w:szCs w:val="30"/>
        </w:rPr>
      </w:pPr>
      <w:r w:rsidRPr="007132D5">
        <w:rPr>
          <w:rFonts w:ascii="Times New Roman" w:eastAsia="Aptos" w:hAnsi="Times New Roman" w:cs="Times New Roman"/>
          <w:i/>
          <w:color w:val="156082"/>
          <w:sz w:val="30"/>
          <w:szCs w:val="30"/>
        </w:rPr>
        <w:t>EVALUATING THE EFFECTIVENESS OF RENEWABLE WIND ENERGY POLICIES IN THE UK</w:t>
      </w:r>
    </w:p>
    <w:p w14:paraId="098D5017" w14:textId="77777777" w:rsidR="007C5593" w:rsidRDefault="007C5593">
      <w:pPr>
        <w:spacing w:before="240" w:after="240" w:line="480" w:lineRule="auto"/>
        <w:jc w:val="center"/>
        <w:rPr>
          <w:b/>
          <w:sz w:val="40"/>
          <w:szCs w:val="40"/>
        </w:rPr>
      </w:pPr>
    </w:p>
    <w:p w14:paraId="0D46378F" w14:textId="77777777" w:rsidR="007C5593" w:rsidRDefault="007C5593">
      <w:pPr>
        <w:spacing w:line="480" w:lineRule="auto"/>
        <w:rPr>
          <w:rFonts w:ascii="Times New Roman" w:eastAsia="Times New Roman" w:hAnsi="Times New Roman" w:cs="Times New Roman"/>
          <w:b/>
          <w:sz w:val="32"/>
          <w:szCs w:val="32"/>
        </w:rPr>
      </w:pPr>
    </w:p>
    <w:p w14:paraId="2269A5B3" w14:textId="28C59DB7" w:rsidR="007132D5" w:rsidRDefault="007132D5">
      <w:pPr>
        <w:rPr>
          <w:rFonts w:ascii="Times New Roman" w:eastAsia="Times New Roman" w:hAnsi="Times New Roman" w:cs="Times New Roman"/>
          <w:b/>
          <w:sz w:val="24"/>
          <w:szCs w:val="24"/>
        </w:rPr>
      </w:pPr>
    </w:p>
    <w:p w14:paraId="59CE1B13" w14:textId="6A6AE896" w:rsidR="007C5593" w:rsidRDefault="000A5866">
      <w:pPr>
        <w:spacing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Declaration</w:t>
      </w:r>
    </w:p>
    <w:p w14:paraId="52F19599" w14:textId="77777777" w:rsidR="007C5593" w:rsidRDefault="000A5866">
      <w:pPr>
        <w:spacing w:before="280" w:after="28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declare that this work is my own and has been conducted in accordance with academic integrity standards. All sources of information, ideas, and data used in this study have been appropriately acknowledged and referenced. I confirm that this research has not been submitted for any other academic assessment or publication. The findings and conclusions presented are based on my analysis and interpretation of the relevant literature and data. I understand that any violation of academic integrity, including plagiarism or misrepresentation, may result in the disqualification of my work. This study adheres to the ethical guidelines of my institution.</w:t>
      </w:r>
    </w:p>
    <w:p w14:paraId="1904E56D" w14:textId="77777777" w:rsidR="007C5593" w:rsidRDefault="007C5593">
      <w:pPr>
        <w:spacing w:after="240" w:line="480" w:lineRule="auto"/>
        <w:jc w:val="center"/>
        <w:rPr>
          <w:rFonts w:ascii="Times New Roman" w:eastAsia="Times New Roman" w:hAnsi="Times New Roman" w:cs="Times New Roman"/>
          <w:b/>
          <w:sz w:val="24"/>
          <w:szCs w:val="24"/>
        </w:rPr>
      </w:pPr>
    </w:p>
    <w:p w14:paraId="6BE24E14" w14:textId="77777777" w:rsidR="007C5593" w:rsidRDefault="000A5866">
      <w:pPr>
        <w:rPr>
          <w:rFonts w:ascii="Times New Roman" w:eastAsia="Times New Roman" w:hAnsi="Times New Roman" w:cs="Times New Roman"/>
          <w:b/>
          <w:sz w:val="24"/>
          <w:szCs w:val="24"/>
        </w:rPr>
      </w:pPr>
      <w:r>
        <w:br w:type="page"/>
      </w:r>
    </w:p>
    <w:p w14:paraId="63DA3A0B" w14:textId="77777777" w:rsidR="007C5593" w:rsidRDefault="000A5866">
      <w:pPr>
        <w:spacing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Acknowledgement </w:t>
      </w:r>
    </w:p>
    <w:p w14:paraId="45F19DAC"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I would like to express my gratitude and thankfulness to my professor and concerned supervisor for allowing me to be a part of a prestigious research project. I am also equally indebted to my lecturers, peers, colleagues, and other university staff members for their significant guidance and support in conducting this research. I would also like to thank the University Library for helping me search for the required information. A special mention goes out to all the individuals who took part in my study as participants to share their opinions and help me evaluate the current situation. Lastly, I am obliged to my family and friends for their considerable patience and encouragement throughout the course of this project work.</w:t>
      </w:r>
    </w:p>
    <w:p w14:paraId="613ABBFB" w14:textId="77777777" w:rsidR="007C5593" w:rsidRDefault="007C5593">
      <w:pPr>
        <w:spacing w:line="480" w:lineRule="auto"/>
        <w:jc w:val="both"/>
        <w:rPr>
          <w:rFonts w:ascii="Times New Roman" w:eastAsia="Times New Roman" w:hAnsi="Times New Roman" w:cs="Times New Roman"/>
          <w:sz w:val="24"/>
          <w:szCs w:val="24"/>
        </w:rPr>
      </w:pPr>
    </w:p>
    <w:p w14:paraId="254A66A0" w14:textId="45F0DF01"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Signature: </w:t>
      </w:r>
      <w:r w:rsidR="007132D5">
        <w:rPr>
          <w:rFonts w:ascii="Times New Roman" w:eastAsia="Times New Roman" w:hAnsi="Times New Roman" w:cs="Times New Roman"/>
          <w:sz w:val="24"/>
          <w:szCs w:val="24"/>
        </w:rPr>
        <w:t>lovepreet</w:t>
      </w:r>
    </w:p>
    <w:p w14:paraId="324FC4D1" w14:textId="32064134"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Date: </w:t>
      </w:r>
      <w:r w:rsidR="007132D5">
        <w:rPr>
          <w:rFonts w:ascii="Times New Roman" w:eastAsia="Times New Roman" w:hAnsi="Times New Roman" w:cs="Times New Roman"/>
          <w:sz w:val="24"/>
          <w:szCs w:val="24"/>
        </w:rPr>
        <w:t>5</w:t>
      </w:r>
      <w:r w:rsidR="007132D5" w:rsidRPr="007132D5">
        <w:rPr>
          <w:rFonts w:ascii="Times New Roman" w:eastAsia="Times New Roman" w:hAnsi="Times New Roman" w:cs="Times New Roman"/>
          <w:sz w:val="24"/>
          <w:szCs w:val="24"/>
          <w:vertAlign w:val="superscript"/>
        </w:rPr>
        <w:t>th</w:t>
      </w:r>
      <w:r w:rsidR="007132D5">
        <w:rPr>
          <w:rFonts w:ascii="Times New Roman" w:eastAsia="Times New Roman" w:hAnsi="Times New Roman" w:cs="Times New Roman"/>
          <w:sz w:val="24"/>
          <w:szCs w:val="24"/>
        </w:rPr>
        <w:t xml:space="preserve"> December 2024</w:t>
      </w:r>
    </w:p>
    <w:p w14:paraId="393E64B6" w14:textId="77777777" w:rsidR="007C5593" w:rsidRDefault="000A5866">
      <w:pPr>
        <w:rPr>
          <w:rFonts w:ascii="Times New Roman" w:eastAsia="Times New Roman" w:hAnsi="Times New Roman" w:cs="Times New Roman"/>
          <w:b/>
          <w:sz w:val="24"/>
          <w:szCs w:val="24"/>
        </w:rPr>
      </w:pPr>
      <w:r>
        <w:br w:type="page"/>
      </w:r>
    </w:p>
    <w:p w14:paraId="29AA6B57" w14:textId="77777777" w:rsidR="007C5593" w:rsidRDefault="000A5866">
      <w:pPr>
        <w:spacing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Abstract</w:t>
      </w:r>
    </w:p>
    <w:p w14:paraId="09E4BE8D" w14:textId="77777777" w:rsidR="007C5593" w:rsidRPr="007132D5" w:rsidRDefault="000A5866">
      <w:pPr>
        <w:spacing w:line="48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Wind energy production in the UK has been identified to be dealing with several shortfalls such as lack of labourers, skill management, funds, and supply chain management. </w:t>
      </w:r>
      <w:r w:rsidRPr="007132D5">
        <w:rPr>
          <w:rFonts w:ascii="Times New Roman" w:eastAsia="Times New Roman" w:hAnsi="Times New Roman" w:cs="Times New Roman"/>
          <w:color w:val="000000" w:themeColor="text1"/>
          <w:sz w:val="24"/>
          <w:szCs w:val="24"/>
        </w:rPr>
        <w:t>However, it has also been identified that the UK government has initiated several policies such as Contracts for Difference (CfD) and Renewable Obligation Certificates (ROCs) that focuses on improving renewable energy sources usage for generating electricity.</w:t>
      </w:r>
    </w:p>
    <w:p w14:paraId="276EE7D0"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literature review of the current study has assessed the effectiveness of renewable energy policies and frameworks including CfD and ROCs in the UK offshore market. It has also highlighted the key challenges such as supply chain constraints and policy inconsistency regarding the aspect of expanding wind energy capacity and increasing investment growth within the UK in-depth. Despite the effectiveness of these policies in promoting wind power, there remain gaps in understanding their broader impact on public perception and the long-term sustainability of the industry.</w:t>
      </w:r>
    </w:p>
    <w:p w14:paraId="64BFE011"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aim of this research is to evaluate the effectiveness of current renewable wind energy policies of the UK such as CfD and ROCs in achieving Net Zero targets of the UK government. In terms of achieving this goal, the present research has adopted a pragmatism research philosophy that has allowed gathering of different opinions, data sources, and techniques such as survey and previous articles reviews. Research designs have been discussed together with research strategy that will be followed. Quantitative approaches for research choice have been taken for as primary data usage. Further, the adoption of a deductive research approach has also increased the scope of reliable result generation through assessing existing theories of effectiveness of renewable wind energy policies of the UK.</w:t>
      </w:r>
    </w:p>
    <w:p w14:paraId="3003CD49" w14:textId="77777777" w:rsidR="007C5593" w:rsidRDefault="000A5866">
      <w:pPr>
        <w:spacing w:line="480" w:lineRule="auto"/>
        <w:jc w:val="both"/>
        <w:rPr>
          <w:rFonts w:ascii="Times New Roman" w:eastAsia="Times New Roman" w:hAnsi="Times New Roman" w:cs="Times New Roman"/>
          <w:sz w:val="24"/>
          <w:szCs w:val="24"/>
        </w:rPr>
      </w:pPr>
      <w:bookmarkStart w:id="0" w:name="_heading=h.gjdgxs" w:colFirst="0" w:colLast="0"/>
      <w:bookmarkEnd w:id="0"/>
      <w:r>
        <w:rPr>
          <w:rFonts w:ascii="Times New Roman" w:eastAsia="Times New Roman" w:hAnsi="Times New Roman" w:cs="Times New Roman"/>
          <w:sz w:val="24"/>
          <w:szCs w:val="24"/>
        </w:rPr>
        <w:lastRenderedPageBreak/>
        <w:t>The findings of the survey are classified into demographic findings and non-demographic findings. The demographic findings clearly highlight that most of the participants are between the age group of 25 and 45 years old. On the other hand, the non-demographic findings highlight that most of the participants believe that policies regarding wind turbine energy can help to mitigate air pollution issues. The chapter of discussion, conclusion and recommendations presents a structured discussion highlighting the similarities and differences that are determined through the research study. It also redefines the research topic and enhances the effectiveness and impact of such policies by underscoring suggestions. This study evaluates the effectiveness of renewable wind energy policies in the UK, focusing on key instruments like Contracts for Difference (CfD) and Renewable Obligation Certificates (ROCs). Through analysis of policy evolution, impacts on project development, and public perceptions, it provides insights into the role of these policies in achieving the UK's renewable energy and Net Zero targets.</w:t>
      </w:r>
    </w:p>
    <w:p w14:paraId="1CE72C95"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BA61968" w14:textId="77777777" w:rsidR="007C5593" w:rsidRDefault="000A5866">
      <w:pPr>
        <w:spacing w:line="480" w:lineRule="auto"/>
        <w:jc w:val="both"/>
        <w:rPr>
          <w:rFonts w:ascii="Times New Roman" w:eastAsia="Times New Roman" w:hAnsi="Times New Roman" w:cs="Times New Roman"/>
          <w:sz w:val="24"/>
          <w:szCs w:val="24"/>
        </w:rPr>
      </w:pPr>
      <w:r>
        <w:br w:type="page"/>
      </w:r>
    </w:p>
    <w:p w14:paraId="5E299D58" w14:textId="77777777" w:rsidR="007C5593" w:rsidRDefault="000A5866">
      <w:pPr>
        <w:keepNext/>
        <w:keepLines/>
        <w:pBdr>
          <w:top w:val="nil"/>
          <w:left w:val="nil"/>
          <w:bottom w:val="nil"/>
          <w:right w:val="nil"/>
          <w:between w:val="nil"/>
        </w:pBdr>
        <w:spacing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id w:val="4472032"/>
        <w:docPartObj>
          <w:docPartGallery w:val="Table of Contents"/>
          <w:docPartUnique/>
        </w:docPartObj>
      </w:sdtPr>
      <w:sdtContent>
        <w:p w14:paraId="7D862ED4" w14:textId="77777777" w:rsidR="007C5593" w:rsidRDefault="007C5593">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r>
            <w:fldChar w:fldCharType="begin"/>
          </w:r>
          <w:r w:rsidR="000A5866">
            <w:instrText xml:space="preserve"> TOC \h \u \z \t "Heading 1,1,Heading 2,2,Heading 3,3,"</w:instrText>
          </w:r>
          <w:r>
            <w:fldChar w:fldCharType="separate"/>
          </w:r>
          <w:hyperlink w:anchor="_heading=h.30j0zll">
            <w:r w:rsidR="000A5866">
              <w:rPr>
                <w:rFonts w:ascii="Times New Roman" w:eastAsia="Times New Roman" w:hAnsi="Times New Roman" w:cs="Times New Roman"/>
                <w:color w:val="000000"/>
                <w:sz w:val="24"/>
                <w:szCs w:val="24"/>
              </w:rPr>
              <w:t>Chapter 1: Introduction and Background Information</w:t>
            </w:r>
            <w:r w:rsidR="000A5866">
              <w:rPr>
                <w:rFonts w:ascii="Times New Roman" w:eastAsia="Times New Roman" w:hAnsi="Times New Roman" w:cs="Times New Roman"/>
                <w:color w:val="000000"/>
                <w:sz w:val="24"/>
                <w:szCs w:val="24"/>
              </w:rPr>
              <w:tab/>
              <w:t>11</w:t>
            </w:r>
          </w:hyperlink>
        </w:p>
        <w:p w14:paraId="1FBF7081"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1fob9te">
            <w:r w:rsidR="000A5866">
              <w:rPr>
                <w:rFonts w:ascii="Times New Roman" w:eastAsia="Times New Roman" w:hAnsi="Times New Roman" w:cs="Times New Roman"/>
                <w:color w:val="000000"/>
                <w:sz w:val="24"/>
                <w:szCs w:val="24"/>
              </w:rPr>
              <w:t>1.1 Chapter Introduction</w:t>
            </w:r>
            <w:r w:rsidR="000A5866">
              <w:rPr>
                <w:rFonts w:ascii="Times New Roman" w:eastAsia="Times New Roman" w:hAnsi="Times New Roman" w:cs="Times New Roman"/>
                <w:color w:val="000000"/>
                <w:sz w:val="24"/>
                <w:szCs w:val="24"/>
              </w:rPr>
              <w:tab/>
              <w:t>11</w:t>
            </w:r>
          </w:hyperlink>
        </w:p>
        <w:p w14:paraId="0E4BD783"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3znysh7">
            <w:r w:rsidR="000A5866">
              <w:rPr>
                <w:rFonts w:ascii="Times New Roman" w:eastAsia="Times New Roman" w:hAnsi="Times New Roman" w:cs="Times New Roman"/>
                <w:color w:val="000000"/>
                <w:sz w:val="24"/>
                <w:szCs w:val="24"/>
              </w:rPr>
              <w:t>1.2 Research Background</w:t>
            </w:r>
            <w:r w:rsidR="000A5866">
              <w:rPr>
                <w:rFonts w:ascii="Times New Roman" w:eastAsia="Times New Roman" w:hAnsi="Times New Roman" w:cs="Times New Roman"/>
                <w:color w:val="000000"/>
                <w:sz w:val="24"/>
                <w:szCs w:val="24"/>
              </w:rPr>
              <w:tab/>
              <w:t>11</w:t>
            </w:r>
          </w:hyperlink>
        </w:p>
        <w:p w14:paraId="0E977D7B"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tyjcwt">
            <w:r w:rsidR="000A5866">
              <w:rPr>
                <w:rFonts w:ascii="Times New Roman" w:eastAsia="Times New Roman" w:hAnsi="Times New Roman" w:cs="Times New Roman"/>
                <w:color w:val="000000"/>
                <w:sz w:val="24"/>
                <w:szCs w:val="24"/>
              </w:rPr>
              <w:t>1.3 Problem Statement</w:t>
            </w:r>
            <w:r w:rsidR="000A5866">
              <w:rPr>
                <w:rFonts w:ascii="Times New Roman" w:eastAsia="Times New Roman" w:hAnsi="Times New Roman" w:cs="Times New Roman"/>
                <w:color w:val="000000"/>
                <w:sz w:val="24"/>
                <w:szCs w:val="24"/>
              </w:rPr>
              <w:tab/>
              <w:t>13</w:t>
            </w:r>
          </w:hyperlink>
        </w:p>
        <w:p w14:paraId="64B596B2"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3dy6vkm">
            <w:r w:rsidR="000A5866">
              <w:rPr>
                <w:rFonts w:ascii="Times New Roman" w:eastAsia="Times New Roman" w:hAnsi="Times New Roman" w:cs="Times New Roman"/>
                <w:color w:val="000000"/>
                <w:sz w:val="24"/>
                <w:szCs w:val="24"/>
              </w:rPr>
              <w:t>1.4 Research Contribution to Mitigate the Problem</w:t>
            </w:r>
            <w:r w:rsidR="000A5866">
              <w:rPr>
                <w:rFonts w:ascii="Times New Roman" w:eastAsia="Times New Roman" w:hAnsi="Times New Roman" w:cs="Times New Roman"/>
                <w:color w:val="000000"/>
                <w:sz w:val="24"/>
                <w:szCs w:val="24"/>
              </w:rPr>
              <w:tab/>
              <w:t>13</w:t>
            </w:r>
          </w:hyperlink>
        </w:p>
        <w:p w14:paraId="256321A7"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1t3h5sf">
            <w:r w:rsidR="000A5866">
              <w:rPr>
                <w:rFonts w:ascii="Times New Roman" w:eastAsia="Times New Roman" w:hAnsi="Times New Roman" w:cs="Times New Roman"/>
                <w:color w:val="000000"/>
                <w:sz w:val="24"/>
                <w:szCs w:val="24"/>
              </w:rPr>
              <w:t>1.5 Research Aim and Objectives</w:t>
            </w:r>
            <w:r w:rsidR="000A5866">
              <w:rPr>
                <w:rFonts w:ascii="Times New Roman" w:eastAsia="Times New Roman" w:hAnsi="Times New Roman" w:cs="Times New Roman"/>
                <w:color w:val="000000"/>
                <w:sz w:val="24"/>
                <w:szCs w:val="24"/>
              </w:rPr>
              <w:tab/>
              <w:t>14</w:t>
            </w:r>
          </w:hyperlink>
        </w:p>
        <w:p w14:paraId="670EC83A"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4d34og8">
            <w:r w:rsidR="000A5866">
              <w:rPr>
                <w:rFonts w:ascii="Times New Roman" w:eastAsia="Times New Roman" w:hAnsi="Times New Roman" w:cs="Times New Roman"/>
                <w:color w:val="000000"/>
                <w:sz w:val="24"/>
                <w:szCs w:val="24"/>
              </w:rPr>
              <w:t>1.6 Research Questions</w:t>
            </w:r>
            <w:r w:rsidR="000A5866">
              <w:rPr>
                <w:rFonts w:ascii="Times New Roman" w:eastAsia="Times New Roman" w:hAnsi="Times New Roman" w:cs="Times New Roman"/>
                <w:color w:val="000000"/>
                <w:sz w:val="24"/>
                <w:szCs w:val="24"/>
              </w:rPr>
              <w:tab/>
              <w:t>15</w:t>
            </w:r>
          </w:hyperlink>
        </w:p>
        <w:p w14:paraId="3D243AA1"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2s8eyo1">
            <w:r w:rsidR="000A5866">
              <w:rPr>
                <w:rFonts w:ascii="Times New Roman" w:eastAsia="Times New Roman" w:hAnsi="Times New Roman" w:cs="Times New Roman"/>
                <w:color w:val="000000"/>
                <w:sz w:val="24"/>
                <w:szCs w:val="24"/>
              </w:rPr>
              <w:t>1.7 Research Rationale</w:t>
            </w:r>
            <w:r w:rsidR="000A5866">
              <w:rPr>
                <w:rFonts w:ascii="Times New Roman" w:eastAsia="Times New Roman" w:hAnsi="Times New Roman" w:cs="Times New Roman"/>
                <w:color w:val="000000"/>
                <w:sz w:val="24"/>
                <w:szCs w:val="24"/>
              </w:rPr>
              <w:tab/>
              <w:t>15</w:t>
            </w:r>
          </w:hyperlink>
        </w:p>
        <w:p w14:paraId="31E9F8FF"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17dp8vu">
            <w:r w:rsidR="000A5866">
              <w:rPr>
                <w:rFonts w:ascii="Times New Roman" w:eastAsia="Times New Roman" w:hAnsi="Times New Roman" w:cs="Times New Roman"/>
                <w:color w:val="000000"/>
                <w:sz w:val="24"/>
                <w:szCs w:val="24"/>
              </w:rPr>
              <w:t>1.8 Methodological Overview</w:t>
            </w:r>
            <w:r w:rsidR="000A5866">
              <w:rPr>
                <w:rFonts w:ascii="Times New Roman" w:eastAsia="Times New Roman" w:hAnsi="Times New Roman" w:cs="Times New Roman"/>
                <w:color w:val="000000"/>
                <w:sz w:val="24"/>
                <w:szCs w:val="24"/>
              </w:rPr>
              <w:tab/>
              <w:t>16</w:t>
            </w:r>
          </w:hyperlink>
        </w:p>
        <w:p w14:paraId="7802258D"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3rdcrjn">
            <w:r w:rsidR="000A5866">
              <w:rPr>
                <w:rFonts w:ascii="Times New Roman" w:eastAsia="Times New Roman" w:hAnsi="Times New Roman" w:cs="Times New Roman"/>
                <w:color w:val="000000"/>
                <w:sz w:val="24"/>
                <w:szCs w:val="24"/>
              </w:rPr>
              <w:t>1.9 Research Significance</w:t>
            </w:r>
            <w:r w:rsidR="000A5866">
              <w:rPr>
                <w:rFonts w:ascii="Times New Roman" w:eastAsia="Times New Roman" w:hAnsi="Times New Roman" w:cs="Times New Roman"/>
                <w:color w:val="000000"/>
                <w:sz w:val="24"/>
                <w:szCs w:val="24"/>
              </w:rPr>
              <w:tab/>
              <w:t>17</w:t>
            </w:r>
          </w:hyperlink>
        </w:p>
        <w:p w14:paraId="0567870A"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26in1rg">
            <w:r w:rsidR="000A5866">
              <w:rPr>
                <w:rFonts w:ascii="Times New Roman" w:eastAsia="Times New Roman" w:hAnsi="Times New Roman" w:cs="Times New Roman"/>
                <w:color w:val="000000"/>
                <w:sz w:val="24"/>
                <w:szCs w:val="24"/>
              </w:rPr>
              <w:t>1.10 Dissertation Structure</w:t>
            </w:r>
            <w:r w:rsidR="000A5866">
              <w:rPr>
                <w:rFonts w:ascii="Times New Roman" w:eastAsia="Times New Roman" w:hAnsi="Times New Roman" w:cs="Times New Roman"/>
                <w:color w:val="000000"/>
                <w:sz w:val="24"/>
                <w:szCs w:val="24"/>
              </w:rPr>
              <w:tab/>
              <w:t>18</w:t>
            </w:r>
          </w:hyperlink>
        </w:p>
        <w:p w14:paraId="6FB44500"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35nkun2">
            <w:r w:rsidR="000A5866">
              <w:rPr>
                <w:rFonts w:ascii="Times New Roman" w:eastAsia="Times New Roman" w:hAnsi="Times New Roman" w:cs="Times New Roman"/>
                <w:color w:val="000000"/>
                <w:sz w:val="24"/>
                <w:szCs w:val="24"/>
              </w:rPr>
              <w:t>1.11 Chapter Summary</w:t>
            </w:r>
            <w:r w:rsidR="000A5866">
              <w:rPr>
                <w:rFonts w:ascii="Times New Roman" w:eastAsia="Times New Roman" w:hAnsi="Times New Roman" w:cs="Times New Roman"/>
                <w:color w:val="000000"/>
                <w:sz w:val="24"/>
                <w:szCs w:val="24"/>
              </w:rPr>
              <w:tab/>
              <w:t>19</w:t>
            </w:r>
          </w:hyperlink>
        </w:p>
        <w:p w14:paraId="71C7FDF1" w14:textId="77777777" w:rsidR="007C5593" w:rsidRDefault="00000000">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1ksv4uv">
            <w:r w:rsidR="000A5866">
              <w:rPr>
                <w:rFonts w:ascii="Times New Roman" w:eastAsia="Times New Roman" w:hAnsi="Times New Roman" w:cs="Times New Roman"/>
                <w:color w:val="000000"/>
                <w:sz w:val="24"/>
                <w:szCs w:val="24"/>
              </w:rPr>
              <w:t>Chapter 2: Literature Review</w:t>
            </w:r>
            <w:r w:rsidR="000A5866">
              <w:rPr>
                <w:rFonts w:ascii="Times New Roman" w:eastAsia="Times New Roman" w:hAnsi="Times New Roman" w:cs="Times New Roman"/>
                <w:color w:val="000000"/>
                <w:sz w:val="24"/>
                <w:szCs w:val="24"/>
              </w:rPr>
              <w:tab/>
              <w:t>20</w:t>
            </w:r>
          </w:hyperlink>
        </w:p>
        <w:p w14:paraId="20660AF4"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44sinio">
            <w:r w:rsidR="000A5866">
              <w:rPr>
                <w:rFonts w:ascii="Times New Roman" w:eastAsia="Times New Roman" w:hAnsi="Times New Roman" w:cs="Times New Roman"/>
                <w:color w:val="000000"/>
                <w:sz w:val="24"/>
                <w:szCs w:val="24"/>
              </w:rPr>
              <w:t>2.1 Chapter Introduction</w:t>
            </w:r>
            <w:r w:rsidR="000A5866">
              <w:rPr>
                <w:rFonts w:ascii="Times New Roman" w:eastAsia="Times New Roman" w:hAnsi="Times New Roman" w:cs="Times New Roman"/>
                <w:color w:val="000000"/>
                <w:sz w:val="24"/>
                <w:szCs w:val="24"/>
              </w:rPr>
              <w:tab/>
              <w:t>20</w:t>
            </w:r>
          </w:hyperlink>
        </w:p>
        <w:p w14:paraId="05BEE49F"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2jxsxqh">
            <w:r w:rsidR="000A5866">
              <w:rPr>
                <w:rFonts w:ascii="Times New Roman" w:eastAsia="Times New Roman" w:hAnsi="Times New Roman" w:cs="Times New Roman"/>
                <w:color w:val="000000"/>
                <w:sz w:val="24"/>
                <w:szCs w:val="24"/>
              </w:rPr>
              <w:t>2.2 Concept of Renewable Wind Energy</w:t>
            </w:r>
            <w:r w:rsidR="000A5866">
              <w:rPr>
                <w:rFonts w:ascii="Times New Roman" w:eastAsia="Times New Roman" w:hAnsi="Times New Roman" w:cs="Times New Roman"/>
                <w:color w:val="000000"/>
                <w:sz w:val="24"/>
                <w:szCs w:val="24"/>
              </w:rPr>
              <w:tab/>
              <w:t>20</w:t>
            </w:r>
          </w:hyperlink>
        </w:p>
        <w:p w14:paraId="07556129"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z337ya">
            <w:r w:rsidR="000A5866">
              <w:rPr>
                <w:rFonts w:ascii="Times New Roman" w:eastAsia="Times New Roman" w:hAnsi="Times New Roman" w:cs="Times New Roman"/>
                <w:color w:val="000000"/>
                <w:sz w:val="24"/>
                <w:szCs w:val="24"/>
              </w:rPr>
              <w:t>2.3 Evolution of Wind Energy Policies and Key Policy Instruments in the UK</w:t>
            </w:r>
            <w:r w:rsidR="000A5866">
              <w:rPr>
                <w:rFonts w:ascii="Times New Roman" w:eastAsia="Times New Roman" w:hAnsi="Times New Roman" w:cs="Times New Roman"/>
                <w:color w:val="000000"/>
                <w:sz w:val="24"/>
                <w:szCs w:val="24"/>
              </w:rPr>
              <w:tab/>
              <w:t>22</w:t>
            </w:r>
          </w:hyperlink>
        </w:p>
        <w:p w14:paraId="717D1A9D"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1y810tw">
            <w:r w:rsidR="000A5866">
              <w:rPr>
                <w:rFonts w:ascii="Times New Roman" w:eastAsia="Times New Roman" w:hAnsi="Times New Roman" w:cs="Times New Roman"/>
                <w:color w:val="000000"/>
                <w:sz w:val="24"/>
                <w:szCs w:val="24"/>
              </w:rPr>
              <w:t>2.4 Impact of the Policies on Development of Both Onshore and Offshore Wind Energy Projects</w:t>
            </w:r>
            <w:r w:rsidR="000A5866">
              <w:rPr>
                <w:rFonts w:ascii="Times New Roman" w:eastAsia="Times New Roman" w:hAnsi="Times New Roman" w:cs="Times New Roman"/>
                <w:color w:val="000000"/>
                <w:sz w:val="24"/>
                <w:szCs w:val="24"/>
              </w:rPr>
              <w:tab/>
              <w:t>25</w:t>
            </w:r>
          </w:hyperlink>
        </w:p>
        <w:p w14:paraId="6772E621"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4i7ojhp">
            <w:r w:rsidR="000A5866">
              <w:rPr>
                <w:rFonts w:ascii="Times New Roman" w:eastAsia="Times New Roman" w:hAnsi="Times New Roman" w:cs="Times New Roman"/>
                <w:color w:val="000000"/>
                <w:sz w:val="24"/>
                <w:szCs w:val="24"/>
              </w:rPr>
              <w:t>2.5 Role of UK Policies on Capacity Expansion, Investment Growth, and Cost Competitiveness</w:t>
            </w:r>
            <w:r w:rsidR="000A5866">
              <w:rPr>
                <w:rFonts w:ascii="Times New Roman" w:eastAsia="Times New Roman" w:hAnsi="Times New Roman" w:cs="Times New Roman"/>
                <w:color w:val="000000"/>
                <w:sz w:val="24"/>
                <w:szCs w:val="24"/>
              </w:rPr>
              <w:tab/>
              <w:t>26</w:t>
            </w:r>
          </w:hyperlink>
        </w:p>
        <w:p w14:paraId="3DF36BCF"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1ci93xb">
            <w:r w:rsidR="000A5866">
              <w:rPr>
                <w:rFonts w:ascii="Times New Roman" w:eastAsia="Times New Roman" w:hAnsi="Times New Roman" w:cs="Times New Roman"/>
                <w:color w:val="000000"/>
                <w:sz w:val="24"/>
                <w:szCs w:val="24"/>
              </w:rPr>
              <w:t>2.6 Challenges in the Development of Wind Energy concerning these Policies in UK</w:t>
            </w:r>
            <w:r w:rsidR="000A5866">
              <w:rPr>
                <w:rFonts w:ascii="Times New Roman" w:eastAsia="Times New Roman" w:hAnsi="Times New Roman" w:cs="Times New Roman"/>
                <w:color w:val="000000"/>
                <w:sz w:val="24"/>
                <w:szCs w:val="24"/>
              </w:rPr>
              <w:tab/>
              <w:t>29</w:t>
            </w:r>
          </w:hyperlink>
        </w:p>
        <w:p w14:paraId="3E7BCCA6"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3whwml4">
            <w:r w:rsidR="000A5866">
              <w:rPr>
                <w:rFonts w:ascii="Times New Roman" w:eastAsia="Times New Roman" w:hAnsi="Times New Roman" w:cs="Times New Roman"/>
                <w:color w:val="000000"/>
                <w:sz w:val="24"/>
                <w:szCs w:val="24"/>
              </w:rPr>
              <w:t>2.7 Potential Opportunities for the Future Development of Wind Energy in the UK</w:t>
            </w:r>
            <w:r w:rsidR="000A5866">
              <w:rPr>
                <w:rFonts w:ascii="Times New Roman" w:eastAsia="Times New Roman" w:hAnsi="Times New Roman" w:cs="Times New Roman"/>
                <w:color w:val="000000"/>
                <w:sz w:val="24"/>
                <w:szCs w:val="24"/>
              </w:rPr>
              <w:tab/>
              <w:t>31</w:t>
            </w:r>
          </w:hyperlink>
        </w:p>
        <w:p w14:paraId="2E66DE16" w14:textId="77777777" w:rsidR="007C5593" w:rsidRDefault="00000000">
          <w:pPr>
            <w:pBdr>
              <w:top w:val="nil"/>
              <w:left w:val="nil"/>
              <w:bottom w:val="nil"/>
              <w:right w:val="nil"/>
              <w:between w:val="nil"/>
            </w:pBdr>
            <w:tabs>
              <w:tab w:val="right" w:leader="dot" w:pos="9350"/>
            </w:tabs>
            <w:spacing w:after="100" w:line="360" w:lineRule="auto"/>
            <w:ind w:left="440"/>
            <w:rPr>
              <w:rFonts w:ascii="Times New Roman" w:eastAsia="Times New Roman" w:hAnsi="Times New Roman" w:cs="Times New Roman"/>
              <w:color w:val="000000"/>
              <w:sz w:val="24"/>
              <w:szCs w:val="24"/>
            </w:rPr>
          </w:pPr>
          <w:hyperlink w:anchor="_heading=h.2bn6wsx">
            <w:r w:rsidR="000A5866">
              <w:rPr>
                <w:rFonts w:ascii="Times New Roman" w:eastAsia="Times New Roman" w:hAnsi="Times New Roman" w:cs="Times New Roman"/>
                <w:color w:val="000000"/>
                <w:sz w:val="24"/>
                <w:szCs w:val="24"/>
              </w:rPr>
              <w:t>Future opportunities for clean power mission of UK</w:t>
            </w:r>
            <w:r w:rsidR="000A5866">
              <w:rPr>
                <w:rFonts w:ascii="Times New Roman" w:eastAsia="Times New Roman" w:hAnsi="Times New Roman" w:cs="Times New Roman"/>
                <w:color w:val="000000"/>
                <w:sz w:val="24"/>
                <w:szCs w:val="24"/>
              </w:rPr>
              <w:tab/>
              <w:t>31</w:t>
            </w:r>
          </w:hyperlink>
        </w:p>
        <w:p w14:paraId="3B62CD68" w14:textId="77777777" w:rsidR="007C5593" w:rsidRDefault="00000000">
          <w:pPr>
            <w:pBdr>
              <w:top w:val="nil"/>
              <w:left w:val="nil"/>
              <w:bottom w:val="nil"/>
              <w:right w:val="nil"/>
              <w:between w:val="nil"/>
            </w:pBdr>
            <w:tabs>
              <w:tab w:val="right" w:leader="dot" w:pos="9350"/>
            </w:tabs>
            <w:spacing w:after="100" w:line="360" w:lineRule="auto"/>
            <w:ind w:left="440"/>
            <w:rPr>
              <w:rFonts w:ascii="Times New Roman" w:eastAsia="Times New Roman" w:hAnsi="Times New Roman" w:cs="Times New Roman"/>
              <w:color w:val="000000"/>
              <w:sz w:val="24"/>
              <w:szCs w:val="24"/>
            </w:rPr>
          </w:pPr>
          <w:hyperlink w:anchor="_heading=h.qsh70q">
            <w:r w:rsidR="000A5866">
              <w:rPr>
                <w:rFonts w:ascii="Times New Roman" w:eastAsia="Times New Roman" w:hAnsi="Times New Roman" w:cs="Times New Roman"/>
                <w:color w:val="000000"/>
                <w:sz w:val="24"/>
                <w:szCs w:val="24"/>
              </w:rPr>
              <w:t>The deployment of production automation in Supply chain management processes</w:t>
            </w:r>
            <w:r w:rsidR="000A5866">
              <w:rPr>
                <w:rFonts w:ascii="Times New Roman" w:eastAsia="Times New Roman" w:hAnsi="Times New Roman" w:cs="Times New Roman"/>
                <w:color w:val="000000"/>
                <w:sz w:val="24"/>
                <w:szCs w:val="24"/>
              </w:rPr>
              <w:tab/>
              <w:t>32</w:t>
            </w:r>
          </w:hyperlink>
        </w:p>
        <w:p w14:paraId="586ED955"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3as4poj">
            <w:r w:rsidR="000A5866">
              <w:rPr>
                <w:rFonts w:ascii="Times New Roman" w:eastAsia="Times New Roman" w:hAnsi="Times New Roman" w:cs="Times New Roman"/>
                <w:color w:val="000000"/>
                <w:sz w:val="24"/>
                <w:szCs w:val="24"/>
              </w:rPr>
              <w:t>2.8 Theoretical Perspectives</w:t>
            </w:r>
            <w:r w:rsidR="000A5866">
              <w:rPr>
                <w:rFonts w:ascii="Times New Roman" w:eastAsia="Times New Roman" w:hAnsi="Times New Roman" w:cs="Times New Roman"/>
                <w:color w:val="000000"/>
                <w:sz w:val="24"/>
                <w:szCs w:val="24"/>
              </w:rPr>
              <w:tab/>
              <w:t>32</w:t>
            </w:r>
          </w:hyperlink>
        </w:p>
        <w:p w14:paraId="2F9487D1" w14:textId="77777777" w:rsidR="007C5593" w:rsidRDefault="00000000">
          <w:pPr>
            <w:pBdr>
              <w:top w:val="nil"/>
              <w:left w:val="nil"/>
              <w:bottom w:val="nil"/>
              <w:right w:val="nil"/>
              <w:between w:val="nil"/>
            </w:pBdr>
            <w:tabs>
              <w:tab w:val="right" w:leader="dot" w:pos="9350"/>
            </w:tabs>
            <w:spacing w:after="100" w:line="360" w:lineRule="auto"/>
            <w:ind w:left="440"/>
            <w:rPr>
              <w:rFonts w:ascii="Times New Roman" w:eastAsia="Times New Roman" w:hAnsi="Times New Roman" w:cs="Times New Roman"/>
              <w:color w:val="000000"/>
              <w:sz w:val="24"/>
              <w:szCs w:val="24"/>
            </w:rPr>
          </w:pPr>
          <w:hyperlink w:anchor="_heading=h.1pxezwc">
            <w:r w:rsidR="000A5866">
              <w:rPr>
                <w:rFonts w:ascii="Times New Roman" w:eastAsia="Times New Roman" w:hAnsi="Times New Roman" w:cs="Times New Roman"/>
                <w:color w:val="000000"/>
                <w:sz w:val="24"/>
                <w:szCs w:val="24"/>
              </w:rPr>
              <w:t>2.8.1 Innovation System Theory</w:t>
            </w:r>
            <w:r w:rsidR="000A5866">
              <w:rPr>
                <w:rFonts w:ascii="Times New Roman" w:eastAsia="Times New Roman" w:hAnsi="Times New Roman" w:cs="Times New Roman"/>
                <w:color w:val="000000"/>
                <w:sz w:val="24"/>
                <w:szCs w:val="24"/>
              </w:rPr>
              <w:tab/>
              <w:t>32</w:t>
            </w:r>
          </w:hyperlink>
        </w:p>
        <w:p w14:paraId="702B3304" w14:textId="77777777" w:rsidR="007C5593" w:rsidRDefault="00000000">
          <w:pPr>
            <w:pBdr>
              <w:top w:val="nil"/>
              <w:left w:val="nil"/>
              <w:bottom w:val="nil"/>
              <w:right w:val="nil"/>
              <w:between w:val="nil"/>
            </w:pBdr>
            <w:tabs>
              <w:tab w:val="right" w:leader="dot" w:pos="9350"/>
            </w:tabs>
            <w:spacing w:after="100" w:line="360" w:lineRule="auto"/>
            <w:ind w:left="440"/>
            <w:rPr>
              <w:rFonts w:ascii="Times New Roman" w:eastAsia="Times New Roman" w:hAnsi="Times New Roman" w:cs="Times New Roman"/>
              <w:color w:val="000000"/>
              <w:sz w:val="24"/>
              <w:szCs w:val="24"/>
            </w:rPr>
          </w:pPr>
          <w:hyperlink w:anchor="_heading=h.2p2csry">
            <w:r w:rsidR="000A5866">
              <w:rPr>
                <w:rFonts w:ascii="Times New Roman" w:eastAsia="Times New Roman" w:hAnsi="Times New Roman" w:cs="Times New Roman"/>
                <w:color w:val="000000"/>
                <w:sz w:val="24"/>
                <w:szCs w:val="24"/>
              </w:rPr>
              <w:t>2.8.2 Multi-Level Governance (MLG) Framework</w:t>
            </w:r>
            <w:r w:rsidR="000A5866">
              <w:rPr>
                <w:rFonts w:ascii="Times New Roman" w:eastAsia="Times New Roman" w:hAnsi="Times New Roman" w:cs="Times New Roman"/>
                <w:color w:val="000000"/>
                <w:sz w:val="24"/>
                <w:szCs w:val="24"/>
              </w:rPr>
              <w:tab/>
              <w:t>34</w:t>
            </w:r>
          </w:hyperlink>
        </w:p>
        <w:p w14:paraId="44511557"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3o7alnk">
            <w:r w:rsidR="000A5866">
              <w:rPr>
                <w:rFonts w:ascii="Times New Roman" w:eastAsia="Times New Roman" w:hAnsi="Times New Roman" w:cs="Times New Roman"/>
                <w:color w:val="000000"/>
                <w:sz w:val="24"/>
                <w:szCs w:val="24"/>
              </w:rPr>
              <w:t>2.10 Conceptual Framework</w:t>
            </w:r>
            <w:r w:rsidR="000A5866">
              <w:rPr>
                <w:rFonts w:ascii="Times New Roman" w:eastAsia="Times New Roman" w:hAnsi="Times New Roman" w:cs="Times New Roman"/>
                <w:color w:val="000000"/>
                <w:sz w:val="24"/>
                <w:szCs w:val="24"/>
              </w:rPr>
              <w:tab/>
              <w:t>36</w:t>
            </w:r>
          </w:hyperlink>
        </w:p>
        <w:p w14:paraId="75AC923A"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ihv636">
            <w:r w:rsidR="000A5866">
              <w:rPr>
                <w:rFonts w:ascii="Times New Roman" w:eastAsia="Times New Roman" w:hAnsi="Times New Roman" w:cs="Times New Roman"/>
                <w:color w:val="000000"/>
                <w:sz w:val="24"/>
                <w:szCs w:val="24"/>
              </w:rPr>
              <w:t>2.11 Gap in Literature</w:t>
            </w:r>
            <w:r w:rsidR="000A5866">
              <w:rPr>
                <w:rFonts w:ascii="Times New Roman" w:eastAsia="Times New Roman" w:hAnsi="Times New Roman" w:cs="Times New Roman"/>
                <w:color w:val="000000"/>
                <w:sz w:val="24"/>
                <w:szCs w:val="24"/>
              </w:rPr>
              <w:tab/>
              <w:t>37</w:t>
            </w:r>
          </w:hyperlink>
        </w:p>
        <w:p w14:paraId="7872C349"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32hioqz">
            <w:r w:rsidR="000A5866">
              <w:rPr>
                <w:rFonts w:ascii="Times New Roman" w:eastAsia="Times New Roman" w:hAnsi="Times New Roman" w:cs="Times New Roman"/>
                <w:color w:val="000000"/>
                <w:sz w:val="24"/>
                <w:szCs w:val="24"/>
              </w:rPr>
              <w:t>2.12 Chapter Summary</w:t>
            </w:r>
            <w:r w:rsidR="000A5866">
              <w:rPr>
                <w:rFonts w:ascii="Times New Roman" w:eastAsia="Times New Roman" w:hAnsi="Times New Roman" w:cs="Times New Roman"/>
                <w:color w:val="000000"/>
                <w:sz w:val="24"/>
                <w:szCs w:val="24"/>
              </w:rPr>
              <w:tab/>
              <w:t>37</w:t>
            </w:r>
          </w:hyperlink>
        </w:p>
        <w:p w14:paraId="65BAD069" w14:textId="77777777" w:rsidR="007C5593" w:rsidRDefault="00000000">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1hmsyys">
            <w:r w:rsidR="000A5866">
              <w:rPr>
                <w:rFonts w:ascii="Times New Roman" w:eastAsia="Times New Roman" w:hAnsi="Times New Roman" w:cs="Times New Roman"/>
                <w:color w:val="000000"/>
                <w:sz w:val="24"/>
                <w:szCs w:val="24"/>
              </w:rPr>
              <w:t>Chapter 3: Research Methodology</w:t>
            </w:r>
            <w:r w:rsidR="000A5866">
              <w:rPr>
                <w:rFonts w:ascii="Times New Roman" w:eastAsia="Times New Roman" w:hAnsi="Times New Roman" w:cs="Times New Roman"/>
                <w:color w:val="000000"/>
                <w:sz w:val="24"/>
                <w:szCs w:val="24"/>
              </w:rPr>
              <w:tab/>
              <w:t>39</w:t>
            </w:r>
          </w:hyperlink>
        </w:p>
        <w:p w14:paraId="4ADA46F4"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41mghml">
            <w:r w:rsidR="000A5866">
              <w:rPr>
                <w:rFonts w:ascii="Times New Roman" w:eastAsia="Times New Roman" w:hAnsi="Times New Roman" w:cs="Times New Roman"/>
                <w:color w:val="000000"/>
                <w:sz w:val="24"/>
                <w:szCs w:val="24"/>
              </w:rPr>
              <w:t>3.1 Chapter Introduction</w:t>
            </w:r>
            <w:r w:rsidR="000A5866">
              <w:rPr>
                <w:rFonts w:ascii="Times New Roman" w:eastAsia="Times New Roman" w:hAnsi="Times New Roman" w:cs="Times New Roman"/>
                <w:color w:val="000000"/>
                <w:sz w:val="24"/>
                <w:szCs w:val="24"/>
              </w:rPr>
              <w:tab/>
              <w:t>39</w:t>
            </w:r>
          </w:hyperlink>
        </w:p>
        <w:p w14:paraId="32E0CD51"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2grqrue">
            <w:r w:rsidR="000A5866">
              <w:rPr>
                <w:rFonts w:ascii="Times New Roman" w:eastAsia="Times New Roman" w:hAnsi="Times New Roman" w:cs="Times New Roman"/>
                <w:color w:val="000000"/>
                <w:sz w:val="24"/>
                <w:szCs w:val="24"/>
              </w:rPr>
              <w:t>3.2 Research Onion</w:t>
            </w:r>
            <w:r w:rsidR="000A5866">
              <w:rPr>
                <w:rFonts w:ascii="Times New Roman" w:eastAsia="Times New Roman" w:hAnsi="Times New Roman" w:cs="Times New Roman"/>
                <w:color w:val="000000"/>
                <w:sz w:val="24"/>
                <w:szCs w:val="24"/>
              </w:rPr>
              <w:tab/>
              <w:t>40</w:t>
            </w:r>
          </w:hyperlink>
        </w:p>
        <w:p w14:paraId="75316B9F"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vx1227">
            <w:r w:rsidR="000A5866">
              <w:rPr>
                <w:rFonts w:ascii="Times New Roman" w:eastAsia="Times New Roman" w:hAnsi="Times New Roman" w:cs="Times New Roman"/>
                <w:color w:val="000000"/>
                <w:sz w:val="24"/>
                <w:szCs w:val="24"/>
              </w:rPr>
              <w:t>3.3 Research Philosophy</w:t>
            </w:r>
            <w:r w:rsidR="000A5866">
              <w:rPr>
                <w:rFonts w:ascii="Times New Roman" w:eastAsia="Times New Roman" w:hAnsi="Times New Roman" w:cs="Times New Roman"/>
                <w:color w:val="000000"/>
                <w:sz w:val="24"/>
                <w:szCs w:val="24"/>
              </w:rPr>
              <w:tab/>
              <w:t>41</w:t>
            </w:r>
          </w:hyperlink>
        </w:p>
        <w:p w14:paraId="03FAB2BE"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3fwokq0">
            <w:r w:rsidR="000A5866">
              <w:rPr>
                <w:rFonts w:ascii="Times New Roman" w:eastAsia="Times New Roman" w:hAnsi="Times New Roman" w:cs="Times New Roman"/>
                <w:color w:val="000000"/>
                <w:sz w:val="24"/>
                <w:szCs w:val="24"/>
              </w:rPr>
              <w:t>3.4 Research Approach</w:t>
            </w:r>
            <w:r w:rsidR="000A5866">
              <w:rPr>
                <w:rFonts w:ascii="Times New Roman" w:eastAsia="Times New Roman" w:hAnsi="Times New Roman" w:cs="Times New Roman"/>
                <w:color w:val="000000"/>
                <w:sz w:val="24"/>
                <w:szCs w:val="24"/>
              </w:rPr>
              <w:tab/>
              <w:t>42</w:t>
            </w:r>
          </w:hyperlink>
        </w:p>
        <w:p w14:paraId="43A7DFCA"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1v1yuxt">
            <w:r w:rsidR="000A5866">
              <w:rPr>
                <w:rFonts w:ascii="Times New Roman" w:eastAsia="Times New Roman" w:hAnsi="Times New Roman" w:cs="Times New Roman"/>
                <w:color w:val="000000"/>
                <w:sz w:val="24"/>
                <w:szCs w:val="24"/>
              </w:rPr>
              <w:t>3.5 Research Design</w:t>
            </w:r>
            <w:r w:rsidR="000A5866">
              <w:rPr>
                <w:rFonts w:ascii="Times New Roman" w:eastAsia="Times New Roman" w:hAnsi="Times New Roman" w:cs="Times New Roman"/>
                <w:color w:val="000000"/>
                <w:sz w:val="24"/>
                <w:szCs w:val="24"/>
              </w:rPr>
              <w:tab/>
              <w:t>43</w:t>
            </w:r>
          </w:hyperlink>
        </w:p>
        <w:p w14:paraId="1A412E23"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4f1mdlm">
            <w:r w:rsidR="000A5866">
              <w:rPr>
                <w:rFonts w:ascii="Times New Roman" w:eastAsia="Times New Roman" w:hAnsi="Times New Roman" w:cs="Times New Roman"/>
                <w:color w:val="000000"/>
                <w:sz w:val="24"/>
                <w:szCs w:val="24"/>
              </w:rPr>
              <w:t>3.6 Research Strategy</w:t>
            </w:r>
            <w:r w:rsidR="000A5866">
              <w:rPr>
                <w:rFonts w:ascii="Times New Roman" w:eastAsia="Times New Roman" w:hAnsi="Times New Roman" w:cs="Times New Roman"/>
                <w:color w:val="000000"/>
                <w:sz w:val="24"/>
                <w:szCs w:val="24"/>
              </w:rPr>
              <w:tab/>
              <w:t>44</w:t>
            </w:r>
          </w:hyperlink>
        </w:p>
        <w:p w14:paraId="5193C1D1"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2u6wntf">
            <w:r w:rsidR="000A5866">
              <w:rPr>
                <w:rFonts w:ascii="Times New Roman" w:eastAsia="Times New Roman" w:hAnsi="Times New Roman" w:cs="Times New Roman"/>
                <w:color w:val="000000"/>
                <w:sz w:val="24"/>
                <w:szCs w:val="24"/>
              </w:rPr>
              <w:t>3.7 Research Choice</w:t>
            </w:r>
            <w:r w:rsidR="000A5866">
              <w:rPr>
                <w:rFonts w:ascii="Times New Roman" w:eastAsia="Times New Roman" w:hAnsi="Times New Roman" w:cs="Times New Roman"/>
                <w:color w:val="000000"/>
                <w:sz w:val="24"/>
                <w:szCs w:val="24"/>
              </w:rPr>
              <w:tab/>
              <w:t>46</w:t>
            </w:r>
          </w:hyperlink>
        </w:p>
        <w:p w14:paraId="2C7F453F"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3tbugp1">
            <w:r w:rsidR="000A5866">
              <w:rPr>
                <w:rFonts w:ascii="Times New Roman" w:eastAsia="Times New Roman" w:hAnsi="Times New Roman" w:cs="Times New Roman"/>
                <w:color w:val="000000"/>
                <w:sz w:val="24"/>
                <w:szCs w:val="24"/>
              </w:rPr>
              <w:t>3.8 Data Collection</w:t>
            </w:r>
            <w:r w:rsidR="000A5866">
              <w:rPr>
                <w:rFonts w:ascii="Times New Roman" w:eastAsia="Times New Roman" w:hAnsi="Times New Roman" w:cs="Times New Roman"/>
                <w:color w:val="000000"/>
                <w:sz w:val="24"/>
                <w:szCs w:val="24"/>
              </w:rPr>
              <w:tab/>
              <w:t>46</w:t>
            </w:r>
          </w:hyperlink>
        </w:p>
        <w:p w14:paraId="29903EF4"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28h4qwu">
            <w:r w:rsidR="000A5866">
              <w:rPr>
                <w:rFonts w:ascii="Times New Roman" w:eastAsia="Times New Roman" w:hAnsi="Times New Roman" w:cs="Times New Roman"/>
                <w:color w:val="000000"/>
                <w:sz w:val="24"/>
                <w:szCs w:val="24"/>
              </w:rPr>
              <w:t>3.9 Sample Size</w:t>
            </w:r>
            <w:r w:rsidR="000A5866">
              <w:rPr>
                <w:rFonts w:ascii="Times New Roman" w:eastAsia="Times New Roman" w:hAnsi="Times New Roman" w:cs="Times New Roman"/>
                <w:color w:val="000000"/>
                <w:sz w:val="24"/>
                <w:szCs w:val="24"/>
              </w:rPr>
              <w:tab/>
              <w:t>47</w:t>
            </w:r>
          </w:hyperlink>
        </w:p>
        <w:p w14:paraId="1DCBF1E8"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nmf14n">
            <w:r w:rsidR="000A5866">
              <w:rPr>
                <w:rFonts w:ascii="Times New Roman" w:eastAsia="Times New Roman" w:hAnsi="Times New Roman" w:cs="Times New Roman"/>
                <w:color w:val="000000"/>
                <w:sz w:val="24"/>
                <w:szCs w:val="24"/>
              </w:rPr>
              <w:t>3.10 Sample Technique</w:t>
            </w:r>
            <w:r w:rsidR="000A5866">
              <w:rPr>
                <w:rFonts w:ascii="Times New Roman" w:eastAsia="Times New Roman" w:hAnsi="Times New Roman" w:cs="Times New Roman"/>
                <w:color w:val="000000"/>
                <w:sz w:val="24"/>
                <w:szCs w:val="24"/>
              </w:rPr>
              <w:tab/>
              <w:t>48</w:t>
            </w:r>
          </w:hyperlink>
        </w:p>
        <w:p w14:paraId="340C0DE6"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37m2jsg">
            <w:r w:rsidR="000A5866">
              <w:rPr>
                <w:rFonts w:ascii="Times New Roman" w:eastAsia="Times New Roman" w:hAnsi="Times New Roman" w:cs="Times New Roman"/>
                <w:color w:val="000000"/>
                <w:sz w:val="24"/>
                <w:szCs w:val="24"/>
              </w:rPr>
              <w:t>3.11 Data Analysis</w:t>
            </w:r>
            <w:r w:rsidR="000A5866">
              <w:rPr>
                <w:rFonts w:ascii="Times New Roman" w:eastAsia="Times New Roman" w:hAnsi="Times New Roman" w:cs="Times New Roman"/>
                <w:color w:val="000000"/>
                <w:sz w:val="24"/>
                <w:szCs w:val="24"/>
              </w:rPr>
              <w:tab/>
              <w:t>48</w:t>
            </w:r>
          </w:hyperlink>
        </w:p>
        <w:p w14:paraId="4D7E085F"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1mrcu09">
            <w:r w:rsidR="000A5866">
              <w:rPr>
                <w:rFonts w:ascii="Times New Roman" w:eastAsia="Times New Roman" w:hAnsi="Times New Roman" w:cs="Times New Roman"/>
                <w:color w:val="000000"/>
                <w:sz w:val="24"/>
                <w:szCs w:val="24"/>
              </w:rPr>
              <w:t>3.12 Time Horizon</w:t>
            </w:r>
            <w:r w:rsidR="000A5866">
              <w:rPr>
                <w:rFonts w:ascii="Times New Roman" w:eastAsia="Times New Roman" w:hAnsi="Times New Roman" w:cs="Times New Roman"/>
                <w:color w:val="000000"/>
                <w:sz w:val="24"/>
                <w:szCs w:val="24"/>
              </w:rPr>
              <w:tab/>
              <w:t>49</w:t>
            </w:r>
          </w:hyperlink>
        </w:p>
        <w:p w14:paraId="7713F9DA"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46r0co2">
            <w:r w:rsidR="000A5866">
              <w:rPr>
                <w:rFonts w:ascii="Times New Roman" w:eastAsia="Times New Roman" w:hAnsi="Times New Roman" w:cs="Times New Roman"/>
                <w:color w:val="000000"/>
                <w:sz w:val="24"/>
                <w:szCs w:val="24"/>
              </w:rPr>
              <w:t>3.13 Ethical Considerations</w:t>
            </w:r>
            <w:r w:rsidR="000A5866">
              <w:rPr>
                <w:rFonts w:ascii="Times New Roman" w:eastAsia="Times New Roman" w:hAnsi="Times New Roman" w:cs="Times New Roman"/>
                <w:color w:val="000000"/>
                <w:sz w:val="24"/>
                <w:szCs w:val="24"/>
              </w:rPr>
              <w:tab/>
              <w:t>50</w:t>
            </w:r>
          </w:hyperlink>
        </w:p>
        <w:p w14:paraId="54651C20"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2lwamvv">
            <w:r w:rsidR="000A5866">
              <w:rPr>
                <w:rFonts w:ascii="Times New Roman" w:eastAsia="Times New Roman" w:hAnsi="Times New Roman" w:cs="Times New Roman"/>
                <w:color w:val="000000"/>
                <w:sz w:val="24"/>
                <w:szCs w:val="24"/>
              </w:rPr>
              <w:t>3.14 Reliability and Validity</w:t>
            </w:r>
            <w:r w:rsidR="000A5866">
              <w:rPr>
                <w:rFonts w:ascii="Times New Roman" w:eastAsia="Times New Roman" w:hAnsi="Times New Roman" w:cs="Times New Roman"/>
                <w:color w:val="000000"/>
                <w:sz w:val="24"/>
                <w:szCs w:val="24"/>
              </w:rPr>
              <w:tab/>
              <w:t>51</w:t>
            </w:r>
          </w:hyperlink>
        </w:p>
        <w:p w14:paraId="45F4E23F"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111kx3o">
            <w:r w:rsidR="000A5866">
              <w:rPr>
                <w:rFonts w:ascii="Times New Roman" w:eastAsia="Times New Roman" w:hAnsi="Times New Roman" w:cs="Times New Roman"/>
                <w:color w:val="000000"/>
                <w:sz w:val="24"/>
                <w:szCs w:val="24"/>
              </w:rPr>
              <w:t>3.15 Chapter Summary</w:t>
            </w:r>
            <w:r w:rsidR="000A5866">
              <w:rPr>
                <w:rFonts w:ascii="Times New Roman" w:eastAsia="Times New Roman" w:hAnsi="Times New Roman" w:cs="Times New Roman"/>
                <w:color w:val="000000"/>
                <w:sz w:val="24"/>
                <w:szCs w:val="24"/>
              </w:rPr>
              <w:tab/>
              <w:t>51</w:t>
            </w:r>
          </w:hyperlink>
        </w:p>
        <w:p w14:paraId="5E9876EF" w14:textId="77777777" w:rsidR="007C5593" w:rsidRDefault="00000000">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3l18frh">
            <w:r w:rsidR="000A5866">
              <w:rPr>
                <w:rFonts w:ascii="Times New Roman" w:eastAsia="Times New Roman" w:hAnsi="Times New Roman" w:cs="Times New Roman"/>
                <w:color w:val="000000"/>
                <w:sz w:val="24"/>
                <w:szCs w:val="24"/>
              </w:rPr>
              <w:t>Chapter 4: Data Analysis</w:t>
            </w:r>
            <w:r w:rsidR="000A5866">
              <w:rPr>
                <w:rFonts w:ascii="Times New Roman" w:eastAsia="Times New Roman" w:hAnsi="Times New Roman" w:cs="Times New Roman"/>
                <w:color w:val="000000"/>
                <w:sz w:val="24"/>
                <w:szCs w:val="24"/>
              </w:rPr>
              <w:tab/>
              <w:t>53</w:t>
            </w:r>
          </w:hyperlink>
        </w:p>
        <w:p w14:paraId="1A1785D2"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206ipza">
            <w:r w:rsidR="000A5866">
              <w:rPr>
                <w:rFonts w:ascii="Times New Roman" w:eastAsia="Times New Roman" w:hAnsi="Times New Roman" w:cs="Times New Roman"/>
                <w:color w:val="000000"/>
                <w:sz w:val="24"/>
                <w:szCs w:val="24"/>
              </w:rPr>
              <w:t>4.1 Chapter Introduction</w:t>
            </w:r>
            <w:r w:rsidR="000A5866">
              <w:rPr>
                <w:rFonts w:ascii="Times New Roman" w:eastAsia="Times New Roman" w:hAnsi="Times New Roman" w:cs="Times New Roman"/>
                <w:color w:val="000000"/>
                <w:sz w:val="24"/>
                <w:szCs w:val="24"/>
              </w:rPr>
              <w:tab/>
              <w:t>53</w:t>
            </w:r>
          </w:hyperlink>
        </w:p>
        <w:p w14:paraId="13757859"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4k668n3">
            <w:r w:rsidR="000A5866">
              <w:rPr>
                <w:rFonts w:ascii="Times New Roman" w:eastAsia="Times New Roman" w:hAnsi="Times New Roman" w:cs="Times New Roman"/>
                <w:color w:val="000000"/>
                <w:sz w:val="24"/>
                <w:szCs w:val="24"/>
              </w:rPr>
              <w:t>4.2 Findings</w:t>
            </w:r>
            <w:r w:rsidR="000A5866">
              <w:rPr>
                <w:rFonts w:ascii="Times New Roman" w:eastAsia="Times New Roman" w:hAnsi="Times New Roman" w:cs="Times New Roman"/>
                <w:color w:val="000000"/>
                <w:sz w:val="24"/>
                <w:szCs w:val="24"/>
              </w:rPr>
              <w:tab/>
              <w:t>53</w:t>
            </w:r>
          </w:hyperlink>
        </w:p>
        <w:p w14:paraId="1C96A482"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2szc72q">
            <w:r w:rsidR="000A5866">
              <w:rPr>
                <w:rFonts w:ascii="Times New Roman" w:eastAsia="Times New Roman" w:hAnsi="Times New Roman" w:cs="Times New Roman"/>
                <w:color w:val="000000"/>
                <w:sz w:val="24"/>
                <w:szCs w:val="24"/>
              </w:rPr>
              <w:t>4.3 Analysis</w:t>
            </w:r>
            <w:r w:rsidR="000A5866">
              <w:rPr>
                <w:rFonts w:ascii="Times New Roman" w:eastAsia="Times New Roman" w:hAnsi="Times New Roman" w:cs="Times New Roman"/>
                <w:color w:val="000000"/>
                <w:sz w:val="24"/>
                <w:szCs w:val="24"/>
              </w:rPr>
              <w:tab/>
              <w:t>72</w:t>
            </w:r>
          </w:hyperlink>
        </w:p>
        <w:p w14:paraId="5A31CF37"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4iylrwe">
            <w:r w:rsidR="000A5866">
              <w:rPr>
                <w:rFonts w:ascii="Times New Roman" w:eastAsia="Times New Roman" w:hAnsi="Times New Roman" w:cs="Times New Roman"/>
                <w:color w:val="000000"/>
                <w:sz w:val="24"/>
                <w:szCs w:val="24"/>
              </w:rPr>
              <w:t>4.4 Chapter Summary</w:t>
            </w:r>
            <w:r w:rsidR="000A5866">
              <w:rPr>
                <w:rFonts w:ascii="Times New Roman" w:eastAsia="Times New Roman" w:hAnsi="Times New Roman" w:cs="Times New Roman"/>
                <w:color w:val="000000"/>
                <w:sz w:val="24"/>
                <w:szCs w:val="24"/>
              </w:rPr>
              <w:tab/>
              <w:t>81</w:t>
            </w:r>
          </w:hyperlink>
        </w:p>
        <w:p w14:paraId="43E74F77" w14:textId="77777777" w:rsidR="007C5593" w:rsidRDefault="00000000">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2y3w247">
            <w:r w:rsidR="000A5866">
              <w:rPr>
                <w:rFonts w:ascii="Times New Roman" w:eastAsia="Times New Roman" w:hAnsi="Times New Roman" w:cs="Times New Roman"/>
                <w:color w:val="000000"/>
                <w:sz w:val="24"/>
                <w:szCs w:val="24"/>
                <w:highlight w:val="white"/>
              </w:rPr>
              <w:t>Chapter 5: Discussion, Conclusions and Recommendations</w:t>
            </w:r>
          </w:hyperlink>
          <w:hyperlink w:anchor="_heading=h.2y3w247">
            <w:r w:rsidR="000A5866">
              <w:rPr>
                <w:rFonts w:ascii="Times New Roman" w:eastAsia="Times New Roman" w:hAnsi="Times New Roman" w:cs="Times New Roman"/>
                <w:color w:val="000000"/>
                <w:sz w:val="24"/>
                <w:szCs w:val="24"/>
              </w:rPr>
              <w:tab/>
              <w:t>82</w:t>
            </w:r>
          </w:hyperlink>
        </w:p>
        <w:p w14:paraId="1BE063F2"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1d96cc0">
            <w:r w:rsidR="000A5866">
              <w:rPr>
                <w:rFonts w:ascii="Times New Roman" w:eastAsia="Times New Roman" w:hAnsi="Times New Roman" w:cs="Times New Roman"/>
                <w:color w:val="000000"/>
                <w:sz w:val="24"/>
                <w:szCs w:val="24"/>
              </w:rPr>
              <w:t>5.1 Chapter Introduction</w:t>
            </w:r>
            <w:r w:rsidR="000A5866">
              <w:rPr>
                <w:rFonts w:ascii="Times New Roman" w:eastAsia="Times New Roman" w:hAnsi="Times New Roman" w:cs="Times New Roman"/>
                <w:color w:val="000000"/>
                <w:sz w:val="24"/>
                <w:szCs w:val="24"/>
              </w:rPr>
              <w:tab/>
              <w:t>82</w:t>
            </w:r>
          </w:hyperlink>
        </w:p>
        <w:p w14:paraId="0A66FAFB"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3x8tuzt">
            <w:r w:rsidR="000A5866">
              <w:rPr>
                <w:rFonts w:ascii="Times New Roman" w:eastAsia="Times New Roman" w:hAnsi="Times New Roman" w:cs="Times New Roman"/>
                <w:color w:val="000000"/>
                <w:sz w:val="24"/>
                <w:szCs w:val="24"/>
              </w:rPr>
              <w:t>5.2 Discussion</w:t>
            </w:r>
            <w:r w:rsidR="000A5866">
              <w:rPr>
                <w:rFonts w:ascii="Times New Roman" w:eastAsia="Times New Roman" w:hAnsi="Times New Roman" w:cs="Times New Roman"/>
                <w:color w:val="000000"/>
                <w:sz w:val="24"/>
                <w:szCs w:val="24"/>
              </w:rPr>
              <w:tab/>
              <w:t>82</w:t>
            </w:r>
          </w:hyperlink>
        </w:p>
        <w:p w14:paraId="2BB72E46"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2ce457m">
            <w:r w:rsidR="000A5866">
              <w:rPr>
                <w:rFonts w:ascii="Times New Roman" w:eastAsia="Times New Roman" w:hAnsi="Times New Roman" w:cs="Times New Roman"/>
                <w:color w:val="000000"/>
                <w:sz w:val="24"/>
                <w:szCs w:val="24"/>
              </w:rPr>
              <w:t>5.3 Conclusion</w:t>
            </w:r>
            <w:r w:rsidR="000A5866">
              <w:rPr>
                <w:rFonts w:ascii="Times New Roman" w:eastAsia="Times New Roman" w:hAnsi="Times New Roman" w:cs="Times New Roman"/>
                <w:color w:val="000000"/>
                <w:sz w:val="24"/>
                <w:szCs w:val="24"/>
              </w:rPr>
              <w:tab/>
              <w:t>86</w:t>
            </w:r>
          </w:hyperlink>
        </w:p>
        <w:p w14:paraId="2D770B06"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rjefff">
            <w:r w:rsidR="000A5866">
              <w:rPr>
                <w:rFonts w:ascii="Times New Roman" w:eastAsia="Times New Roman" w:hAnsi="Times New Roman" w:cs="Times New Roman"/>
                <w:color w:val="000000"/>
                <w:sz w:val="24"/>
                <w:szCs w:val="24"/>
              </w:rPr>
              <w:t>5.4 Linking with Objectives</w:t>
            </w:r>
            <w:r w:rsidR="000A5866">
              <w:rPr>
                <w:rFonts w:ascii="Times New Roman" w:eastAsia="Times New Roman" w:hAnsi="Times New Roman" w:cs="Times New Roman"/>
                <w:color w:val="000000"/>
                <w:sz w:val="24"/>
                <w:szCs w:val="24"/>
              </w:rPr>
              <w:tab/>
              <w:t>87</w:t>
            </w:r>
          </w:hyperlink>
        </w:p>
        <w:p w14:paraId="4AEEA59E" w14:textId="77777777" w:rsidR="007C5593" w:rsidRDefault="00000000">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3bj1y38">
            <w:r w:rsidR="000A5866">
              <w:rPr>
                <w:rFonts w:ascii="Times New Roman" w:eastAsia="Times New Roman" w:hAnsi="Times New Roman" w:cs="Times New Roman"/>
                <w:color w:val="000000"/>
                <w:sz w:val="24"/>
                <w:szCs w:val="24"/>
              </w:rPr>
              <w:t>5.5 Recommendations</w:t>
            </w:r>
            <w:r w:rsidR="000A5866">
              <w:rPr>
                <w:rFonts w:ascii="Times New Roman" w:eastAsia="Times New Roman" w:hAnsi="Times New Roman" w:cs="Times New Roman"/>
                <w:color w:val="000000"/>
                <w:sz w:val="24"/>
                <w:szCs w:val="24"/>
              </w:rPr>
              <w:tab/>
              <w:t>89</w:t>
            </w:r>
          </w:hyperlink>
        </w:p>
        <w:p w14:paraId="40548054" w14:textId="77777777" w:rsidR="007C5593" w:rsidRDefault="00000000">
          <w:pPr>
            <w:pBdr>
              <w:top w:val="nil"/>
              <w:left w:val="nil"/>
              <w:bottom w:val="nil"/>
              <w:right w:val="nil"/>
              <w:between w:val="nil"/>
            </w:pBdr>
            <w:tabs>
              <w:tab w:val="right" w:leader="dot" w:pos="9350"/>
            </w:tabs>
            <w:spacing w:after="100" w:line="360" w:lineRule="auto"/>
            <w:ind w:left="440"/>
            <w:rPr>
              <w:rFonts w:ascii="Times New Roman" w:eastAsia="Times New Roman" w:hAnsi="Times New Roman" w:cs="Times New Roman"/>
              <w:color w:val="000000"/>
              <w:sz w:val="24"/>
              <w:szCs w:val="24"/>
            </w:rPr>
          </w:pPr>
          <w:hyperlink w:anchor="_heading=h.1qoc8b1">
            <w:r w:rsidR="000A5866">
              <w:rPr>
                <w:rFonts w:ascii="Times New Roman" w:eastAsia="Times New Roman" w:hAnsi="Times New Roman" w:cs="Times New Roman"/>
                <w:color w:val="000000"/>
                <w:sz w:val="24"/>
                <w:szCs w:val="24"/>
              </w:rPr>
              <w:t>5.5.1 Strengthen Domestic Supply Chain and Workforce Development</w:t>
            </w:r>
            <w:r w:rsidR="000A5866">
              <w:rPr>
                <w:rFonts w:ascii="Times New Roman" w:eastAsia="Times New Roman" w:hAnsi="Times New Roman" w:cs="Times New Roman"/>
                <w:color w:val="000000"/>
                <w:sz w:val="24"/>
                <w:szCs w:val="24"/>
              </w:rPr>
              <w:tab/>
              <w:t>89</w:t>
            </w:r>
          </w:hyperlink>
        </w:p>
        <w:p w14:paraId="04CBFFDE" w14:textId="77777777" w:rsidR="007C5593" w:rsidRDefault="00000000">
          <w:pPr>
            <w:pBdr>
              <w:top w:val="nil"/>
              <w:left w:val="nil"/>
              <w:bottom w:val="nil"/>
              <w:right w:val="nil"/>
              <w:between w:val="nil"/>
            </w:pBdr>
            <w:tabs>
              <w:tab w:val="right" w:leader="dot" w:pos="9350"/>
            </w:tabs>
            <w:spacing w:after="100" w:line="360" w:lineRule="auto"/>
            <w:ind w:left="440"/>
            <w:rPr>
              <w:rFonts w:ascii="Times New Roman" w:eastAsia="Times New Roman" w:hAnsi="Times New Roman" w:cs="Times New Roman"/>
              <w:color w:val="000000"/>
              <w:sz w:val="24"/>
              <w:szCs w:val="24"/>
            </w:rPr>
          </w:pPr>
          <w:hyperlink w:anchor="_heading=h.4anzqyu">
            <w:r w:rsidR="000A5866">
              <w:rPr>
                <w:rFonts w:ascii="Times New Roman" w:eastAsia="Times New Roman" w:hAnsi="Times New Roman" w:cs="Times New Roman"/>
                <w:color w:val="000000"/>
                <w:sz w:val="24"/>
                <w:szCs w:val="24"/>
              </w:rPr>
              <w:t>5.5.2 Improve Grid Infrastructure and Energy Storage Integration</w:t>
            </w:r>
            <w:r w:rsidR="000A5866">
              <w:rPr>
                <w:rFonts w:ascii="Times New Roman" w:eastAsia="Times New Roman" w:hAnsi="Times New Roman" w:cs="Times New Roman"/>
                <w:color w:val="000000"/>
                <w:sz w:val="24"/>
                <w:szCs w:val="24"/>
              </w:rPr>
              <w:tab/>
              <w:t>89</w:t>
            </w:r>
          </w:hyperlink>
        </w:p>
        <w:p w14:paraId="2123A9F6" w14:textId="77777777" w:rsidR="007C5593" w:rsidRDefault="00000000">
          <w:pPr>
            <w:pBdr>
              <w:top w:val="nil"/>
              <w:left w:val="nil"/>
              <w:bottom w:val="nil"/>
              <w:right w:val="nil"/>
              <w:between w:val="nil"/>
            </w:pBdr>
            <w:tabs>
              <w:tab w:val="right" w:leader="dot" w:pos="9350"/>
            </w:tabs>
            <w:spacing w:after="100" w:line="360" w:lineRule="auto"/>
            <w:ind w:left="440"/>
            <w:rPr>
              <w:rFonts w:ascii="Times New Roman" w:eastAsia="Times New Roman" w:hAnsi="Times New Roman" w:cs="Times New Roman"/>
              <w:color w:val="000000"/>
              <w:sz w:val="24"/>
              <w:szCs w:val="24"/>
            </w:rPr>
          </w:pPr>
          <w:hyperlink w:anchor="_heading=h.2pta16n">
            <w:r w:rsidR="000A5866">
              <w:rPr>
                <w:rFonts w:ascii="Times New Roman" w:eastAsia="Times New Roman" w:hAnsi="Times New Roman" w:cs="Times New Roman"/>
                <w:color w:val="000000"/>
                <w:sz w:val="24"/>
                <w:szCs w:val="24"/>
              </w:rPr>
              <w:t>5.5.3 Enhance Policy Consistency and Long-Term Support</w:t>
            </w:r>
            <w:r w:rsidR="000A5866">
              <w:rPr>
                <w:rFonts w:ascii="Times New Roman" w:eastAsia="Times New Roman" w:hAnsi="Times New Roman" w:cs="Times New Roman"/>
                <w:color w:val="000000"/>
                <w:sz w:val="24"/>
                <w:szCs w:val="24"/>
              </w:rPr>
              <w:tab/>
              <w:t>90</w:t>
            </w:r>
          </w:hyperlink>
        </w:p>
        <w:p w14:paraId="703C12B0"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14ykbeg">
            <w:r w:rsidR="000A5866">
              <w:rPr>
                <w:rFonts w:ascii="Times New Roman" w:eastAsia="Times New Roman" w:hAnsi="Times New Roman" w:cs="Times New Roman"/>
                <w:color w:val="000000"/>
                <w:sz w:val="24"/>
                <w:szCs w:val="24"/>
              </w:rPr>
              <w:t>5.6 Research Limitations</w:t>
            </w:r>
            <w:r w:rsidR="000A5866">
              <w:rPr>
                <w:rFonts w:ascii="Times New Roman" w:eastAsia="Times New Roman" w:hAnsi="Times New Roman" w:cs="Times New Roman"/>
                <w:color w:val="000000"/>
                <w:sz w:val="24"/>
                <w:szCs w:val="24"/>
              </w:rPr>
              <w:tab/>
              <w:t>91</w:t>
            </w:r>
          </w:hyperlink>
        </w:p>
        <w:p w14:paraId="4BA5DF5A" w14:textId="77777777" w:rsidR="007C5593" w:rsidRDefault="00000000">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3oy7u29">
            <w:r w:rsidR="000A5866">
              <w:rPr>
                <w:rFonts w:ascii="Times New Roman" w:eastAsia="Times New Roman" w:hAnsi="Times New Roman" w:cs="Times New Roman"/>
                <w:color w:val="000000"/>
                <w:sz w:val="24"/>
                <w:szCs w:val="24"/>
              </w:rPr>
              <w:t>5.7 Future Scope</w:t>
            </w:r>
            <w:r w:rsidR="000A5866">
              <w:rPr>
                <w:rFonts w:ascii="Times New Roman" w:eastAsia="Times New Roman" w:hAnsi="Times New Roman" w:cs="Times New Roman"/>
                <w:color w:val="000000"/>
                <w:sz w:val="24"/>
                <w:szCs w:val="24"/>
              </w:rPr>
              <w:tab/>
              <w:t>91</w:t>
            </w:r>
          </w:hyperlink>
        </w:p>
        <w:p w14:paraId="35764B73" w14:textId="77777777" w:rsidR="007C5593" w:rsidRDefault="00000000">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243i4a2">
            <w:r w:rsidR="000A5866">
              <w:rPr>
                <w:rFonts w:ascii="Times New Roman" w:eastAsia="Times New Roman" w:hAnsi="Times New Roman" w:cs="Times New Roman"/>
                <w:color w:val="000000"/>
                <w:sz w:val="24"/>
                <w:szCs w:val="24"/>
              </w:rPr>
              <w:t>Reference List</w:t>
            </w:r>
            <w:r w:rsidR="000A5866">
              <w:rPr>
                <w:rFonts w:ascii="Times New Roman" w:eastAsia="Times New Roman" w:hAnsi="Times New Roman" w:cs="Times New Roman"/>
                <w:color w:val="000000"/>
                <w:sz w:val="24"/>
                <w:szCs w:val="24"/>
              </w:rPr>
              <w:tab/>
              <w:t>92</w:t>
            </w:r>
          </w:hyperlink>
        </w:p>
        <w:p w14:paraId="163946C2" w14:textId="77777777" w:rsidR="007C5593" w:rsidRDefault="00000000">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j8sehv">
            <w:r w:rsidR="000A5866">
              <w:rPr>
                <w:rFonts w:ascii="Times New Roman" w:eastAsia="Times New Roman" w:hAnsi="Times New Roman" w:cs="Times New Roman"/>
                <w:color w:val="000000"/>
                <w:sz w:val="24"/>
                <w:szCs w:val="24"/>
              </w:rPr>
              <w:t>Appendix: Survey Questionnaire</w:t>
            </w:r>
            <w:r w:rsidR="000A5866">
              <w:rPr>
                <w:rFonts w:ascii="Times New Roman" w:eastAsia="Times New Roman" w:hAnsi="Times New Roman" w:cs="Times New Roman"/>
                <w:color w:val="000000"/>
                <w:sz w:val="24"/>
                <w:szCs w:val="24"/>
              </w:rPr>
              <w:tab/>
              <w:t>104</w:t>
            </w:r>
          </w:hyperlink>
        </w:p>
        <w:p w14:paraId="2E5C3AFF" w14:textId="77777777" w:rsidR="007C5593" w:rsidRDefault="007C5593">
          <w:pPr>
            <w:pBdr>
              <w:top w:val="nil"/>
              <w:left w:val="nil"/>
              <w:bottom w:val="nil"/>
              <w:right w:val="nil"/>
              <w:between w:val="nil"/>
            </w:pBdr>
            <w:tabs>
              <w:tab w:val="right" w:pos="9350"/>
            </w:tabs>
            <w:spacing w:line="360" w:lineRule="auto"/>
            <w:jc w:val="both"/>
            <w:rPr>
              <w:rFonts w:ascii="Cambria" w:eastAsia="Cambria" w:hAnsi="Cambria" w:cs="Cambria"/>
            </w:rPr>
          </w:pPr>
          <w:r>
            <w:fldChar w:fldCharType="end"/>
          </w:r>
        </w:p>
      </w:sdtContent>
    </w:sdt>
    <w:p w14:paraId="23501D28" w14:textId="77777777" w:rsidR="007C5593" w:rsidRDefault="007C5593">
      <w:pPr>
        <w:spacing w:after="240" w:line="480" w:lineRule="auto"/>
        <w:jc w:val="center"/>
        <w:rPr>
          <w:rFonts w:ascii="Times New Roman" w:eastAsia="Times New Roman" w:hAnsi="Times New Roman" w:cs="Times New Roman"/>
          <w:b/>
          <w:sz w:val="24"/>
          <w:szCs w:val="24"/>
        </w:rPr>
      </w:pPr>
    </w:p>
    <w:p w14:paraId="537B5D2C" w14:textId="77777777" w:rsidR="007C5593" w:rsidRDefault="007C5593">
      <w:pPr>
        <w:spacing w:after="240" w:line="480" w:lineRule="auto"/>
        <w:jc w:val="center"/>
        <w:rPr>
          <w:rFonts w:ascii="Times New Roman" w:eastAsia="Times New Roman" w:hAnsi="Times New Roman" w:cs="Times New Roman"/>
          <w:b/>
          <w:sz w:val="24"/>
          <w:szCs w:val="24"/>
        </w:rPr>
      </w:pPr>
    </w:p>
    <w:p w14:paraId="3EB2526D" w14:textId="77777777" w:rsidR="007C5593" w:rsidRDefault="007C5593">
      <w:pPr>
        <w:spacing w:after="240" w:line="480" w:lineRule="auto"/>
        <w:jc w:val="center"/>
        <w:rPr>
          <w:rFonts w:ascii="Times New Roman" w:eastAsia="Times New Roman" w:hAnsi="Times New Roman" w:cs="Times New Roman"/>
          <w:b/>
          <w:sz w:val="24"/>
          <w:szCs w:val="24"/>
        </w:rPr>
      </w:pPr>
    </w:p>
    <w:p w14:paraId="5A10F996" w14:textId="77777777" w:rsidR="007C5593" w:rsidRDefault="000A5866">
      <w:pPr>
        <w:rPr>
          <w:rFonts w:ascii="Times New Roman" w:eastAsia="Times New Roman" w:hAnsi="Times New Roman" w:cs="Times New Roman"/>
          <w:b/>
          <w:sz w:val="24"/>
          <w:szCs w:val="24"/>
        </w:rPr>
      </w:pPr>
      <w:r>
        <w:br w:type="page"/>
      </w:r>
    </w:p>
    <w:p w14:paraId="5843CF19" w14:textId="77777777" w:rsidR="007C5593" w:rsidRDefault="000A5866">
      <w:pPr>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List of Figures</w:t>
      </w:r>
    </w:p>
    <w:sdt>
      <w:sdtPr>
        <w:id w:val="4472033"/>
        <w:docPartObj>
          <w:docPartGallery w:val="Table of Contents"/>
          <w:docPartUnique/>
        </w:docPartObj>
      </w:sdtPr>
      <w:sdtContent>
        <w:p w14:paraId="3C6CE998" w14:textId="77777777" w:rsidR="007C5593" w:rsidRDefault="007C5593" w:rsidP="005D77AD">
          <w:pPr>
            <w:spacing w:after="240" w:line="480" w:lineRule="auto"/>
            <w:rPr>
              <w:rFonts w:ascii="Cambria" w:eastAsia="Cambria" w:hAnsi="Cambria" w:cs="Cambria"/>
            </w:rPr>
          </w:pPr>
          <w:r>
            <w:fldChar w:fldCharType="begin"/>
          </w:r>
          <w:r w:rsidR="000A5866">
            <w:instrText xml:space="preserve"> TOC \h \u \z \t "Heading 1,1,Heading 2,2,Heading 3,3,Heading 4,4,Heading 5,5,Heading 6,6,"</w:instrText>
          </w:r>
          <w:r>
            <w:fldChar w:fldCharType="separate"/>
          </w:r>
          <w:hyperlink w:anchor="_heading=h.2et92p0">
            <w:r w:rsidR="000A5866">
              <w:rPr>
                <w:rFonts w:ascii="Times New Roman" w:eastAsia="Times New Roman" w:hAnsi="Times New Roman" w:cs="Times New Roman"/>
                <w:sz w:val="24"/>
                <w:szCs w:val="24"/>
              </w:rPr>
              <w:t>Figure 1.1: Wind energy production rates in the UK with future projections</w:t>
            </w:r>
            <w:r w:rsidR="000A5866">
              <w:rPr>
                <w:rFonts w:ascii="Times New Roman" w:eastAsia="Times New Roman" w:hAnsi="Times New Roman" w:cs="Times New Roman"/>
                <w:sz w:val="24"/>
                <w:szCs w:val="24"/>
              </w:rPr>
              <w:tab/>
              <w:t>13</w:t>
            </w:r>
          </w:hyperlink>
        </w:p>
        <w:p w14:paraId="394A3B32"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lnxbz9">
            <w:r w:rsidR="000A5866">
              <w:rPr>
                <w:rFonts w:ascii="Times New Roman" w:eastAsia="Times New Roman" w:hAnsi="Times New Roman" w:cs="Times New Roman"/>
                <w:sz w:val="24"/>
                <w:szCs w:val="24"/>
              </w:rPr>
              <w:t>Figure 1.2: Dissertation structure</w:t>
            </w:r>
            <w:r w:rsidR="000A5866">
              <w:rPr>
                <w:rFonts w:ascii="Times New Roman" w:eastAsia="Times New Roman" w:hAnsi="Times New Roman" w:cs="Times New Roman"/>
                <w:sz w:val="24"/>
                <w:szCs w:val="24"/>
              </w:rPr>
              <w:tab/>
              <w:t>19</w:t>
            </w:r>
          </w:hyperlink>
        </w:p>
        <w:p w14:paraId="6FCDB1DF"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3j2qqm3">
            <w:r w:rsidR="000A5866">
              <w:rPr>
                <w:rFonts w:ascii="Times New Roman" w:eastAsia="Times New Roman" w:hAnsi="Times New Roman" w:cs="Times New Roman"/>
                <w:sz w:val="24"/>
                <w:szCs w:val="24"/>
              </w:rPr>
              <w:t>Figure 2.1: Evolution of UK Policies</w:t>
            </w:r>
            <w:r w:rsidR="000A5866">
              <w:rPr>
                <w:rFonts w:ascii="Times New Roman" w:eastAsia="Times New Roman" w:hAnsi="Times New Roman" w:cs="Times New Roman"/>
                <w:sz w:val="24"/>
                <w:szCs w:val="24"/>
              </w:rPr>
              <w:tab/>
              <w:t>24</w:t>
            </w:r>
          </w:hyperlink>
        </w:p>
        <w:p w14:paraId="412DA781"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2xcytpi">
            <w:r w:rsidR="000A5866">
              <w:rPr>
                <w:rFonts w:ascii="Times New Roman" w:eastAsia="Times New Roman" w:hAnsi="Times New Roman" w:cs="Times New Roman"/>
                <w:sz w:val="24"/>
                <w:szCs w:val="24"/>
              </w:rPr>
              <w:t>Figure 2.2: Secured locations for major operational offshore wind farms in the UK</w:t>
            </w:r>
            <w:r w:rsidR="000A5866">
              <w:rPr>
                <w:rFonts w:ascii="Times New Roman" w:eastAsia="Times New Roman" w:hAnsi="Times New Roman" w:cs="Times New Roman"/>
                <w:sz w:val="24"/>
                <w:szCs w:val="24"/>
              </w:rPr>
              <w:tab/>
              <w:t>29</w:t>
            </w:r>
          </w:hyperlink>
        </w:p>
        <w:p w14:paraId="0F7FE47F"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49x2ik5">
            <w:r w:rsidR="000A5866">
              <w:rPr>
                <w:rFonts w:ascii="Times New Roman" w:eastAsia="Times New Roman" w:hAnsi="Times New Roman" w:cs="Times New Roman"/>
                <w:sz w:val="24"/>
                <w:szCs w:val="24"/>
              </w:rPr>
              <w:t>Figure 2.3: Innovation System Theory</w:t>
            </w:r>
            <w:r w:rsidR="000A5866">
              <w:rPr>
                <w:rFonts w:ascii="Times New Roman" w:eastAsia="Times New Roman" w:hAnsi="Times New Roman" w:cs="Times New Roman"/>
                <w:sz w:val="24"/>
                <w:szCs w:val="24"/>
              </w:rPr>
              <w:tab/>
              <w:t>34</w:t>
            </w:r>
          </w:hyperlink>
        </w:p>
        <w:p w14:paraId="386D8D71"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147n2zr">
            <w:r w:rsidR="000A5866">
              <w:rPr>
                <w:rFonts w:ascii="Times New Roman" w:eastAsia="Times New Roman" w:hAnsi="Times New Roman" w:cs="Times New Roman"/>
                <w:sz w:val="24"/>
                <w:szCs w:val="24"/>
              </w:rPr>
              <w:t>Figure 2.4: Multi-Level Governance (MLG) Framework</w:t>
            </w:r>
            <w:r w:rsidR="000A5866">
              <w:rPr>
                <w:rFonts w:ascii="Times New Roman" w:eastAsia="Times New Roman" w:hAnsi="Times New Roman" w:cs="Times New Roman"/>
                <w:sz w:val="24"/>
                <w:szCs w:val="24"/>
              </w:rPr>
              <w:tab/>
              <w:t>36</w:t>
            </w:r>
          </w:hyperlink>
        </w:p>
        <w:p w14:paraId="5DD7EF75"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23ckvvd">
            <w:r w:rsidR="000A5866">
              <w:rPr>
                <w:rFonts w:ascii="Times New Roman" w:eastAsia="Times New Roman" w:hAnsi="Times New Roman" w:cs="Times New Roman"/>
                <w:sz w:val="24"/>
                <w:szCs w:val="24"/>
              </w:rPr>
              <w:t>Figure 2.5: Conceptual Framework</w:t>
            </w:r>
            <w:r w:rsidR="000A5866">
              <w:rPr>
                <w:rFonts w:ascii="Times New Roman" w:eastAsia="Times New Roman" w:hAnsi="Times New Roman" w:cs="Times New Roman"/>
                <w:sz w:val="24"/>
                <w:szCs w:val="24"/>
              </w:rPr>
              <w:tab/>
              <w:t>37</w:t>
            </w:r>
          </w:hyperlink>
        </w:p>
        <w:p w14:paraId="400A3950"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3ygebqi">
            <w:r w:rsidR="000A5866">
              <w:rPr>
                <w:rFonts w:ascii="Times New Roman" w:eastAsia="Times New Roman" w:hAnsi="Times New Roman" w:cs="Times New Roman"/>
                <w:sz w:val="24"/>
                <w:szCs w:val="24"/>
              </w:rPr>
              <w:t>Figure 4.1: Age Category</w:t>
            </w:r>
            <w:r w:rsidR="000A5866">
              <w:rPr>
                <w:rFonts w:ascii="Times New Roman" w:eastAsia="Times New Roman" w:hAnsi="Times New Roman" w:cs="Times New Roman"/>
                <w:sz w:val="24"/>
                <w:szCs w:val="24"/>
              </w:rPr>
              <w:tab/>
              <w:t>55</w:t>
            </w:r>
          </w:hyperlink>
        </w:p>
        <w:p w14:paraId="63459BC9"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3cqmetx">
            <w:r w:rsidR="000A5866">
              <w:rPr>
                <w:rFonts w:ascii="Times New Roman" w:eastAsia="Times New Roman" w:hAnsi="Times New Roman" w:cs="Times New Roman"/>
                <w:sz w:val="24"/>
                <w:szCs w:val="24"/>
              </w:rPr>
              <w:t>Figure 4.2: Gender Category</w:t>
            </w:r>
            <w:r w:rsidR="000A5866">
              <w:rPr>
                <w:rFonts w:ascii="Times New Roman" w:eastAsia="Times New Roman" w:hAnsi="Times New Roman" w:cs="Times New Roman"/>
                <w:sz w:val="24"/>
                <w:szCs w:val="24"/>
              </w:rPr>
              <w:tab/>
              <w:t>56</w:t>
            </w:r>
          </w:hyperlink>
        </w:p>
        <w:p w14:paraId="0076532D"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2r0uhxc">
            <w:r w:rsidR="000A5866">
              <w:rPr>
                <w:rFonts w:ascii="Times New Roman" w:eastAsia="Times New Roman" w:hAnsi="Times New Roman" w:cs="Times New Roman"/>
                <w:sz w:val="24"/>
                <w:szCs w:val="24"/>
              </w:rPr>
              <w:t>Figure 4.3: Location Category</w:t>
            </w:r>
            <w:r w:rsidR="000A5866">
              <w:rPr>
                <w:rFonts w:ascii="Times New Roman" w:eastAsia="Times New Roman" w:hAnsi="Times New Roman" w:cs="Times New Roman"/>
                <w:sz w:val="24"/>
                <w:szCs w:val="24"/>
              </w:rPr>
              <w:tab/>
              <w:t>58</w:t>
            </w:r>
          </w:hyperlink>
        </w:p>
        <w:p w14:paraId="5661A111"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25b2l0r">
            <w:r w:rsidR="000A5866">
              <w:rPr>
                <w:rFonts w:ascii="Times New Roman" w:eastAsia="Times New Roman" w:hAnsi="Times New Roman" w:cs="Times New Roman"/>
                <w:sz w:val="24"/>
                <w:szCs w:val="24"/>
              </w:rPr>
              <w:t>Figure 4.4: Awareness about Wind-Power Energy in the UK</w:t>
            </w:r>
            <w:r w:rsidR="000A5866">
              <w:rPr>
                <w:rFonts w:ascii="Times New Roman" w:eastAsia="Times New Roman" w:hAnsi="Times New Roman" w:cs="Times New Roman"/>
                <w:sz w:val="24"/>
                <w:szCs w:val="24"/>
              </w:rPr>
              <w:tab/>
              <w:t>58</w:t>
            </w:r>
          </w:hyperlink>
        </w:p>
        <w:p w14:paraId="7A6CDA19"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1jlao46">
            <w:r w:rsidR="000A5866">
              <w:rPr>
                <w:rFonts w:ascii="Times New Roman" w:eastAsia="Times New Roman" w:hAnsi="Times New Roman" w:cs="Times New Roman"/>
                <w:sz w:val="24"/>
                <w:szCs w:val="24"/>
              </w:rPr>
              <w:t>Figure 4.5: Live near Wind Turbines Category</w:t>
            </w:r>
            <w:r w:rsidR="000A5866">
              <w:rPr>
                <w:rFonts w:ascii="Times New Roman" w:eastAsia="Times New Roman" w:hAnsi="Times New Roman" w:cs="Times New Roman"/>
                <w:sz w:val="24"/>
                <w:szCs w:val="24"/>
              </w:rPr>
              <w:tab/>
              <w:t>59</w:t>
            </w:r>
          </w:hyperlink>
        </w:p>
        <w:p w14:paraId="3CF7DCFB"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xvir7l">
            <w:r w:rsidR="000A5866">
              <w:rPr>
                <w:rFonts w:ascii="Times New Roman" w:eastAsia="Times New Roman" w:hAnsi="Times New Roman" w:cs="Times New Roman"/>
                <w:sz w:val="24"/>
                <w:szCs w:val="24"/>
              </w:rPr>
              <w:t>Figure 4.6: Impacted by Wind turbines Category</w:t>
            </w:r>
            <w:r w:rsidR="000A5866">
              <w:rPr>
                <w:rFonts w:ascii="Times New Roman" w:eastAsia="Times New Roman" w:hAnsi="Times New Roman" w:cs="Times New Roman"/>
                <w:sz w:val="24"/>
                <w:szCs w:val="24"/>
              </w:rPr>
              <w:tab/>
              <w:t>60</w:t>
            </w:r>
          </w:hyperlink>
        </w:p>
        <w:p w14:paraId="0BE5523E"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4h042r0">
            <w:r w:rsidR="000A5866">
              <w:rPr>
                <w:rFonts w:ascii="Times New Roman" w:eastAsia="Times New Roman" w:hAnsi="Times New Roman" w:cs="Times New Roman"/>
                <w:sz w:val="24"/>
                <w:szCs w:val="24"/>
              </w:rPr>
              <w:t>Figure 4.7: Strategies to avoid Challenges in the Wind Energy Deployment</w:t>
            </w:r>
            <w:r w:rsidR="000A5866">
              <w:rPr>
                <w:rFonts w:ascii="Times New Roman" w:eastAsia="Times New Roman" w:hAnsi="Times New Roman" w:cs="Times New Roman"/>
                <w:sz w:val="24"/>
                <w:szCs w:val="24"/>
              </w:rPr>
              <w:tab/>
              <w:t>62</w:t>
            </w:r>
          </w:hyperlink>
        </w:p>
        <w:p w14:paraId="7790CBD1"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3vac5uf">
            <w:r w:rsidR="000A5866">
              <w:rPr>
                <w:rFonts w:ascii="Times New Roman" w:eastAsia="Times New Roman" w:hAnsi="Times New Roman" w:cs="Times New Roman"/>
                <w:sz w:val="24"/>
                <w:szCs w:val="24"/>
              </w:rPr>
              <w:t>Figure 4.8: Challenges in the Developing Wind Energy Policies</w:t>
            </w:r>
            <w:r w:rsidR="000A5866">
              <w:rPr>
                <w:rFonts w:ascii="Times New Roman" w:eastAsia="Times New Roman" w:hAnsi="Times New Roman" w:cs="Times New Roman"/>
                <w:sz w:val="24"/>
                <w:szCs w:val="24"/>
              </w:rPr>
              <w:tab/>
              <w:t>64</w:t>
            </w:r>
          </w:hyperlink>
        </w:p>
        <w:p w14:paraId="08E81314"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39kk8xu">
            <w:r w:rsidR="000A5866">
              <w:rPr>
                <w:rFonts w:ascii="Times New Roman" w:eastAsia="Times New Roman" w:hAnsi="Times New Roman" w:cs="Times New Roman"/>
                <w:sz w:val="24"/>
                <w:szCs w:val="24"/>
              </w:rPr>
              <w:t>Figure 4.9: Effectiveness of UK in Developing Renewable Wind Energy</w:t>
            </w:r>
            <w:r w:rsidR="000A5866">
              <w:rPr>
                <w:rFonts w:ascii="Times New Roman" w:eastAsia="Times New Roman" w:hAnsi="Times New Roman" w:cs="Times New Roman"/>
                <w:sz w:val="24"/>
                <w:szCs w:val="24"/>
              </w:rPr>
              <w:tab/>
              <w:t>65</w:t>
            </w:r>
          </w:hyperlink>
        </w:p>
        <w:p w14:paraId="4A30AD5F"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2nusc19">
            <w:r w:rsidR="000A5866">
              <w:rPr>
                <w:rFonts w:ascii="Times New Roman" w:eastAsia="Times New Roman" w:hAnsi="Times New Roman" w:cs="Times New Roman"/>
                <w:sz w:val="24"/>
                <w:szCs w:val="24"/>
              </w:rPr>
              <w:t>Figure 4.10: Renewable Wind Energy Policies to Enhance Energy Efficiency and Productivity</w:t>
            </w:r>
            <w:r w:rsidR="000A5866">
              <w:rPr>
                <w:rFonts w:ascii="Times New Roman" w:eastAsia="Times New Roman" w:hAnsi="Times New Roman" w:cs="Times New Roman"/>
                <w:sz w:val="24"/>
                <w:szCs w:val="24"/>
              </w:rPr>
              <w:tab/>
              <w:t>66</w:t>
            </w:r>
          </w:hyperlink>
        </w:p>
        <w:p w14:paraId="4877FDD0"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2250f4o">
            <w:r w:rsidR="000A5866">
              <w:rPr>
                <w:rFonts w:ascii="Times New Roman" w:eastAsia="Times New Roman" w:hAnsi="Times New Roman" w:cs="Times New Roman"/>
                <w:sz w:val="24"/>
                <w:szCs w:val="24"/>
              </w:rPr>
              <w:t>Figure 4.11: Technological Advancements Category</w:t>
            </w:r>
            <w:r w:rsidR="000A5866">
              <w:rPr>
                <w:rFonts w:ascii="Times New Roman" w:eastAsia="Times New Roman" w:hAnsi="Times New Roman" w:cs="Times New Roman"/>
                <w:sz w:val="24"/>
                <w:szCs w:val="24"/>
              </w:rPr>
              <w:tab/>
              <w:t>68</w:t>
            </w:r>
          </w:hyperlink>
        </w:p>
        <w:p w14:paraId="3E50E868"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1gf8i83">
            <w:r w:rsidR="000A5866">
              <w:rPr>
                <w:rFonts w:ascii="Times New Roman" w:eastAsia="Times New Roman" w:hAnsi="Times New Roman" w:cs="Times New Roman"/>
                <w:sz w:val="24"/>
                <w:szCs w:val="24"/>
              </w:rPr>
              <w:t>Figure 4.12: Importance of Community Engagement Category</w:t>
            </w:r>
            <w:r w:rsidR="000A5866">
              <w:rPr>
                <w:rFonts w:ascii="Times New Roman" w:eastAsia="Times New Roman" w:hAnsi="Times New Roman" w:cs="Times New Roman"/>
                <w:sz w:val="24"/>
                <w:szCs w:val="24"/>
              </w:rPr>
              <w:tab/>
              <w:t>69</w:t>
            </w:r>
          </w:hyperlink>
        </w:p>
        <w:p w14:paraId="40F0C170"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upglbi">
            <w:r w:rsidR="000A5866">
              <w:rPr>
                <w:rFonts w:ascii="Times New Roman" w:eastAsia="Times New Roman" w:hAnsi="Times New Roman" w:cs="Times New Roman"/>
                <w:sz w:val="24"/>
                <w:szCs w:val="24"/>
              </w:rPr>
              <w:t>Figure 4.13: Effectiveness of Renewable Wind Energy Policies</w:t>
            </w:r>
            <w:r w:rsidR="000A5866">
              <w:rPr>
                <w:rFonts w:ascii="Times New Roman" w:eastAsia="Times New Roman" w:hAnsi="Times New Roman" w:cs="Times New Roman"/>
                <w:sz w:val="24"/>
                <w:szCs w:val="24"/>
              </w:rPr>
              <w:tab/>
              <w:t>70</w:t>
            </w:r>
          </w:hyperlink>
        </w:p>
        <w:p w14:paraId="6F39AF7D"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4du1wux">
            <w:r w:rsidR="000A5866">
              <w:rPr>
                <w:rFonts w:ascii="Times New Roman" w:eastAsia="Times New Roman" w:hAnsi="Times New Roman" w:cs="Times New Roman"/>
                <w:sz w:val="24"/>
                <w:szCs w:val="24"/>
              </w:rPr>
              <w:t>Figure 4.14:  Sustainability Category</w:t>
            </w:r>
            <w:r w:rsidR="000A5866">
              <w:rPr>
                <w:rFonts w:ascii="Times New Roman" w:eastAsia="Times New Roman" w:hAnsi="Times New Roman" w:cs="Times New Roman"/>
                <w:sz w:val="24"/>
                <w:szCs w:val="24"/>
              </w:rPr>
              <w:tab/>
              <w:t>72</w:t>
            </w:r>
          </w:hyperlink>
        </w:p>
        <w:p w14:paraId="130E4B65"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184mhaj">
            <w:r w:rsidR="000A5866">
              <w:rPr>
                <w:rFonts w:ascii="Times New Roman" w:eastAsia="Times New Roman" w:hAnsi="Times New Roman" w:cs="Times New Roman"/>
                <w:sz w:val="24"/>
                <w:szCs w:val="24"/>
              </w:rPr>
              <w:t>Figure 4.15: Frequency Table for Question 4</w:t>
            </w:r>
            <w:r w:rsidR="000A5866">
              <w:rPr>
                <w:rFonts w:ascii="Times New Roman" w:eastAsia="Times New Roman" w:hAnsi="Times New Roman" w:cs="Times New Roman"/>
                <w:sz w:val="24"/>
                <w:szCs w:val="24"/>
              </w:rPr>
              <w:tab/>
              <w:t>72</w:t>
            </w:r>
          </w:hyperlink>
        </w:p>
        <w:p w14:paraId="266F1445"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3s49zyc">
            <w:r w:rsidR="000A5866">
              <w:rPr>
                <w:rFonts w:ascii="Times New Roman" w:eastAsia="Times New Roman" w:hAnsi="Times New Roman" w:cs="Times New Roman"/>
                <w:sz w:val="24"/>
                <w:szCs w:val="24"/>
              </w:rPr>
              <w:t>Figure 4.16: Frequency Table for Question 5</w:t>
            </w:r>
            <w:r w:rsidR="000A5866">
              <w:rPr>
                <w:rFonts w:ascii="Times New Roman" w:eastAsia="Times New Roman" w:hAnsi="Times New Roman" w:cs="Times New Roman"/>
                <w:sz w:val="24"/>
                <w:szCs w:val="24"/>
              </w:rPr>
              <w:tab/>
              <w:t>73</w:t>
            </w:r>
          </w:hyperlink>
        </w:p>
        <w:p w14:paraId="0E6965D9"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279ka65">
            <w:r w:rsidR="000A5866">
              <w:rPr>
                <w:rFonts w:ascii="Times New Roman" w:eastAsia="Times New Roman" w:hAnsi="Times New Roman" w:cs="Times New Roman"/>
                <w:sz w:val="24"/>
                <w:szCs w:val="24"/>
              </w:rPr>
              <w:t>Figure 4.17: Frequency Table for Question 6</w:t>
            </w:r>
            <w:r w:rsidR="000A5866">
              <w:rPr>
                <w:rFonts w:ascii="Times New Roman" w:eastAsia="Times New Roman" w:hAnsi="Times New Roman" w:cs="Times New Roman"/>
                <w:sz w:val="24"/>
                <w:szCs w:val="24"/>
              </w:rPr>
              <w:tab/>
              <w:t>74</w:t>
            </w:r>
          </w:hyperlink>
        </w:p>
        <w:p w14:paraId="7C74F3F2"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meukdy">
            <w:r w:rsidR="000A5866">
              <w:rPr>
                <w:rFonts w:ascii="Times New Roman" w:eastAsia="Times New Roman" w:hAnsi="Times New Roman" w:cs="Times New Roman"/>
                <w:sz w:val="24"/>
                <w:szCs w:val="24"/>
              </w:rPr>
              <w:t>Figure 4.18: Frequency Table for Question 7</w:t>
            </w:r>
            <w:r w:rsidR="000A5866">
              <w:rPr>
                <w:rFonts w:ascii="Times New Roman" w:eastAsia="Times New Roman" w:hAnsi="Times New Roman" w:cs="Times New Roman"/>
                <w:sz w:val="24"/>
                <w:szCs w:val="24"/>
              </w:rPr>
              <w:tab/>
              <w:t>75</w:t>
            </w:r>
          </w:hyperlink>
        </w:p>
        <w:p w14:paraId="2DBF7B02"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36ei31r">
            <w:r w:rsidR="000A5866">
              <w:rPr>
                <w:rFonts w:ascii="Times New Roman" w:eastAsia="Times New Roman" w:hAnsi="Times New Roman" w:cs="Times New Roman"/>
                <w:sz w:val="24"/>
                <w:szCs w:val="24"/>
              </w:rPr>
              <w:t>Figure 4.19: Frequency Table for Question 8</w:t>
            </w:r>
            <w:r w:rsidR="000A5866">
              <w:rPr>
                <w:rFonts w:ascii="Times New Roman" w:eastAsia="Times New Roman" w:hAnsi="Times New Roman" w:cs="Times New Roman"/>
                <w:sz w:val="24"/>
                <w:szCs w:val="24"/>
              </w:rPr>
              <w:tab/>
              <w:t>76</w:t>
            </w:r>
          </w:hyperlink>
        </w:p>
        <w:p w14:paraId="25DECB61"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1ljsd9k">
            <w:r w:rsidR="000A5866">
              <w:rPr>
                <w:rFonts w:ascii="Times New Roman" w:eastAsia="Times New Roman" w:hAnsi="Times New Roman" w:cs="Times New Roman"/>
                <w:sz w:val="24"/>
                <w:szCs w:val="24"/>
              </w:rPr>
              <w:t>Figure 4.20: Frequency Table for Question 9</w:t>
            </w:r>
            <w:r w:rsidR="000A5866">
              <w:rPr>
                <w:rFonts w:ascii="Times New Roman" w:eastAsia="Times New Roman" w:hAnsi="Times New Roman" w:cs="Times New Roman"/>
                <w:sz w:val="24"/>
                <w:szCs w:val="24"/>
              </w:rPr>
              <w:tab/>
              <w:t>77</w:t>
            </w:r>
          </w:hyperlink>
        </w:p>
        <w:p w14:paraId="6F2CFEEF"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45jfvxd">
            <w:r w:rsidR="000A5866">
              <w:rPr>
                <w:rFonts w:ascii="Times New Roman" w:eastAsia="Times New Roman" w:hAnsi="Times New Roman" w:cs="Times New Roman"/>
                <w:sz w:val="24"/>
                <w:szCs w:val="24"/>
              </w:rPr>
              <w:t>Figure 4.21: Frequency Table for Question 10</w:t>
            </w:r>
            <w:r w:rsidR="000A5866">
              <w:rPr>
                <w:rFonts w:ascii="Times New Roman" w:eastAsia="Times New Roman" w:hAnsi="Times New Roman" w:cs="Times New Roman"/>
                <w:sz w:val="24"/>
                <w:szCs w:val="24"/>
              </w:rPr>
              <w:tab/>
              <w:t>78</w:t>
            </w:r>
          </w:hyperlink>
        </w:p>
        <w:p w14:paraId="2C3D0798"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2koq656">
            <w:r w:rsidR="000A5866">
              <w:rPr>
                <w:rFonts w:ascii="Times New Roman" w:eastAsia="Times New Roman" w:hAnsi="Times New Roman" w:cs="Times New Roman"/>
                <w:sz w:val="24"/>
                <w:szCs w:val="24"/>
              </w:rPr>
              <w:t>Figure 4.22: Frequency Table for Question 11</w:t>
            </w:r>
            <w:r w:rsidR="000A5866">
              <w:rPr>
                <w:rFonts w:ascii="Times New Roman" w:eastAsia="Times New Roman" w:hAnsi="Times New Roman" w:cs="Times New Roman"/>
                <w:sz w:val="24"/>
                <w:szCs w:val="24"/>
              </w:rPr>
              <w:tab/>
              <w:t>79</w:t>
            </w:r>
          </w:hyperlink>
        </w:p>
        <w:p w14:paraId="3C5913EE"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zu0gcz">
            <w:r w:rsidR="000A5866">
              <w:rPr>
                <w:rFonts w:ascii="Times New Roman" w:eastAsia="Times New Roman" w:hAnsi="Times New Roman" w:cs="Times New Roman"/>
                <w:sz w:val="24"/>
                <w:szCs w:val="24"/>
              </w:rPr>
              <w:t>Figure 4.23: Frequency Table for Question 12</w:t>
            </w:r>
            <w:r w:rsidR="000A5866">
              <w:rPr>
                <w:rFonts w:ascii="Times New Roman" w:eastAsia="Times New Roman" w:hAnsi="Times New Roman" w:cs="Times New Roman"/>
                <w:sz w:val="24"/>
                <w:szCs w:val="24"/>
              </w:rPr>
              <w:tab/>
              <w:t>79</w:t>
            </w:r>
          </w:hyperlink>
        </w:p>
        <w:p w14:paraId="405E76C4"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3jtnz0s">
            <w:r w:rsidR="000A5866">
              <w:rPr>
                <w:rFonts w:ascii="Times New Roman" w:eastAsia="Times New Roman" w:hAnsi="Times New Roman" w:cs="Times New Roman"/>
                <w:sz w:val="24"/>
                <w:szCs w:val="24"/>
              </w:rPr>
              <w:t>Figure 4.24: Frequency Table for Question 13</w:t>
            </w:r>
            <w:r w:rsidR="000A5866">
              <w:rPr>
                <w:rFonts w:ascii="Times New Roman" w:eastAsia="Times New Roman" w:hAnsi="Times New Roman" w:cs="Times New Roman"/>
                <w:sz w:val="24"/>
                <w:szCs w:val="24"/>
              </w:rPr>
              <w:tab/>
              <w:t>80</w:t>
            </w:r>
          </w:hyperlink>
        </w:p>
        <w:p w14:paraId="02FF06DD"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1yyy98l">
            <w:r w:rsidR="000A5866">
              <w:rPr>
                <w:rFonts w:ascii="Times New Roman" w:eastAsia="Times New Roman" w:hAnsi="Times New Roman" w:cs="Times New Roman"/>
                <w:sz w:val="24"/>
                <w:szCs w:val="24"/>
              </w:rPr>
              <w:t>Figure 4.25: Frequency Table for Question 14</w:t>
            </w:r>
            <w:r w:rsidR="000A5866">
              <w:rPr>
                <w:rFonts w:ascii="Times New Roman" w:eastAsia="Times New Roman" w:hAnsi="Times New Roman" w:cs="Times New Roman"/>
                <w:sz w:val="24"/>
                <w:szCs w:val="24"/>
              </w:rPr>
              <w:tab/>
              <w:t>81</w:t>
            </w:r>
          </w:hyperlink>
        </w:p>
        <w:p w14:paraId="0CB6EE9B" w14:textId="77777777" w:rsidR="007C5593" w:rsidRDefault="007C5593">
          <w:pPr>
            <w:spacing w:after="240" w:line="480" w:lineRule="auto"/>
            <w:jc w:val="center"/>
            <w:rPr>
              <w:rFonts w:ascii="Times New Roman" w:eastAsia="Times New Roman" w:hAnsi="Times New Roman" w:cs="Times New Roman"/>
              <w:b/>
            </w:rPr>
          </w:pPr>
          <w:r>
            <w:fldChar w:fldCharType="end"/>
          </w:r>
        </w:p>
      </w:sdtContent>
    </w:sdt>
    <w:p w14:paraId="60EC6B21" w14:textId="77777777" w:rsidR="007C5593" w:rsidRDefault="007C5593">
      <w:pPr>
        <w:pBdr>
          <w:top w:val="nil"/>
          <w:left w:val="nil"/>
          <w:bottom w:val="nil"/>
          <w:right w:val="nil"/>
          <w:between w:val="nil"/>
        </w:pBdr>
        <w:tabs>
          <w:tab w:val="right" w:pos="9350"/>
        </w:tabs>
        <w:spacing w:line="480" w:lineRule="auto"/>
        <w:jc w:val="both"/>
        <w:rPr>
          <w:rFonts w:ascii="Times New Roman" w:eastAsia="Times New Roman" w:hAnsi="Times New Roman" w:cs="Times New Roman"/>
          <w:b/>
          <w:sz w:val="24"/>
          <w:szCs w:val="24"/>
        </w:rPr>
      </w:pPr>
    </w:p>
    <w:p w14:paraId="68D6B202" w14:textId="77777777" w:rsidR="007C5593" w:rsidRDefault="007C5593">
      <w:pPr>
        <w:pBdr>
          <w:top w:val="nil"/>
          <w:left w:val="nil"/>
          <w:bottom w:val="nil"/>
          <w:right w:val="nil"/>
          <w:between w:val="nil"/>
        </w:pBdr>
        <w:tabs>
          <w:tab w:val="right" w:pos="9350"/>
        </w:tabs>
        <w:spacing w:line="480" w:lineRule="auto"/>
        <w:jc w:val="both"/>
        <w:rPr>
          <w:rFonts w:ascii="Cambria" w:eastAsia="Cambria" w:hAnsi="Cambria" w:cs="Cambria"/>
        </w:rPr>
      </w:pPr>
    </w:p>
    <w:p w14:paraId="0F77F043" w14:textId="77777777" w:rsidR="007C5593" w:rsidRDefault="000A5866">
      <w:pPr>
        <w:rPr>
          <w:rFonts w:ascii="Times New Roman" w:eastAsia="Times New Roman" w:hAnsi="Times New Roman" w:cs="Times New Roman"/>
          <w:sz w:val="24"/>
          <w:szCs w:val="24"/>
        </w:rPr>
      </w:pPr>
      <w:r>
        <w:br w:type="page"/>
      </w:r>
    </w:p>
    <w:p w14:paraId="074905A6" w14:textId="77777777" w:rsidR="007C5593" w:rsidRDefault="000A5866">
      <w:pPr>
        <w:spacing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List of Tables</w:t>
      </w:r>
    </w:p>
    <w:sdt>
      <w:sdtPr>
        <w:id w:val="4472034"/>
        <w:docPartObj>
          <w:docPartGallery w:val="Table of Contents"/>
          <w:docPartUnique/>
        </w:docPartObj>
      </w:sdtPr>
      <w:sdtContent>
        <w:p w14:paraId="176A537A" w14:textId="77777777" w:rsidR="007C5593" w:rsidRDefault="007C5593">
          <w:pPr>
            <w:pBdr>
              <w:top w:val="nil"/>
              <w:left w:val="nil"/>
              <w:bottom w:val="nil"/>
              <w:right w:val="nil"/>
              <w:between w:val="nil"/>
            </w:pBdr>
            <w:tabs>
              <w:tab w:val="right" w:pos="9350"/>
            </w:tabs>
            <w:spacing w:line="480" w:lineRule="auto"/>
            <w:jc w:val="both"/>
            <w:rPr>
              <w:rFonts w:ascii="Cambria" w:eastAsia="Cambria" w:hAnsi="Cambria" w:cs="Cambria"/>
            </w:rPr>
          </w:pPr>
          <w:r>
            <w:fldChar w:fldCharType="begin"/>
          </w:r>
          <w:r w:rsidR="000A5866">
            <w:instrText xml:space="preserve"> TOC \h \u \z \t "Heading 1,1,Heading 2,2,Heading 3,3,Heading 4,4,Heading 5,5,Heading 6,6,"</w:instrText>
          </w:r>
          <w:r>
            <w:fldChar w:fldCharType="separate"/>
          </w:r>
          <w:hyperlink w:anchor="_heading=h.1egqt2p">
            <w:r w:rsidR="000A5866">
              <w:rPr>
                <w:rFonts w:ascii="Times New Roman" w:eastAsia="Times New Roman" w:hAnsi="Times New Roman" w:cs="Times New Roman"/>
                <w:sz w:val="24"/>
                <w:szCs w:val="24"/>
              </w:rPr>
              <w:t>Table 4.1: Frequency Table for Age Category</w:t>
            </w:r>
            <w:r w:rsidR="000A5866">
              <w:rPr>
                <w:rFonts w:ascii="Times New Roman" w:eastAsia="Times New Roman" w:hAnsi="Times New Roman" w:cs="Times New Roman"/>
                <w:sz w:val="24"/>
                <w:szCs w:val="24"/>
              </w:rPr>
              <w:tab/>
              <w:t>55</w:t>
            </w:r>
          </w:hyperlink>
        </w:p>
        <w:p w14:paraId="65111C33"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sqyw64">
            <w:r w:rsidR="000A5866">
              <w:rPr>
                <w:rFonts w:ascii="Times New Roman" w:eastAsia="Times New Roman" w:hAnsi="Times New Roman" w:cs="Times New Roman"/>
                <w:sz w:val="24"/>
                <w:szCs w:val="24"/>
              </w:rPr>
              <w:t>Table 4.2: Frequency Table for Gender Category</w:t>
            </w:r>
            <w:r w:rsidR="000A5866">
              <w:rPr>
                <w:rFonts w:ascii="Times New Roman" w:eastAsia="Times New Roman" w:hAnsi="Times New Roman" w:cs="Times New Roman"/>
                <w:sz w:val="24"/>
                <w:szCs w:val="24"/>
              </w:rPr>
              <w:tab/>
              <w:t>56</w:t>
            </w:r>
          </w:hyperlink>
        </w:p>
        <w:p w14:paraId="5C73C929"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4bvk7pj">
            <w:r w:rsidR="000A5866">
              <w:rPr>
                <w:rFonts w:ascii="Times New Roman" w:eastAsia="Times New Roman" w:hAnsi="Times New Roman" w:cs="Times New Roman"/>
                <w:sz w:val="24"/>
                <w:szCs w:val="24"/>
              </w:rPr>
              <w:t>Table 4.3: Frequency Table for Location Category</w:t>
            </w:r>
            <w:r w:rsidR="000A5866">
              <w:rPr>
                <w:rFonts w:ascii="Times New Roman" w:eastAsia="Times New Roman" w:hAnsi="Times New Roman" w:cs="Times New Roman"/>
                <w:sz w:val="24"/>
                <w:szCs w:val="24"/>
              </w:rPr>
              <w:tab/>
              <w:t>57</w:t>
            </w:r>
          </w:hyperlink>
        </w:p>
        <w:p w14:paraId="60F914AA"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3q5sasy">
            <w:r w:rsidR="000A5866">
              <w:rPr>
                <w:rFonts w:ascii="Times New Roman" w:eastAsia="Times New Roman" w:hAnsi="Times New Roman" w:cs="Times New Roman"/>
                <w:sz w:val="24"/>
                <w:szCs w:val="24"/>
              </w:rPr>
              <w:t>Table 4.4: Frequency Table for Awareness about Wind-Power Energy in the UK</w:t>
            </w:r>
            <w:r w:rsidR="000A5866">
              <w:rPr>
                <w:rFonts w:ascii="Times New Roman" w:eastAsia="Times New Roman" w:hAnsi="Times New Roman" w:cs="Times New Roman"/>
                <w:sz w:val="24"/>
                <w:szCs w:val="24"/>
              </w:rPr>
              <w:tab/>
              <w:t>58</w:t>
            </w:r>
          </w:hyperlink>
        </w:p>
        <w:p w14:paraId="4E9AB7BE"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34g0dwd">
            <w:r w:rsidR="000A5866">
              <w:rPr>
                <w:rFonts w:ascii="Times New Roman" w:eastAsia="Times New Roman" w:hAnsi="Times New Roman" w:cs="Times New Roman"/>
                <w:sz w:val="24"/>
                <w:szCs w:val="24"/>
              </w:rPr>
              <w:t>Table 4.5: Frequency Table for Live near Wind Turbines Category</w:t>
            </w:r>
            <w:r w:rsidR="000A5866">
              <w:rPr>
                <w:rFonts w:ascii="Times New Roman" w:eastAsia="Times New Roman" w:hAnsi="Times New Roman" w:cs="Times New Roman"/>
                <w:sz w:val="24"/>
                <w:szCs w:val="24"/>
              </w:rPr>
              <w:tab/>
              <w:t>59</w:t>
            </w:r>
          </w:hyperlink>
        </w:p>
        <w:p w14:paraId="2087C2C6"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2iq8gzs">
            <w:r w:rsidR="000A5866">
              <w:rPr>
                <w:rFonts w:ascii="Times New Roman" w:eastAsia="Times New Roman" w:hAnsi="Times New Roman" w:cs="Times New Roman"/>
                <w:sz w:val="24"/>
                <w:szCs w:val="24"/>
              </w:rPr>
              <w:t>Table 4.6: Frequency Table for Impacted by Wind turbines Category</w:t>
            </w:r>
            <w:r w:rsidR="000A5866">
              <w:rPr>
                <w:rFonts w:ascii="Times New Roman" w:eastAsia="Times New Roman" w:hAnsi="Times New Roman" w:cs="Times New Roman"/>
                <w:sz w:val="24"/>
                <w:szCs w:val="24"/>
              </w:rPr>
              <w:tab/>
              <w:t>60</w:t>
            </w:r>
          </w:hyperlink>
        </w:p>
        <w:p w14:paraId="1347FC1A"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1x0gk37">
            <w:r w:rsidR="000A5866">
              <w:rPr>
                <w:rFonts w:ascii="Times New Roman" w:eastAsia="Times New Roman" w:hAnsi="Times New Roman" w:cs="Times New Roman"/>
                <w:sz w:val="24"/>
                <w:szCs w:val="24"/>
              </w:rPr>
              <w:t>Table 4.7: Frequency Table for Strategies to avoid Challenges in the Wind Energy Deployment</w:t>
            </w:r>
            <w:r w:rsidR="000A5866">
              <w:rPr>
                <w:rFonts w:ascii="Times New Roman" w:eastAsia="Times New Roman" w:hAnsi="Times New Roman" w:cs="Times New Roman"/>
                <w:sz w:val="24"/>
                <w:szCs w:val="24"/>
              </w:rPr>
              <w:tab/>
              <w:t>62</w:t>
            </w:r>
          </w:hyperlink>
        </w:p>
        <w:p w14:paraId="4B9F2093"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1baon6m">
            <w:r w:rsidR="000A5866">
              <w:rPr>
                <w:rFonts w:ascii="Times New Roman" w:eastAsia="Times New Roman" w:hAnsi="Times New Roman" w:cs="Times New Roman"/>
                <w:sz w:val="24"/>
                <w:szCs w:val="24"/>
              </w:rPr>
              <w:t>Table 4.8: Frequency Table for Challenges in the Developing Wind Energy Policies</w:t>
            </w:r>
            <w:r w:rsidR="000A5866">
              <w:rPr>
                <w:rFonts w:ascii="Times New Roman" w:eastAsia="Times New Roman" w:hAnsi="Times New Roman" w:cs="Times New Roman"/>
                <w:sz w:val="24"/>
                <w:szCs w:val="24"/>
              </w:rPr>
              <w:tab/>
              <w:t>63</w:t>
            </w:r>
          </w:hyperlink>
        </w:p>
        <w:p w14:paraId="32B18AE9"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pkwqa1">
            <w:r w:rsidR="000A5866">
              <w:rPr>
                <w:rFonts w:ascii="Times New Roman" w:eastAsia="Times New Roman" w:hAnsi="Times New Roman" w:cs="Times New Roman"/>
                <w:sz w:val="24"/>
                <w:szCs w:val="24"/>
              </w:rPr>
              <w:t>Table 4.9: Frequency Table for Effectiveness of UK in Developing Renewable Wind Energy</w:t>
            </w:r>
            <w:r w:rsidR="000A5866">
              <w:rPr>
                <w:rFonts w:ascii="Times New Roman" w:eastAsia="Times New Roman" w:hAnsi="Times New Roman" w:cs="Times New Roman"/>
                <w:sz w:val="24"/>
                <w:szCs w:val="24"/>
              </w:rPr>
              <w:tab/>
              <w:t>65</w:t>
            </w:r>
          </w:hyperlink>
        </w:p>
        <w:p w14:paraId="602AC883"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48pi1tg">
            <w:r w:rsidR="000A5866">
              <w:rPr>
                <w:rFonts w:ascii="Times New Roman" w:eastAsia="Times New Roman" w:hAnsi="Times New Roman" w:cs="Times New Roman"/>
                <w:sz w:val="24"/>
                <w:szCs w:val="24"/>
              </w:rPr>
              <w:t>Table 4.10: Frequency Table for Renewable Wind Energy Policies to Enhance Energy Efficiency and Productivity</w:t>
            </w:r>
            <w:r w:rsidR="000A5866">
              <w:rPr>
                <w:rFonts w:ascii="Times New Roman" w:eastAsia="Times New Roman" w:hAnsi="Times New Roman" w:cs="Times New Roman"/>
                <w:sz w:val="24"/>
                <w:szCs w:val="24"/>
              </w:rPr>
              <w:tab/>
              <w:t>66</w:t>
            </w:r>
          </w:hyperlink>
        </w:p>
        <w:p w14:paraId="645B2872"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3mzq4wv">
            <w:r w:rsidR="000A5866">
              <w:rPr>
                <w:rFonts w:ascii="Times New Roman" w:eastAsia="Times New Roman" w:hAnsi="Times New Roman" w:cs="Times New Roman"/>
                <w:sz w:val="24"/>
                <w:szCs w:val="24"/>
              </w:rPr>
              <w:t>Table 4.11: Frequency Table for Technological Advancements Category</w:t>
            </w:r>
            <w:r w:rsidR="000A5866">
              <w:rPr>
                <w:rFonts w:ascii="Times New Roman" w:eastAsia="Times New Roman" w:hAnsi="Times New Roman" w:cs="Times New Roman"/>
                <w:sz w:val="24"/>
                <w:szCs w:val="24"/>
              </w:rPr>
              <w:tab/>
              <w:t>67</w:t>
            </w:r>
          </w:hyperlink>
        </w:p>
        <w:p w14:paraId="182B9BF8"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319y80a">
            <w:r w:rsidR="000A5866">
              <w:rPr>
                <w:rFonts w:ascii="Times New Roman" w:eastAsia="Times New Roman" w:hAnsi="Times New Roman" w:cs="Times New Roman"/>
                <w:sz w:val="24"/>
                <w:szCs w:val="24"/>
              </w:rPr>
              <w:t>Table 4.12: Frequency Table for Importance of Community Engagement Category</w:t>
            </w:r>
            <w:r w:rsidR="000A5866">
              <w:rPr>
                <w:rFonts w:ascii="Times New Roman" w:eastAsia="Times New Roman" w:hAnsi="Times New Roman" w:cs="Times New Roman"/>
                <w:sz w:val="24"/>
                <w:szCs w:val="24"/>
              </w:rPr>
              <w:tab/>
              <w:t>69</w:t>
            </w:r>
          </w:hyperlink>
        </w:p>
        <w:p w14:paraId="5C0B4AEA"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2fk6b3p">
            <w:r w:rsidR="000A5866">
              <w:rPr>
                <w:rFonts w:ascii="Times New Roman" w:eastAsia="Times New Roman" w:hAnsi="Times New Roman" w:cs="Times New Roman"/>
                <w:sz w:val="24"/>
                <w:szCs w:val="24"/>
              </w:rPr>
              <w:t>Table 4.13: Frequency Table for Effectiveness of Renewable Wind Energy Policies</w:t>
            </w:r>
            <w:r w:rsidR="000A5866">
              <w:rPr>
                <w:rFonts w:ascii="Times New Roman" w:eastAsia="Times New Roman" w:hAnsi="Times New Roman" w:cs="Times New Roman"/>
                <w:sz w:val="24"/>
                <w:szCs w:val="24"/>
              </w:rPr>
              <w:tab/>
              <w:t>70</w:t>
            </w:r>
          </w:hyperlink>
        </w:p>
        <w:p w14:paraId="3845DA56" w14:textId="77777777" w:rsidR="007C5593" w:rsidRDefault="00000000">
          <w:pPr>
            <w:pBdr>
              <w:top w:val="nil"/>
              <w:left w:val="nil"/>
              <w:bottom w:val="nil"/>
              <w:right w:val="nil"/>
              <w:between w:val="nil"/>
            </w:pBdr>
            <w:tabs>
              <w:tab w:val="right" w:pos="9350"/>
            </w:tabs>
            <w:spacing w:line="480" w:lineRule="auto"/>
            <w:jc w:val="both"/>
            <w:rPr>
              <w:rFonts w:ascii="Cambria" w:eastAsia="Cambria" w:hAnsi="Cambria" w:cs="Cambria"/>
            </w:rPr>
          </w:pPr>
          <w:hyperlink w:anchor="_heading=h.1tuee74">
            <w:r w:rsidR="000A5866">
              <w:rPr>
                <w:rFonts w:ascii="Times New Roman" w:eastAsia="Times New Roman" w:hAnsi="Times New Roman" w:cs="Times New Roman"/>
                <w:sz w:val="24"/>
                <w:szCs w:val="24"/>
              </w:rPr>
              <w:t>Table 4.14: Frequency Table for Sustainability Category</w:t>
            </w:r>
            <w:r w:rsidR="000A5866">
              <w:rPr>
                <w:rFonts w:ascii="Times New Roman" w:eastAsia="Times New Roman" w:hAnsi="Times New Roman" w:cs="Times New Roman"/>
                <w:sz w:val="24"/>
                <w:szCs w:val="24"/>
              </w:rPr>
              <w:tab/>
              <w:t>71</w:t>
            </w:r>
          </w:hyperlink>
        </w:p>
        <w:p w14:paraId="6AD5DB39" w14:textId="77777777" w:rsidR="007C5593" w:rsidRDefault="007C5593">
          <w:pPr>
            <w:spacing w:after="240" w:line="480" w:lineRule="auto"/>
            <w:jc w:val="center"/>
            <w:rPr>
              <w:rFonts w:ascii="Times New Roman" w:eastAsia="Times New Roman" w:hAnsi="Times New Roman" w:cs="Times New Roman"/>
              <w:b/>
              <w:sz w:val="24"/>
              <w:szCs w:val="24"/>
            </w:rPr>
          </w:pPr>
          <w:r>
            <w:fldChar w:fldCharType="end"/>
          </w:r>
        </w:p>
      </w:sdtContent>
    </w:sdt>
    <w:p w14:paraId="29480C93" w14:textId="77777777" w:rsidR="007C5593" w:rsidRDefault="000A5866">
      <w:pPr>
        <w:rPr>
          <w:rFonts w:ascii="Times New Roman" w:eastAsia="Times New Roman" w:hAnsi="Times New Roman" w:cs="Times New Roman"/>
          <w:b/>
          <w:sz w:val="24"/>
          <w:szCs w:val="24"/>
        </w:rPr>
      </w:pPr>
      <w:r>
        <w:br w:type="page"/>
      </w:r>
    </w:p>
    <w:p w14:paraId="4C172869" w14:textId="77777777" w:rsidR="007C5593" w:rsidRPr="007132D5" w:rsidRDefault="000A5866">
      <w:pPr>
        <w:pStyle w:val="Heading1"/>
        <w:rPr>
          <w:sz w:val="32"/>
          <w:szCs w:val="32"/>
        </w:rPr>
      </w:pPr>
      <w:bookmarkStart w:id="1" w:name="_heading=h.30j0zll" w:colFirst="0" w:colLast="0"/>
      <w:bookmarkEnd w:id="1"/>
      <w:r w:rsidRPr="007132D5">
        <w:rPr>
          <w:sz w:val="32"/>
          <w:szCs w:val="32"/>
        </w:rPr>
        <w:lastRenderedPageBreak/>
        <w:t>Chapter 1: Introduction and Background Information</w:t>
      </w:r>
    </w:p>
    <w:p w14:paraId="2F762926" w14:textId="77777777" w:rsidR="007C5593" w:rsidRDefault="000A5866">
      <w:pPr>
        <w:pStyle w:val="Heading2"/>
        <w:rPr>
          <w:b w:val="0"/>
        </w:rPr>
      </w:pPr>
      <w:bookmarkStart w:id="2" w:name="_heading=h.1fob9te" w:colFirst="0" w:colLast="0"/>
      <w:bookmarkEnd w:id="2"/>
      <w:r>
        <w:t>1.1 Chapter Introduction</w:t>
      </w:r>
    </w:p>
    <w:p w14:paraId="63156AF3"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present chapter is associated with providing a detailed background on the wind energy policies in the UK as well as its effectiveness in fulfilling energy demands of the country's population. This chapter has utilised various data sources such as government papers, news articles, and existing articles for developing the research background that has served the purpose of increasing proficiency about the research topic. Further, a clear problem statement has been developed in this chapter that could inform the audience about the core focus of this research.  The problem statement has further influenced the development of research aims and objectives. The present chapter has provided a strong rationale and significance of the study that justifies the topic along with contributing to the existing knowledge pool. Further, at the end of this chapter, a clear overview of dissertation structure has been provided that has clarified the plan of progress with the dissertation.</w:t>
      </w:r>
    </w:p>
    <w:p w14:paraId="47B4C571" w14:textId="77777777" w:rsidR="007C5593" w:rsidRDefault="000A5866">
      <w:pPr>
        <w:pStyle w:val="Heading2"/>
      </w:pPr>
      <w:bookmarkStart w:id="3" w:name="_heading=h.3znysh7" w:colFirst="0" w:colLast="0"/>
      <w:bookmarkEnd w:id="3"/>
      <w:r>
        <w:t>1.2 Research Background</w:t>
      </w:r>
    </w:p>
    <w:p w14:paraId="7D075FBB" w14:textId="64715439"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has geo</w:t>
      </w:r>
      <w:r w:rsidR="00387D7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resources such as a long coastline</w:t>
      </w:r>
      <w:r w:rsidR="00387D73">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shallow waters, and strong winds which </w:t>
      </w:r>
      <w:r w:rsidR="00387D73">
        <w:rPr>
          <w:rFonts w:ascii="Times New Roman" w:eastAsia="Times New Roman" w:hAnsi="Times New Roman" w:cs="Times New Roman"/>
          <w:sz w:val="24"/>
          <w:szCs w:val="24"/>
        </w:rPr>
        <w:t xml:space="preserve">stand </w:t>
      </w:r>
      <w:r>
        <w:rPr>
          <w:rFonts w:ascii="Times New Roman" w:eastAsia="Times New Roman" w:hAnsi="Times New Roman" w:cs="Times New Roman"/>
          <w:sz w:val="24"/>
          <w:szCs w:val="24"/>
        </w:rPr>
        <w:t>the country the best location for wind energy production</w:t>
      </w:r>
      <w:r w:rsidR="00387D73">
        <w:rPr>
          <w:rFonts w:ascii="Times New Roman" w:eastAsia="Times New Roman" w:hAnsi="Times New Roman" w:cs="Times New Roman"/>
          <w:sz w:val="24"/>
          <w:szCs w:val="24"/>
        </w:rPr>
        <w:t xml:space="preserve"> for a new safe and challenging world</w:t>
      </w:r>
      <w:r>
        <w:rPr>
          <w:rFonts w:ascii="Times New Roman" w:eastAsia="Times New Roman" w:hAnsi="Times New Roman" w:cs="Times New Roman"/>
          <w:sz w:val="24"/>
          <w:szCs w:val="24"/>
        </w:rPr>
        <w:t xml:space="preserve">. It has been identified that the UK had installed more than 11,000 wind turbines </w:t>
      </w:r>
      <w:r w:rsidR="00387D73">
        <w:rPr>
          <w:rFonts w:ascii="Times New Roman" w:eastAsia="Times New Roman" w:hAnsi="Times New Roman" w:cs="Times New Roman"/>
          <w:sz w:val="24"/>
          <w:szCs w:val="24"/>
        </w:rPr>
        <w:t xml:space="preserve">over to the UK </w:t>
      </w:r>
      <w:r>
        <w:rPr>
          <w:rFonts w:ascii="Times New Roman" w:eastAsia="Times New Roman" w:hAnsi="Times New Roman" w:cs="Times New Roman"/>
          <w:sz w:val="24"/>
          <w:szCs w:val="24"/>
        </w:rPr>
        <w:t xml:space="preserve">that have the capacity of producing 30 gigawatts (GW) electricity as of 2023 (Ukpanah, 2024). It is also identified that the governmental policies </w:t>
      </w:r>
      <w:r w:rsidR="00387D73">
        <w:rPr>
          <w:rFonts w:ascii="Times New Roman" w:eastAsia="Times New Roman" w:hAnsi="Times New Roman" w:cs="Times New Roman"/>
          <w:sz w:val="24"/>
          <w:szCs w:val="24"/>
        </w:rPr>
        <w:t xml:space="preserve">and norms </w:t>
      </w:r>
      <w:r>
        <w:rPr>
          <w:rFonts w:ascii="Times New Roman" w:eastAsia="Times New Roman" w:hAnsi="Times New Roman" w:cs="Times New Roman"/>
          <w:sz w:val="24"/>
          <w:szCs w:val="24"/>
        </w:rPr>
        <w:t xml:space="preserve">of the UK have set ambitious goals to reduce greenhouse gas emissions and Net Zero attainments by 2050. As a result, wind energy has become a potential source of </w:t>
      </w:r>
      <w:r w:rsidR="00387D73">
        <w:rPr>
          <w:rFonts w:ascii="Times New Roman" w:eastAsia="Times New Roman" w:hAnsi="Times New Roman" w:cs="Times New Roman"/>
          <w:sz w:val="24"/>
          <w:szCs w:val="24"/>
        </w:rPr>
        <w:t xml:space="preserve">green </w:t>
      </w:r>
      <w:r>
        <w:rPr>
          <w:rFonts w:ascii="Times New Roman" w:eastAsia="Times New Roman" w:hAnsi="Times New Roman" w:cs="Times New Roman"/>
          <w:sz w:val="24"/>
          <w:szCs w:val="24"/>
        </w:rPr>
        <w:t xml:space="preserve"> energy electricity that has contributed 22.6% of the total energy consumption in 2021 (Ukpanah, 2024). The below figure </w:t>
      </w:r>
      <w:r>
        <w:rPr>
          <w:rFonts w:ascii="Times New Roman" w:eastAsia="Times New Roman" w:hAnsi="Times New Roman" w:cs="Times New Roman"/>
          <w:sz w:val="24"/>
          <w:szCs w:val="24"/>
        </w:rPr>
        <w:lastRenderedPageBreak/>
        <w:t>1.1 has shown that electricity production through wind power can face a market projection of reaching 98.63 billion kWh in 2024 (Statista, 2024). Hence, it can be mentioned that the wind energy production in the UK is needed to focus on developing wind energy policies to promote the production of energy.</w:t>
      </w:r>
    </w:p>
    <w:p w14:paraId="1EF0876A" w14:textId="77777777" w:rsidR="007C5593" w:rsidRDefault="000A586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57D1DE13" wp14:editId="29417118">
            <wp:extent cx="5943600" cy="2933700"/>
            <wp:effectExtent l="0" t="0" r="0" b="0"/>
            <wp:docPr id="88"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9"/>
                    <a:srcRect/>
                    <a:stretch>
                      <a:fillRect/>
                    </a:stretch>
                  </pic:blipFill>
                  <pic:spPr>
                    <a:xfrm>
                      <a:off x="0" y="0"/>
                      <a:ext cx="5943600" cy="2933700"/>
                    </a:xfrm>
                    <a:prstGeom prst="rect">
                      <a:avLst/>
                    </a:prstGeom>
                    <a:ln/>
                  </pic:spPr>
                </pic:pic>
              </a:graphicData>
            </a:graphic>
          </wp:inline>
        </w:drawing>
      </w:r>
    </w:p>
    <w:p w14:paraId="0C87B85D" w14:textId="77777777" w:rsidR="007C5593" w:rsidRDefault="000A5866">
      <w:pPr>
        <w:pStyle w:val="Heading4"/>
      </w:pPr>
      <w:bookmarkStart w:id="4" w:name="_heading=h.2et92p0" w:colFirst="0" w:colLast="0"/>
      <w:bookmarkEnd w:id="4"/>
      <w:r>
        <w:t>Figure 1.1: Wind energy production rates in the UK with future projections</w:t>
      </w:r>
    </w:p>
    <w:p w14:paraId="4DB88CDE" w14:textId="77777777" w:rsidR="007C5593" w:rsidRDefault="000A586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2024)</w:t>
      </w:r>
    </w:p>
    <w:p w14:paraId="3C010C9F"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government has been identified to adopt and initiate several support policies such as “Non-Fossil Fuel Orders (‘NFFO’)”, “Renewable Obligation Certificates (ROCs)”, and “Contracts for Difference (CfD)”. These policies have been identified to place an obligation on licenced electricity suppliers to source a specific percentage of the electricity from renewable </w:t>
      </w:r>
      <w:r w:rsidRPr="007132D5">
        <w:rPr>
          <w:rFonts w:ascii="Times New Roman" w:eastAsia="Times New Roman" w:hAnsi="Times New Roman" w:cs="Times New Roman"/>
          <w:color w:val="000000" w:themeColor="text1"/>
          <w:sz w:val="24"/>
          <w:szCs w:val="24"/>
        </w:rPr>
        <w:t xml:space="preserve">sources such as wind or water, failing in this can result in penalties (Aldersey-Williams </w:t>
      </w:r>
      <w:r w:rsidRPr="007132D5">
        <w:rPr>
          <w:rFonts w:ascii="Times New Roman" w:eastAsia="Times New Roman" w:hAnsi="Times New Roman" w:cs="Times New Roman"/>
          <w:i/>
          <w:color w:val="000000" w:themeColor="text1"/>
          <w:sz w:val="24"/>
          <w:szCs w:val="24"/>
        </w:rPr>
        <w:t>et al.</w:t>
      </w:r>
      <w:r w:rsidRPr="007132D5">
        <w:rPr>
          <w:rFonts w:ascii="Times New Roman" w:eastAsia="Times New Roman" w:hAnsi="Times New Roman" w:cs="Times New Roman"/>
          <w:color w:val="000000" w:themeColor="text1"/>
          <w:sz w:val="24"/>
          <w:szCs w:val="24"/>
        </w:rPr>
        <w:t xml:space="preserve"> 2020). Renewable Obligation Certificates (ROCs) can be defined as a policy consideration for encouraging electricity production from feasible renewable sources within the UK. The UK government has designed a Renewable Obligation Scheme which is associated with creating a market and market prices that could be different from official buy-out prices (HM Government, </w:t>
      </w:r>
      <w:r w:rsidRPr="007132D5">
        <w:rPr>
          <w:rFonts w:ascii="Times New Roman" w:eastAsia="Times New Roman" w:hAnsi="Times New Roman" w:cs="Times New Roman"/>
          <w:color w:val="000000" w:themeColor="text1"/>
          <w:sz w:val="24"/>
          <w:szCs w:val="24"/>
        </w:rPr>
        <w:lastRenderedPageBreak/>
        <w:t>2023). In addition, Contract for Difference (CfD) can be defined as a financial agreement in which two parties made an agreement to interchange the differences between opening and closing prices of a renewable asset. CfDs are utilised in many regions of the UK as a policy mechanism for incentivising the improvement of renewable energy production projects (Gov.uk, 2024).</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It is also identified that the cost of ROCs has increased which has influenced the UK government to develop transitional agreements using new offshore wind farms under the CfDs. Therefore, it can be summed up that the UK government has progressed in increasing use of renewable sources for producing energy through developing several policies such as ROCs and CfD.</w:t>
      </w:r>
    </w:p>
    <w:p w14:paraId="0F4DFFCA" w14:textId="77777777" w:rsidR="007C5593" w:rsidRDefault="000A5866">
      <w:pPr>
        <w:pStyle w:val="Heading2"/>
      </w:pPr>
      <w:bookmarkStart w:id="5" w:name="_heading=h.tyjcwt" w:colFirst="0" w:colLast="0"/>
      <w:bookmarkEnd w:id="5"/>
      <w:r>
        <w:t xml:space="preserve">1.3 Problem Statement </w:t>
      </w:r>
    </w:p>
    <w:p w14:paraId="3E5A9B8F" w14:textId="77777777" w:rsidR="007C5593" w:rsidRPr="007132D5" w:rsidRDefault="000A5866">
      <w:pPr>
        <w:spacing w:line="48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sz w:val="24"/>
          <w:szCs w:val="24"/>
        </w:rPr>
        <w:t>Problem statement:</w:t>
      </w:r>
      <w:r>
        <w:rPr>
          <w:rFonts w:ascii="Times New Roman" w:eastAsia="Times New Roman" w:hAnsi="Times New Roman" w:cs="Times New Roman"/>
          <w:sz w:val="24"/>
          <w:szCs w:val="24"/>
        </w:rPr>
        <w:t xml:space="preserve"> </w:t>
      </w:r>
      <w:r w:rsidRPr="007132D5">
        <w:rPr>
          <w:rFonts w:ascii="Times New Roman" w:eastAsia="Times New Roman" w:hAnsi="Times New Roman" w:cs="Times New Roman"/>
          <w:color w:val="000000" w:themeColor="text1"/>
          <w:sz w:val="24"/>
          <w:szCs w:val="24"/>
        </w:rPr>
        <w:t>Effectiveness of renewable wind energy policies in the UK has been hindered by several challenges including lower workforce availability, poor government funds, and improper supply chain management that has been further lowering the capacity of meeting energy needs of the UK population.</w:t>
      </w:r>
    </w:p>
    <w:p w14:paraId="350E991D"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Justification:</w:t>
      </w:r>
      <w:r>
        <w:rPr>
          <w:rFonts w:ascii="Times New Roman" w:eastAsia="Times New Roman" w:hAnsi="Times New Roman" w:cs="Times New Roman"/>
          <w:sz w:val="24"/>
          <w:szCs w:val="24"/>
        </w:rPr>
        <w:t xml:space="preserve"> The UK wind energy sector has been considered as potential to be a global superpower in terms of capacity to fulfil the energy needs of the population. However, the sector has been identified as the UK wind energy sector has been falling short on manufacturing, supply chain, and skill management activities (Greeneconomy, 2024). It is also analysed that UK consumers have been facing £100 million in additional charges due to lack of labour which has caused Scottish wind firms to cease energy production. Apart from that, the UK energy sector has also been dealing with lack of funds allocation from the government, as Scottish wind firms have received £100,393,530 as funds whereas English wind firms have gained only £3,627,847 (Mavrokefalidis, 2024). Therefore, in this context, adoption and modifications of existing energy </w:t>
      </w:r>
      <w:r>
        <w:rPr>
          <w:rFonts w:ascii="Times New Roman" w:eastAsia="Times New Roman" w:hAnsi="Times New Roman" w:cs="Times New Roman"/>
          <w:sz w:val="24"/>
          <w:szCs w:val="24"/>
        </w:rPr>
        <w:lastRenderedPageBreak/>
        <w:t>policies such as Contracts for Difference (CfD) scheme and Renewable Obligation Certificates (ROCs) are considered as important.</w:t>
      </w:r>
    </w:p>
    <w:p w14:paraId="0C14B10D" w14:textId="77777777" w:rsidR="007C5593" w:rsidRDefault="000A5866">
      <w:pPr>
        <w:pStyle w:val="Heading2"/>
      </w:pPr>
      <w:bookmarkStart w:id="6" w:name="_heading=h.3dy6vkm" w:colFirst="0" w:colLast="0"/>
      <w:bookmarkEnd w:id="6"/>
      <w:r>
        <w:t>1.4 Research Contribution to Mitigate the Problem</w:t>
      </w:r>
    </w:p>
    <w:p w14:paraId="10D8E617"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present research has planned to carry out a primary survey to assess the public perceptions regarding the benefits of wind energy policies in improving acquisition of Net Zero targets of the UK. The problem regarding lack of resources, skills, and supply chain within the wind energy production farms could be mitigated through devising a questionnaire that can collect primary responses from experienced people. This research has also potential contribution to improve knowledge regarding the potential of wind energy policies such as ROCs and CfD to increase effectiveness of supply chain and labour management in this sector. Therefore, this research can be considered as justified for improving knowledge regarding mitigating strategies for the UK wind energy production firms.</w:t>
      </w:r>
    </w:p>
    <w:p w14:paraId="6BFFB3D4" w14:textId="77777777" w:rsidR="007C5593" w:rsidRDefault="000A5866">
      <w:pPr>
        <w:pStyle w:val="Heading2"/>
      </w:pPr>
      <w:bookmarkStart w:id="7" w:name="_heading=h.1t3h5sf" w:colFirst="0" w:colLast="0"/>
      <w:bookmarkEnd w:id="7"/>
      <w:r>
        <w:t>1.5 Research Aim and Objectives</w:t>
      </w:r>
    </w:p>
    <w:p w14:paraId="4BA2C40D" w14:textId="4E036A7E"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present research is aimed to evaluate</w:t>
      </w:r>
      <w:r w:rsidR="00387D73">
        <w:rPr>
          <w:rFonts w:ascii="Times New Roman" w:eastAsia="Times New Roman" w:hAnsi="Times New Roman" w:cs="Times New Roman"/>
          <w:sz w:val="24"/>
          <w:szCs w:val="24"/>
        </w:rPr>
        <w:t xml:space="preserve"> and find</w:t>
      </w:r>
      <w:r>
        <w:rPr>
          <w:rFonts w:ascii="Times New Roman" w:eastAsia="Times New Roman" w:hAnsi="Times New Roman" w:cs="Times New Roman"/>
          <w:sz w:val="24"/>
          <w:szCs w:val="24"/>
        </w:rPr>
        <w:t xml:space="preserve"> the significance of wind energy policies such as Contracts for Difference (CfD) scheme and Renewable Obligation Certificates (ROCs) in the United Kingdom (UK). The </w:t>
      </w:r>
      <w:r w:rsidR="00387D73">
        <w:rPr>
          <w:rFonts w:ascii="Times New Roman" w:eastAsia="Times New Roman" w:hAnsi="Times New Roman" w:cs="Times New Roman"/>
          <w:sz w:val="24"/>
          <w:szCs w:val="24"/>
        </w:rPr>
        <w:t>top focus</w:t>
      </w:r>
      <w:r>
        <w:rPr>
          <w:rFonts w:ascii="Times New Roman" w:eastAsia="Times New Roman" w:hAnsi="Times New Roman" w:cs="Times New Roman"/>
          <w:sz w:val="24"/>
          <w:szCs w:val="24"/>
        </w:rPr>
        <w:t xml:space="preserve"> of this </w:t>
      </w:r>
      <w:r w:rsidR="00387D73">
        <w:rPr>
          <w:rFonts w:ascii="Times New Roman" w:eastAsia="Times New Roman" w:hAnsi="Times New Roman" w:cs="Times New Roman"/>
          <w:sz w:val="24"/>
          <w:szCs w:val="24"/>
        </w:rPr>
        <w:t>paper</w:t>
      </w:r>
      <w:r>
        <w:rPr>
          <w:rFonts w:ascii="Times New Roman" w:eastAsia="Times New Roman" w:hAnsi="Times New Roman" w:cs="Times New Roman"/>
          <w:sz w:val="24"/>
          <w:szCs w:val="24"/>
        </w:rPr>
        <w:t xml:space="preserve"> was to develop a strong understanding on the ways these policies have impacted the </w:t>
      </w:r>
      <w:r w:rsidR="00387D73">
        <w:rPr>
          <w:rFonts w:ascii="Times New Roman" w:eastAsia="Times New Roman" w:hAnsi="Times New Roman" w:cs="Times New Roman"/>
          <w:sz w:val="24"/>
          <w:szCs w:val="24"/>
        </w:rPr>
        <w:t>mean pace</w:t>
      </w:r>
      <w:r>
        <w:rPr>
          <w:rFonts w:ascii="Times New Roman" w:eastAsia="Times New Roman" w:hAnsi="Times New Roman" w:cs="Times New Roman"/>
          <w:sz w:val="24"/>
          <w:szCs w:val="24"/>
        </w:rPr>
        <w:t xml:space="preserve"> of the adoption and expansion of wind energy technologies over a decade.</w:t>
      </w:r>
    </w:p>
    <w:p w14:paraId="3E480043"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objectives of this research have been mentioned below:</w:t>
      </w:r>
    </w:p>
    <w:p w14:paraId="6B3EE680" w14:textId="77777777" w:rsidR="007C5593" w:rsidRDefault="000A5866">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RO1: </w:t>
      </w:r>
      <w:r>
        <w:rPr>
          <w:rFonts w:ascii="Times New Roman" w:eastAsia="Times New Roman" w:hAnsi="Times New Roman" w:cs="Times New Roman"/>
          <w:sz w:val="24"/>
          <w:szCs w:val="24"/>
        </w:rPr>
        <w:t>To analyse the evolution of wind energy policies in the UK by focusing on key policy instruments such as CfD and ROCs</w:t>
      </w:r>
    </w:p>
    <w:p w14:paraId="671DA65F" w14:textId="77777777" w:rsidR="007C5593" w:rsidRDefault="000A5866">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RO2: </w:t>
      </w:r>
      <w:r>
        <w:rPr>
          <w:rFonts w:ascii="Times New Roman" w:eastAsia="Times New Roman" w:hAnsi="Times New Roman" w:cs="Times New Roman"/>
          <w:sz w:val="24"/>
          <w:szCs w:val="24"/>
        </w:rPr>
        <w:t>To assess the impacts of these policy frameworks on the improvement of both onshore and offshore wind energy projects through focusing on capacity expansion, investment growth, and cost competitiveness</w:t>
      </w:r>
    </w:p>
    <w:p w14:paraId="77847DAC" w14:textId="77777777" w:rsidR="007C5593" w:rsidRDefault="000A5866">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RO3: </w:t>
      </w:r>
      <w:r>
        <w:rPr>
          <w:rFonts w:ascii="Times New Roman" w:eastAsia="Times New Roman" w:hAnsi="Times New Roman" w:cs="Times New Roman"/>
          <w:sz w:val="24"/>
          <w:szCs w:val="24"/>
        </w:rPr>
        <w:t>To assess public perceptions regarding wind energy effectiveness in the UK primary research using a questionnaire for acquiring public attitudes towards wind energy projects and government initiatives</w:t>
      </w:r>
    </w:p>
    <w:p w14:paraId="30D636A8" w14:textId="77777777" w:rsidR="007C5593" w:rsidRDefault="000A5866">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RO4: </w:t>
      </w:r>
      <w:r>
        <w:rPr>
          <w:rFonts w:ascii="Times New Roman" w:eastAsia="Times New Roman" w:hAnsi="Times New Roman" w:cs="Times New Roman"/>
          <w:sz w:val="24"/>
          <w:szCs w:val="24"/>
        </w:rPr>
        <w:t>To analyse secondary sources such as government reports, industry publications, and academic research for understanding progression of wind energy adoption in the UK</w:t>
      </w:r>
    </w:p>
    <w:p w14:paraId="24FB9896" w14:textId="77777777" w:rsidR="007C5593" w:rsidRDefault="000A5866">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RO5: </w:t>
      </w:r>
      <w:r>
        <w:rPr>
          <w:rFonts w:ascii="Times New Roman" w:eastAsia="Times New Roman" w:hAnsi="Times New Roman" w:cs="Times New Roman"/>
          <w:sz w:val="24"/>
          <w:szCs w:val="24"/>
        </w:rPr>
        <w:t>To develop a comprehensive overview and concept regarding the outcomes of wind energy policies in the UK</w:t>
      </w:r>
    </w:p>
    <w:p w14:paraId="631965E4" w14:textId="77777777" w:rsidR="007C5593" w:rsidRDefault="000A5866">
      <w:pPr>
        <w:pStyle w:val="Heading2"/>
      </w:pPr>
      <w:bookmarkStart w:id="8" w:name="_heading=h.4d34og8" w:colFirst="0" w:colLast="0"/>
      <w:bookmarkEnd w:id="8"/>
      <w:r>
        <w:t>1.6 Research Questions</w:t>
      </w:r>
    </w:p>
    <w:p w14:paraId="6066CCE5"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questions have focused on identifying the developments, key challenges, and future opportunities that can be faced by the wind energy policies in the UK. The questions are mentioned below:</w:t>
      </w:r>
    </w:p>
    <w:p w14:paraId="62CF4AB3"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RQ1: </w:t>
      </w:r>
      <w:r>
        <w:rPr>
          <w:rFonts w:ascii="Times New Roman" w:eastAsia="Times New Roman" w:hAnsi="Times New Roman" w:cs="Times New Roman"/>
          <w:sz w:val="24"/>
          <w:szCs w:val="24"/>
        </w:rPr>
        <w:t>How do wind energy policies such as CfD and ROCs evolve in the UK?</w:t>
      </w:r>
    </w:p>
    <w:p w14:paraId="4571A93E"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RQ2:</w:t>
      </w:r>
      <w:r>
        <w:rPr>
          <w:rFonts w:ascii="Times New Roman" w:eastAsia="Times New Roman" w:hAnsi="Times New Roman" w:cs="Times New Roman"/>
          <w:sz w:val="24"/>
          <w:szCs w:val="24"/>
        </w:rPr>
        <w:t xml:space="preserve"> What are the impacts of these policy frameworks on the improvement of both onshore and offshore wind energy projects?</w:t>
      </w:r>
    </w:p>
    <w:p w14:paraId="34767ECC"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RQ3:</w:t>
      </w:r>
      <w:r>
        <w:rPr>
          <w:rFonts w:ascii="Times New Roman" w:eastAsia="Times New Roman" w:hAnsi="Times New Roman" w:cs="Times New Roman"/>
          <w:sz w:val="24"/>
          <w:szCs w:val="24"/>
        </w:rPr>
        <w:t xml:space="preserve"> How do the primary research using a questionnaire can help in assessing public perceptions regarding wind energy effectiveness in the UK focusing on wind energy projects and government initiatives?</w:t>
      </w:r>
    </w:p>
    <w:p w14:paraId="40EB38B1"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RQ4:</w:t>
      </w:r>
      <w:r>
        <w:rPr>
          <w:rFonts w:ascii="Times New Roman" w:eastAsia="Times New Roman" w:hAnsi="Times New Roman" w:cs="Times New Roman"/>
          <w:sz w:val="24"/>
          <w:szCs w:val="24"/>
        </w:rPr>
        <w:t xml:space="preserve"> What are the contributions of secondary sources such as government reports, industry publications, and academic research for understanding the progression of wind energy adoption in the UK?</w:t>
      </w:r>
    </w:p>
    <w:p w14:paraId="1AEABD50"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RQ5:</w:t>
      </w:r>
      <w:r>
        <w:rPr>
          <w:rFonts w:ascii="Times New Roman" w:eastAsia="Times New Roman" w:hAnsi="Times New Roman" w:cs="Times New Roman"/>
          <w:sz w:val="24"/>
          <w:szCs w:val="24"/>
        </w:rPr>
        <w:t xml:space="preserve"> What is the critical contribution of this research in developing a comprehensive overview and concept regarding the outcomes of wind energy policies in the UK?</w:t>
      </w:r>
    </w:p>
    <w:p w14:paraId="3A6D65D4" w14:textId="77777777" w:rsidR="007C5593" w:rsidRDefault="000A5866">
      <w:pPr>
        <w:pStyle w:val="Heading2"/>
      </w:pPr>
      <w:bookmarkStart w:id="9" w:name="_heading=h.2s8eyo1" w:colFirst="0" w:colLast="0"/>
      <w:bookmarkEnd w:id="9"/>
      <w:r>
        <w:t xml:space="preserve">1.7 Research Rationale </w:t>
      </w:r>
    </w:p>
    <w:p w14:paraId="11E83F99" w14:textId="07D5601F"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transition to an alternative renewable energy source is a critical component in acquiring the UK's climate goal, taking wind energy as a central role. The UK has committed to reduce its total greenhouse gas emissions by 68% by the end of 2030 as a consistent portion of the “UK nationally determined contributions under the Paris Agreement” (Thecc.org.uk, 2024). Wind energy is one of the cost-effective and mature technologies that has evolved as one of the promising avenues for this alteration to renewable source usage. It is </w:t>
      </w:r>
      <w:r w:rsidR="007132D5">
        <w:rPr>
          <w:rFonts w:ascii="Times New Roman" w:eastAsia="Times New Roman" w:hAnsi="Times New Roman" w:cs="Times New Roman"/>
          <w:sz w:val="24"/>
          <w:szCs w:val="24"/>
        </w:rPr>
        <w:t>sufficient</w:t>
      </w:r>
      <w:r>
        <w:rPr>
          <w:rFonts w:ascii="Times New Roman" w:eastAsia="Times New Roman" w:hAnsi="Times New Roman" w:cs="Times New Roman"/>
          <w:sz w:val="24"/>
          <w:szCs w:val="24"/>
        </w:rPr>
        <w:t xml:space="preserve"> to fulfil the need for 24% of electricity generation </w:t>
      </w:r>
      <w:r w:rsidRPr="007132D5">
        <w:rPr>
          <w:rFonts w:ascii="Times New Roman" w:eastAsia="Times New Roman" w:hAnsi="Times New Roman" w:cs="Times New Roman"/>
          <w:color w:val="000000" w:themeColor="text1"/>
          <w:sz w:val="24"/>
          <w:szCs w:val="24"/>
        </w:rPr>
        <w:t>for Great Britain</w:t>
      </w:r>
      <w:r>
        <w:rPr>
          <w:rFonts w:ascii="Times New Roman" w:eastAsia="Times New Roman" w:hAnsi="Times New Roman" w:cs="Times New Roman"/>
          <w:sz w:val="24"/>
          <w:szCs w:val="24"/>
        </w:rPr>
        <w:t xml:space="preserve"> in 2022 (Neso.energy, 2024). However, the rapid expansion of wind energy acquisition has faced a complex interplay of social acceptance, economic feasibility, and interplay between policy formulation and implementation. Along with that, technological constraints of implementing accurate methods of wind energy systems are also identified as another challenge. Apart from government funding or incentives, the implementation of the right policy remains contested. For example, there are also some Contracts for Differences in the </w:t>
      </w:r>
      <w:r w:rsidR="008172AE">
        <w:rPr>
          <w:rFonts w:ascii="Times New Roman" w:eastAsia="Times New Roman" w:hAnsi="Times New Roman" w:cs="Times New Roman"/>
          <w:sz w:val="24"/>
          <w:szCs w:val="24"/>
        </w:rPr>
        <w:t>UK,</w:t>
      </w:r>
      <w:r>
        <w:rPr>
          <w:rFonts w:ascii="Times New Roman" w:eastAsia="Times New Roman" w:hAnsi="Times New Roman" w:cs="Times New Roman"/>
          <w:sz w:val="24"/>
          <w:szCs w:val="24"/>
        </w:rPr>
        <w:t xml:space="preserve"> and these schemes help to manage the cost of the wind energy implementation fixedly. However, it also raises questions on long-term grid stability and its total effectiveness for the local communities. In between, apart from the potential for onshore wind energy centres, only 5% of the land shore wind energy is available for further usage and it is suggesting that implemented policies may not be completely encouraging for the development of onshore wind energy firms (Neso.energy, 2024). </w:t>
      </w:r>
    </w:p>
    <w:p w14:paraId="15DC924C"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is pursued with the need to assess how the current wind energy is cost-effective and can be used further as an alternative option for meeting the need for energy with </w:t>
      </w:r>
      <w:r>
        <w:rPr>
          <w:rFonts w:ascii="Times New Roman" w:eastAsia="Times New Roman" w:hAnsi="Times New Roman" w:cs="Times New Roman"/>
          <w:sz w:val="24"/>
          <w:szCs w:val="24"/>
        </w:rPr>
        <w:lastRenderedPageBreak/>
        <w:t xml:space="preserve">sustainability. As the UK mostly targets to have 40 gigawatts of offshore wind energy by the end of 2030, it is important to assess the efficiency of the existing policies (Renewableuk, 2024). As per the data available, in this study, the capacity of wind power, local support, funding by the government, and different effective policies of wind energy implementation are also assessed. This research also aims to answer questions on how the UK is imposing balance among social, economic, and environmental interests in wind energy. </w:t>
      </w:r>
    </w:p>
    <w:p w14:paraId="49E52C8D" w14:textId="77777777" w:rsidR="007C5593" w:rsidRDefault="000A5866">
      <w:pPr>
        <w:pStyle w:val="Heading2"/>
      </w:pPr>
      <w:bookmarkStart w:id="10" w:name="_heading=h.17dp8vu" w:colFirst="0" w:colLast="0"/>
      <w:bookmarkEnd w:id="10"/>
      <w:r>
        <w:t xml:space="preserve">1.8 Methodological Overview </w:t>
      </w:r>
    </w:p>
    <w:p w14:paraId="77EAE6E0" w14:textId="47662812"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is going to implement a pragmatism research philosophy to assess the wind energy policies of the UK particularly in the approach of contracts for Difference and Renewable obligations certificate schemes. A deductive as well as exploratory research approach enables an accurate assessment of the old theories while collecting new insights. The descriptive research design with a primary quantitative strategy allows for a detailed assessment of public perceptions in the context of UK wind energy policy development. A sample size of 100 people has been taken and data acquired has been further evaluated with the help of SPSS tools. The research onion framework delivers structured methodological propositions </w:t>
      </w:r>
      <w:r w:rsidR="008172AE">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suggests ways intending to deliver an accurate-to-accurate analysis (Zhou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Random sampling and Likert scale questionnaires of this study also ensure a justified representation of the study and deliver the real situation in terms of the usage of the wind energy policies in the UK. </w:t>
      </w:r>
    </w:p>
    <w:p w14:paraId="09A80E6C" w14:textId="77777777" w:rsidR="007C5593" w:rsidRDefault="000A5866">
      <w:pPr>
        <w:pStyle w:val="Heading2"/>
      </w:pPr>
      <w:bookmarkStart w:id="11" w:name="_heading=h.3rdcrjn" w:colFirst="0" w:colLast="0"/>
      <w:bookmarkEnd w:id="11"/>
      <w:r>
        <w:t xml:space="preserve">1.9 Research Significance </w:t>
      </w:r>
    </w:p>
    <w:p w14:paraId="0F3E0035" w14:textId="102A0BB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is significant as it has the potential to deliver an empirical overview of the strengths and </w:t>
      </w:r>
      <w:r w:rsidR="007132D5">
        <w:rPr>
          <w:rFonts w:ascii="Times New Roman" w:eastAsia="Times New Roman" w:hAnsi="Times New Roman" w:cs="Times New Roman"/>
          <w:sz w:val="24"/>
          <w:szCs w:val="24"/>
        </w:rPr>
        <w:t>in competencies</w:t>
      </w:r>
      <w:r>
        <w:rPr>
          <w:rFonts w:ascii="Times New Roman" w:eastAsia="Times New Roman" w:hAnsi="Times New Roman" w:cs="Times New Roman"/>
          <w:sz w:val="24"/>
          <w:szCs w:val="24"/>
        </w:rPr>
        <w:t xml:space="preserve"> of the existing UK wind energy policies. These policy evaluations are seen to be critical in acquiring a low carbon footprint in the future for the UK. Wind energy is </w:t>
      </w:r>
      <w:r>
        <w:rPr>
          <w:rFonts w:ascii="Times New Roman" w:eastAsia="Times New Roman" w:hAnsi="Times New Roman" w:cs="Times New Roman"/>
          <w:sz w:val="24"/>
          <w:szCs w:val="24"/>
        </w:rPr>
        <w:lastRenderedPageBreak/>
        <w:t xml:space="preserve">admitted </w:t>
      </w:r>
      <w:r w:rsidR="007132D5">
        <w:rPr>
          <w:rFonts w:ascii="Times New Roman" w:eastAsia="Times New Roman" w:hAnsi="Times New Roman" w:cs="Times New Roman"/>
          <w:sz w:val="24"/>
          <w:szCs w:val="24"/>
        </w:rPr>
        <w:t>being</w:t>
      </w:r>
      <w:r>
        <w:rPr>
          <w:rFonts w:ascii="Times New Roman" w:eastAsia="Times New Roman" w:hAnsi="Times New Roman" w:cs="Times New Roman"/>
          <w:sz w:val="24"/>
          <w:szCs w:val="24"/>
        </w:rPr>
        <w:t xml:space="preserve"> ecologically and economically viable </w:t>
      </w:r>
      <w:r w:rsidR="008172AE">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employs almost 26000 people in the UK. However, the adaptation of large-scale wind energy adaptation for industries is still addressed as a complex process due to certain policy and circumstantial barriers, such as fluctuations in public support, and technological issues regarding grid integration and energy storage. Along with that, this research is also significant in resolving certain limitations of policy alignment with the targeted climate goals by 2030 and 2050 (Thecc.org.uk, 2024).  With the evaluation of existing policies, this study offers actionable insights to enhance the efficiency of the existing policies </w:t>
      </w:r>
      <w:r w:rsidR="007132D5">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impose solutions to address energy demands. As per the understanding by Lu (2020), the UK is a leader in using effective as well as alternative energy sources and balanced energy policies are crucial to develop sustainable alternative energy source deployment. The findings contribute to an effective discussion on global renewable policy implementations and policy designing to make the study effective in global and regional acceptance. </w:t>
      </w:r>
    </w:p>
    <w:p w14:paraId="589AA2DB" w14:textId="77777777" w:rsidR="007C5593" w:rsidRDefault="000A5866">
      <w:pPr>
        <w:pStyle w:val="Heading2"/>
      </w:pPr>
      <w:bookmarkStart w:id="12" w:name="_heading=h.26in1rg" w:colFirst="0" w:colLast="0"/>
      <w:bookmarkEnd w:id="12"/>
      <w:r>
        <w:t>1.10 Dissertation Structure</w:t>
      </w:r>
    </w:p>
    <w:p w14:paraId="3F668ED7" w14:textId="77777777" w:rsidR="007C5593" w:rsidRDefault="000A5866">
      <w:pPr>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4E9C78AA" wp14:editId="63CDEE84">
            <wp:extent cx="5495925" cy="3200400"/>
            <wp:effectExtent l="0" t="0" r="0" b="0"/>
            <wp:docPr id="8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495925" cy="3200400"/>
                    </a:xfrm>
                    <a:prstGeom prst="rect">
                      <a:avLst/>
                    </a:prstGeom>
                    <a:ln/>
                  </pic:spPr>
                </pic:pic>
              </a:graphicData>
            </a:graphic>
          </wp:inline>
        </w:drawing>
      </w:r>
    </w:p>
    <w:p w14:paraId="5C829B6E" w14:textId="77777777" w:rsidR="007C5593" w:rsidRDefault="000A5866">
      <w:pPr>
        <w:pStyle w:val="Heading4"/>
      </w:pPr>
      <w:bookmarkStart w:id="13" w:name="_heading=h.lnxbz9" w:colFirst="0" w:colLast="0"/>
      <w:bookmarkEnd w:id="13"/>
      <w:r>
        <w:lastRenderedPageBreak/>
        <w:t>Figure 1.2: Dissertation structure</w:t>
      </w:r>
    </w:p>
    <w:p w14:paraId="1991B630" w14:textId="77777777" w:rsidR="007C5593" w:rsidRDefault="000A586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6070025" w14:textId="6115656B"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dissertation is mainly structured with key six chapters and each of them delivers a systematic exploration of the effectiveness of wind energy policies in the UK. The chapter introduction delivers a research background and develops an aim as well as objectives of the research. The literature review section delves into a qualitative assessment of different literature and assesses the existing studies on renewable energy policies particularly those connected to wind energy. Along with that, this study also highlights the limitations of the research </w:t>
      </w:r>
      <w:r w:rsidR="008172AE">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addresses the major constraints within the research aspects. </w:t>
      </w:r>
    </w:p>
    <w:p w14:paraId="559D4177"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chapter methodology structures the primary data collection attributes and describes the analytical techniques implemented for this study. Chapter data findings and analysis represent the total incorporated information of primary data and incorporate a detailed analysis of the policy implementations on the growth of energy and major stakeholder insights. Along with that, the discussion of the findings section assesses the critical approach to actionable policy improvements. Along with that, the discussion of the study also acquires a major evaluation of the answers and justifications of the research questions. The conclusion chapter summarises the entire findings of the study and addresses the limitations as well as connections of the analysis with the answers to the research questions. Lastly, a few recommendations on the policy alterations and future research context are also given hereby. </w:t>
      </w:r>
    </w:p>
    <w:p w14:paraId="0CE54AA6" w14:textId="77777777" w:rsidR="007C5593" w:rsidRDefault="000A5866">
      <w:pPr>
        <w:pStyle w:val="Heading2"/>
      </w:pPr>
      <w:bookmarkStart w:id="14" w:name="_heading=h.35nkun2" w:colFirst="0" w:colLast="0"/>
      <w:bookmarkEnd w:id="14"/>
      <w:r>
        <w:t xml:space="preserve">1.11 Chapter Summary </w:t>
      </w:r>
    </w:p>
    <w:p w14:paraId="536D82AB" w14:textId="77777777" w:rsidR="007C5593" w:rsidRDefault="000A5866">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 this chapter, there is an establishment of the foundational rationale for evaluating the wind energy policies of the UK and there is also a discussion on the significant role of wind energy in the renewable energy landscape of the UK. This study also implements a shred of empirical </w:t>
      </w:r>
      <w:r>
        <w:rPr>
          <w:rFonts w:ascii="Times New Roman" w:eastAsia="Times New Roman" w:hAnsi="Times New Roman" w:cs="Times New Roman"/>
          <w:sz w:val="24"/>
          <w:szCs w:val="24"/>
        </w:rPr>
        <w:lastRenderedPageBreak/>
        <w:t>evidence on the effectiveness of policies in terms of economic feasibility, social well-being, and technological constraints. The overview of the study methodology also highlights the implication of the primary data to deliver a balanced insight. Along with that, the significance of the research underscores the relevance of the study in informing sustainable and effective wind energy policies in both international and regional contexts.</w:t>
      </w:r>
      <w:r>
        <w:br w:type="page"/>
      </w:r>
    </w:p>
    <w:p w14:paraId="2B3AB516" w14:textId="77777777" w:rsidR="007C5593" w:rsidRPr="007132D5" w:rsidRDefault="000A5866">
      <w:pPr>
        <w:pStyle w:val="Heading1"/>
        <w:rPr>
          <w:sz w:val="32"/>
          <w:szCs w:val="32"/>
        </w:rPr>
      </w:pPr>
      <w:bookmarkStart w:id="15" w:name="_heading=h.1ksv4uv" w:colFirst="0" w:colLast="0"/>
      <w:bookmarkEnd w:id="15"/>
      <w:r w:rsidRPr="007132D5">
        <w:rPr>
          <w:sz w:val="32"/>
          <w:szCs w:val="32"/>
        </w:rPr>
        <w:lastRenderedPageBreak/>
        <w:t>Chapter 2: Literature Review</w:t>
      </w:r>
    </w:p>
    <w:p w14:paraId="0641D41A" w14:textId="77777777" w:rsidR="007C5593" w:rsidRDefault="000A5866">
      <w:pPr>
        <w:pStyle w:val="Heading2"/>
      </w:pPr>
      <w:bookmarkStart w:id="16" w:name="_heading=h.44sinio" w:colFirst="0" w:colLast="0"/>
      <w:bookmarkEnd w:id="16"/>
      <w:r>
        <w:t>2.1 Chapter Introduction</w:t>
      </w:r>
    </w:p>
    <w:p w14:paraId="2672AB62"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of literature review of the literature regarding the influence and advancement of renewable wind energy in the UK is presented. It commences by delving into the concept of renewable wind energy which has emphasised its importance within the broader scope of sustainable energy solutions. The progression of wind energy policies and essential mechanisms in the UK is then scrutinised, offering insight into how these structures have influenced the sector. Additionally, the section evaluates the repercussions of these policies on both onshore and offshore wind energy initiatives, concentrating on the expansion of capacity, growth in investment, and competitiveness in costs. It pinpoints the obstacles encountered in the advancement of wind energy under existing policies, while also spotlighting potential opportunities for future expansion. The analysis is structured by discussing theoretical perspectives like Innovation System Theory and the Multi-Level Governance Framework. The objective of this chapter is to address deficiencies in the current literature, ultimately adding to a more profound comprehension of the factors influencing the UK's wind energy sector. </w:t>
      </w:r>
    </w:p>
    <w:p w14:paraId="1825A273" w14:textId="77777777" w:rsidR="007C5593" w:rsidRDefault="000A5866">
      <w:pPr>
        <w:pStyle w:val="Heading2"/>
      </w:pPr>
      <w:bookmarkStart w:id="17" w:name="_heading=h.2jxsxqh" w:colFirst="0" w:colLast="0"/>
      <w:bookmarkEnd w:id="17"/>
      <w:r>
        <w:t>2.2 Concept of Renewable Wind Energy</w:t>
      </w:r>
    </w:p>
    <w:p w14:paraId="76D5D311" w14:textId="22B42F12"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movement of air known as wind is a result of pressure variances in the earth’s atmosphere which has stemmed from the uneven heating of the earth’s surface by the sun. Attribute to the planet’s irregular surface, rotation and slight tilt, varying regions experience different rates of heating. Hu (2024) stated that warmer air ascends and expands, it generates an imbalance in pressure with the cooler air nearby which has prompted the cooler air to flow in and occupy the space. Stronger winds result from greater pressure differences, </w:t>
      </w:r>
      <w:r w:rsidR="008172AE">
        <w:rPr>
          <w:rFonts w:ascii="Times New Roman" w:eastAsia="Times New Roman" w:hAnsi="Times New Roman" w:cs="Times New Roman"/>
          <w:sz w:val="24"/>
          <w:szCs w:val="24"/>
        </w:rPr>
        <w:t>like</w:t>
      </w:r>
      <w:r>
        <w:rPr>
          <w:rFonts w:ascii="Times New Roman" w:eastAsia="Times New Roman" w:hAnsi="Times New Roman" w:cs="Times New Roman"/>
          <w:sz w:val="24"/>
          <w:szCs w:val="24"/>
        </w:rPr>
        <w:t xml:space="preserve"> air escaping from an untied </w:t>
      </w:r>
      <w:r>
        <w:rPr>
          <w:rFonts w:ascii="Times New Roman" w:eastAsia="Times New Roman" w:hAnsi="Times New Roman" w:cs="Times New Roman"/>
          <w:sz w:val="24"/>
          <w:szCs w:val="24"/>
        </w:rPr>
        <w:lastRenderedPageBreak/>
        <w:t xml:space="preserve">balloon. Wind energy production revolves around harnessing kinetic energy, also known as the energy of movement Hu (2024). Anything in motion, such as a person walking, a dog running, or a book falling, possesses kinetic energy. In addition, Hu (2024) mentioned that a wind turbine converts it into electrical energy by capturing the kinetic energy of the wind. The benefits of wind energy for health are not about what it creates, but rather what it prevents: air pollution. Therefore, renewable wind energy can be referred to as an abundant, inexhaustible, and clean source that focuses on using the power of wind to develop electricity.       </w:t>
      </w:r>
    </w:p>
    <w:p w14:paraId="040F2359" w14:textId="77777777" w:rsidR="007C5593" w:rsidRDefault="000A5866">
      <w:pPr>
        <w:pStyle w:val="Heading2"/>
      </w:pPr>
      <w:bookmarkStart w:id="18" w:name="_heading=h.z337ya" w:colFirst="0" w:colLast="0"/>
      <w:bookmarkEnd w:id="18"/>
      <w:r>
        <w:lastRenderedPageBreak/>
        <w:t>2.3 Evolution of Wind Energy Policies and Key Policy Instruments in the UK</w:t>
      </w:r>
    </w:p>
    <w:p w14:paraId="53CBBDA9" w14:textId="77777777" w:rsidR="007C5593" w:rsidRDefault="000A586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6E443935" wp14:editId="4A539EBD">
            <wp:extent cx="5091198" cy="7310438"/>
            <wp:effectExtent l="12700" t="12700" r="12700" b="12700"/>
            <wp:docPr id="90"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1"/>
                    <a:srcRect/>
                    <a:stretch>
                      <a:fillRect/>
                    </a:stretch>
                  </pic:blipFill>
                  <pic:spPr>
                    <a:xfrm>
                      <a:off x="0" y="0"/>
                      <a:ext cx="5091198" cy="7310438"/>
                    </a:xfrm>
                    <a:prstGeom prst="rect">
                      <a:avLst/>
                    </a:prstGeom>
                    <a:ln w="12700">
                      <a:solidFill>
                        <a:srgbClr val="000000"/>
                      </a:solidFill>
                      <a:prstDash val="solid"/>
                    </a:ln>
                  </pic:spPr>
                </pic:pic>
              </a:graphicData>
            </a:graphic>
          </wp:inline>
        </w:drawing>
      </w:r>
    </w:p>
    <w:p w14:paraId="4A37DC4D" w14:textId="77777777" w:rsidR="007C5593" w:rsidRDefault="000A5866">
      <w:pPr>
        <w:pStyle w:val="Heading4"/>
      </w:pPr>
      <w:bookmarkStart w:id="19" w:name="_heading=h.3j2qqm3" w:colFirst="0" w:colLast="0"/>
      <w:bookmarkEnd w:id="19"/>
      <w:r>
        <w:lastRenderedPageBreak/>
        <w:t>Figure 2.1: Evolution of UK Policies</w:t>
      </w:r>
    </w:p>
    <w:p w14:paraId="5C0B62FE" w14:textId="77777777" w:rsidR="007C5593" w:rsidRDefault="000A586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National Grid, 2024)</w:t>
      </w:r>
    </w:p>
    <w:p w14:paraId="3BE18F21"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UK’s adoption of renewable energy for electricity generation was mainly influenced by the restructuring and privatisation of the energy industry in the late 1970s and 1980s. The former “Central Electricity Generation Board” (CEGB) was actively engaged in exploring and showcasing renewable energy technologies during the mid-1970s and 1980s (International Renewable Energy Agency; IRENA, 2012). In 1980, the CEBG was already backing the establishment of multiple demonstration sites throughout the UK to advance the commercial utilisation of wind power. In 1982, the Oil and Gas (Enterprise) (c.23) Act laid the groundwork for the privatisation of British Gas and British Petroleum (BP), marking a significant step in the national privatisation initiative (Legislation, 2024). In 1990, the 12 regional electricity companies (RECs) responsible for distributing and selling electricity in the UK were privatised. </w:t>
      </w:r>
    </w:p>
    <w:p w14:paraId="573CAB32" w14:textId="5BB11F46"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that, in 1991, the two major power generation companies in the UK (National Power and PowerGen), which held over 70% of the market share, were also privatised (World Trade Organization; WTO, 2020).  Companies were compensated for the difference between this premium price and the average monthly purchasing price in their respective regions using the proceeds from the fossil fuel levy. Following this model, the first commercial wind farm in the UK was constructed in Delabole, Cornwall in 1991 (National Grid, 2024). </w:t>
      </w:r>
    </w:p>
    <w:p w14:paraId="4D807E92" w14:textId="2CDBACD8"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Non-Fossil Fuel Obligation was effective from 1990 to 1998. Numerous bidding processes occurred during the period, with proposals concentrating on identifying the most suitable wind sites. The NFFO bidding process prioritised securing the lowest price and did not penalise companies that were generating a site but did not proceed with contracting (IRENA, 2012). The NFFO mechanism started in 1990, no </w:t>
      </w:r>
      <w:r w:rsidR="008172AE">
        <w:rPr>
          <w:rFonts w:ascii="Times New Roman" w:eastAsia="Times New Roman" w:hAnsi="Times New Roman" w:cs="Times New Roman"/>
          <w:sz w:val="24"/>
          <w:szCs w:val="24"/>
        </w:rPr>
        <w:t>capacity</w:t>
      </w:r>
      <w:r>
        <w:rPr>
          <w:rFonts w:ascii="Times New Roman" w:eastAsia="Times New Roman" w:hAnsi="Times New Roman" w:cs="Times New Roman"/>
          <w:sz w:val="24"/>
          <w:szCs w:val="24"/>
        </w:rPr>
        <w:t xml:space="preserve"> focus was set for renewables. The use of policy </w:t>
      </w:r>
      <w:r>
        <w:rPr>
          <w:rFonts w:ascii="Times New Roman" w:eastAsia="Times New Roman" w:hAnsi="Times New Roman" w:cs="Times New Roman"/>
          <w:sz w:val="24"/>
          <w:szCs w:val="24"/>
        </w:rPr>
        <w:lastRenderedPageBreak/>
        <w:t xml:space="preserve">tools to encourage the adoption of renewable energy is a widely debated topic. In theory, </w:t>
      </w:r>
      <w:r>
        <w:rPr>
          <w:rFonts w:ascii="Times New Roman" w:eastAsia="Times New Roman" w:hAnsi="Times New Roman" w:cs="Times New Roman"/>
          <w:sz w:val="24"/>
          <w:szCs w:val="24"/>
          <w:highlight w:val="white"/>
        </w:rPr>
        <w:t>Potrč</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 xml:space="preserve">(2021, </w:t>
      </w:r>
      <w:r>
        <w:rPr>
          <w:rFonts w:ascii="Times New Roman" w:eastAsia="Times New Roman" w:hAnsi="Times New Roman" w:cs="Times New Roman"/>
          <w:sz w:val="24"/>
          <w:szCs w:val="24"/>
          <w:highlight w:val="white"/>
        </w:rPr>
        <w:t>p.111186</w:t>
      </w:r>
      <w:r>
        <w:rPr>
          <w:rFonts w:ascii="Times New Roman" w:eastAsia="Times New Roman" w:hAnsi="Times New Roman" w:cs="Times New Roman"/>
          <w:sz w:val="24"/>
          <w:szCs w:val="24"/>
        </w:rPr>
        <w:t xml:space="preserve">) asserted that methods based on pricing and quantity </w:t>
      </w:r>
      <w:r w:rsidR="008172AE">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equally effective in achieving renewable energy targets. However, it is challenging to account for uncertainty and compare the efficiency of these approaches in driving sustainable technological advancements. </w:t>
      </w:r>
    </w:p>
    <w:p w14:paraId="558485F9"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crucial to emphasise that each country creates its own incentive policies for promoting renewable energy, and there's no one-size-fits-all solution at present (Azhgaliyeva</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2018). These policies are developed based on various criteria, such as the country’s goals and ambitions, when assessing their activeness. The Renewable Obligation Certificate, a scheme for green certificates in the UK, effectively played a part in advancing the UK's energy and climate change objectives (Azhgaliyeva</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There are several tools available to encourage the expansion of renewable energy generation; nonetheless, it is important for governments to understand that while these tools are crucial for promoting the advancement of various technologies, they are only temporary measures as they do not consistently result in cost reductions. </w:t>
      </w:r>
    </w:p>
    <w:p w14:paraId="5814809D"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Contrast for Difference (CfDs) play a crucial role in the UK by prompting investment in low-carbon energy production. CfDs help stabilise revenues for renewable energy producers by protecting them from fluctuating wholesale prices (</w:t>
      </w:r>
      <w:r>
        <w:rPr>
          <w:rFonts w:ascii="Times New Roman" w:eastAsia="Times New Roman" w:hAnsi="Times New Roman" w:cs="Times New Roman"/>
          <w:sz w:val="24"/>
          <w:szCs w:val="24"/>
          <w:highlight w:val="white"/>
        </w:rPr>
        <w:t>Khodadadi and Poudineh, 2024</w:t>
      </w:r>
      <w:r>
        <w:rPr>
          <w:rFonts w:ascii="Times New Roman" w:eastAsia="Times New Roman" w:hAnsi="Times New Roman" w:cs="Times New Roman"/>
          <w:sz w:val="24"/>
          <w:szCs w:val="24"/>
        </w:rPr>
        <w:t>). This makes renewable energy projects more financially viable and appealing to investors. The UK has been at the forefront of CfD schemes, particularly following the “Electricity Market Reform” (EMR) of 2013 (</w:t>
      </w:r>
      <w:r>
        <w:rPr>
          <w:rFonts w:ascii="Times New Roman" w:eastAsia="Times New Roman" w:hAnsi="Times New Roman" w:cs="Times New Roman"/>
          <w:sz w:val="24"/>
          <w:szCs w:val="24"/>
          <w:highlight w:val="white"/>
        </w:rPr>
        <w:t>Khodadadi and Poudineh, 2024</w:t>
      </w:r>
      <w:r>
        <w:rPr>
          <w:rFonts w:ascii="Times New Roman" w:eastAsia="Times New Roman" w:hAnsi="Times New Roman" w:cs="Times New Roman"/>
          <w:sz w:val="24"/>
          <w:szCs w:val="24"/>
        </w:rPr>
        <w:t xml:space="preserve">). CfD has significantly contributed to the expansion of the renewable energy sector in the UK. </w:t>
      </w:r>
      <w:r>
        <w:rPr>
          <w:rFonts w:ascii="Times New Roman" w:eastAsia="Times New Roman" w:hAnsi="Times New Roman" w:cs="Times New Roman"/>
          <w:sz w:val="24"/>
          <w:szCs w:val="24"/>
          <w:highlight w:val="white"/>
        </w:rPr>
        <w:t>Khodadadi and Poudineh (2024</w:t>
      </w:r>
      <w:r>
        <w:rPr>
          <w:rFonts w:ascii="Times New Roman" w:eastAsia="Times New Roman" w:hAnsi="Times New Roman" w:cs="Times New Roman"/>
          <w:sz w:val="24"/>
          <w:szCs w:val="24"/>
        </w:rPr>
        <w:t xml:space="preserve">) also pointed out that in 2023, CfD auctions had successfully contracted over 20 GW of renewable capacity, including offshore wind, onshore wind, solar photo-voltaic (PV), and biomass. The scheme has driven </w:t>
      </w:r>
      <w:r>
        <w:rPr>
          <w:rFonts w:ascii="Times New Roman" w:eastAsia="Times New Roman" w:hAnsi="Times New Roman" w:cs="Times New Roman"/>
          <w:sz w:val="24"/>
          <w:szCs w:val="24"/>
        </w:rPr>
        <w:lastRenderedPageBreak/>
        <w:t xml:space="preserve">down the costs of renewable energy, particularly offshore wind, with strike prices falling from £119.89/MWh in the first allocation round in 2015 to as low as £39.65/MWh in the 2019 round. </w:t>
      </w:r>
    </w:p>
    <w:p w14:paraId="2596FB1A" w14:textId="3509B53E"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Renewable Obligation Certificates (ROCs) are certificates given to renewable energy generators for the green electricity they produce. Operators can exchange ROCs with others and suppliers use them to show they have fulfilled their requirements (IEA/IRENA, 2020).  The quantity of ROCs a supplier obtains per megawatt-hour of electricity generated is determined by the type of technology (such as wind, solar PV, anaerobic digestion, etc.) used in their generation facility and its construction period (IEA/IRENA, 2020). This system, known as ROC banding, encourages the adoption of newer technologies by providing them with increased support in the form of multiple ROCs per megawatt-hour. </w:t>
      </w:r>
    </w:p>
    <w:p w14:paraId="2C2BD5C9" w14:textId="77777777" w:rsidR="007C5593" w:rsidRDefault="000A5866">
      <w:pPr>
        <w:pStyle w:val="Heading2"/>
      </w:pPr>
      <w:bookmarkStart w:id="20" w:name="_heading=h.1y810tw" w:colFirst="0" w:colLast="0"/>
      <w:bookmarkEnd w:id="20"/>
      <w:r>
        <w:t>2.4 Impact of the Policies on Development of Both Onshore and Offshore Wind Energy Projects</w:t>
      </w:r>
    </w:p>
    <w:p w14:paraId="28B5427C"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Onshore wind was the second largest contributor to renewable electricity generation which has accounted for 27.4% of renewable generation and 9.1% of all electricity generation. The UK’s onshore wind power capacity is 13.6 gigawatts, with a record generation of 30.4 terawatt-hours in 2018 (LSE 2020). Onshore wind installations saw a significant decrease in 2018, with €0.5 billion of investment and 598 MW installed, following a peak in 2017 when over 1,000 turbines with a capacity of 2,666 MW were installed. According to </w:t>
      </w:r>
      <w:r>
        <w:rPr>
          <w:rFonts w:ascii="Times New Roman" w:eastAsia="Times New Roman" w:hAnsi="Times New Roman" w:cs="Times New Roman"/>
          <w:sz w:val="24"/>
          <w:szCs w:val="24"/>
          <w:highlight w:val="white"/>
        </w:rPr>
        <w:t>Wood and Emmett (2019, p.1</w:t>
      </w:r>
      <w:r>
        <w:rPr>
          <w:rFonts w:ascii="Times New Roman" w:eastAsia="Times New Roman" w:hAnsi="Times New Roman" w:cs="Times New Roman"/>
          <w:sz w:val="24"/>
          <w:szCs w:val="24"/>
        </w:rPr>
        <w:t xml:space="preserve">), the UK's onshore wind energy sector relies heavily on the Renewable Obligation Certificate (ROC) and Contract for Difference (CfD) schemes. The contracts for difference are agreements made between renewable energy generators and the Low Carbon Contracts company (LCCC), which is a government-owned entity. These contracts have a duration of 15 years. </w:t>
      </w:r>
    </w:p>
    <w:p w14:paraId="4CC446F1" w14:textId="77777777" w:rsidR="007C5593" w:rsidRPr="007132D5" w:rsidRDefault="000A5866">
      <w:pPr>
        <w:spacing w:line="480" w:lineRule="auto"/>
        <w:jc w:val="both"/>
        <w:rPr>
          <w:rFonts w:ascii="Times New Roman" w:eastAsia="Times New Roman" w:hAnsi="Times New Roman" w:cs="Times New Roman"/>
          <w:color w:val="000000" w:themeColor="text1"/>
          <w:sz w:val="24"/>
          <w:szCs w:val="24"/>
        </w:rPr>
      </w:pPr>
      <w:r w:rsidRPr="007132D5">
        <w:rPr>
          <w:rFonts w:ascii="Times New Roman" w:eastAsia="Times New Roman" w:hAnsi="Times New Roman" w:cs="Times New Roman"/>
          <w:color w:val="000000" w:themeColor="text1"/>
          <w:sz w:val="24"/>
          <w:szCs w:val="24"/>
        </w:rPr>
        <w:lastRenderedPageBreak/>
        <w:t xml:space="preserve">Renewable energy technologies, such as onshore and offshore wind generation, are essential to the UK's energy transformation and are assisted by the CfD (Contracts for Difference) campaign. Onshore wind is yet an affordable option for producing energy on land, however offshore wind has grown significantly as of its larger capacity factors and potential for large-scale deployment. It has been measured that onshore wind projects in the UK produce more energy than onshore wind, which increased by 42% of the nation's total wind energy production, while offshore wind accounts for 13% increase in 2024 (GOV.UK, 2024). Onshore wind, however, is a pivotal energy producing source as it is less expensive to build and takes lower time to build. Therefore, the UK's renewable energy targets depend heavily on both onshore and offshore wind energy, emphasising the significance of making balanced investments in both. </w:t>
      </w:r>
    </w:p>
    <w:p w14:paraId="20E278B9" w14:textId="77777777" w:rsidR="007C5593" w:rsidRDefault="000A586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04FD9580" wp14:editId="0F5D0501">
            <wp:extent cx="5422435" cy="2641699"/>
            <wp:effectExtent l="25400" t="25400" r="25400" b="25400"/>
            <wp:docPr id="75"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12"/>
                    <a:srcRect/>
                    <a:stretch>
                      <a:fillRect/>
                    </a:stretch>
                  </pic:blipFill>
                  <pic:spPr>
                    <a:xfrm>
                      <a:off x="0" y="0"/>
                      <a:ext cx="5422435" cy="2641699"/>
                    </a:xfrm>
                    <a:prstGeom prst="rect">
                      <a:avLst/>
                    </a:prstGeom>
                    <a:ln w="25400">
                      <a:solidFill>
                        <a:srgbClr val="000000"/>
                      </a:solidFill>
                      <a:prstDash val="solid"/>
                    </a:ln>
                  </pic:spPr>
                </pic:pic>
              </a:graphicData>
            </a:graphic>
          </wp:inline>
        </w:drawing>
      </w:r>
    </w:p>
    <w:p w14:paraId="2B3E1DA3" w14:textId="77777777" w:rsidR="007C5593" w:rsidRPr="007132D5" w:rsidRDefault="000A5866" w:rsidP="00D0193B">
      <w:pPr>
        <w:pStyle w:val="Heading4"/>
        <w:rPr>
          <w:color w:val="000000" w:themeColor="text1"/>
        </w:rPr>
      </w:pPr>
      <w:r w:rsidRPr="007132D5">
        <w:rPr>
          <w:color w:val="000000" w:themeColor="text1"/>
        </w:rPr>
        <w:t>Figure 2.2: Percentage of produced energy from different sources in the UK</w:t>
      </w:r>
    </w:p>
    <w:p w14:paraId="0903B42F" w14:textId="77777777" w:rsidR="007C5593" w:rsidRPr="007132D5" w:rsidRDefault="000A5866">
      <w:pPr>
        <w:spacing w:line="480" w:lineRule="auto"/>
        <w:jc w:val="center"/>
        <w:rPr>
          <w:rFonts w:ascii="Times New Roman" w:eastAsia="Times New Roman" w:hAnsi="Times New Roman" w:cs="Times New Roman"/>
          <w:color w:val="000000" w:themeColor="text1"/>
          <w:sz w:val="24"/>
          <w:szCs w:val="24"/>
        </w:rPr>
      </w:pPr>
      <w:r w:rsidRPr="007132D5">
        <w:rPr>
          <w:rFonts w:ascii="Times New Roman" w:eastAsia="Times New Roman" w:hAnsi="Times New Roman" w:cs="Times New Roman"/>
          <w:color w:val="000000" w:themeColor="text1"/>
          <w:sz w:val="24"/>
          <w:szCs w:val="24"/>
        </w:rPr>
        <w:t>(Source: GOV.UK, 2024)</w:t>
      </w:r>
    </w:p>
    <w:p w14:paraId="6E242ADD" w14:textId="77777777" w:rsidR="007C5593" w:rsidRDefault="000A5866">
      <w:pPr>
        <w:pStyle w:val="Heading2"/>
      </w:pPr>
      <w:bookmarkStart w:id="21" w:name="_heading=h.4i7ojhp" w:colFirst="0" w:colLast="0"/>
      <w:bookmarkEnd w:id="21"/>
      <w:r>
        <w:lastRenderedPageBreak/>
        <w:t>2.5 Role of UK Policies on Capacity Expansion, Investment Growth, and Cost Competitiveness</w:t>
      </w:r>
    </w:p>
    <w:p w14:paraId="7C8D5E89"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effectiveness of UK-government regulated renewable wind policies in the expansion of wind energy capacity, growth of investment and cost competitiveness is considered as empirical by making the country a global leader in offshore wind. The rising supply chain costs and delays in auctions for new projects pose challenges to maintain cost competitiveness and sustain the rapid pace of development. The goal of the government toward decarbonisation and its legally binding target to achieve net-zero emissions by the end of 2025 have developed a favourable policy environment for wind energy growth (Raybould</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p.379). One of the significant policy drivers is conferred as the Contracts for Difference scheme that showcases long-term stability in the price margin to energy producers. This policy has been playing a pivotal role in driving UK wind energy expansion by facilitating price stability and attracting large-scale investments along with reduces market risks in offshore wind capacity. CfD policy also encourages major investments in border offshore wind projects by decreasing financial risks resulting in a significant acceleration in wind energy capacity (Jansen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p.3). Therefore, it has been acknowledged that the role of CfD policy is pivotal toward large-scale offshore wind projects in terms of encouraging major investments on producing renewable wind energy sources. </w:t>
      </w:r>
    </w:p>
    <w:p w14:paraId="5670B085" w14:textId="20CBAE5B"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CfD and ROC wind energy policies along with other supportive policies including streamlined planning process and grid infrastructure enhancement also accelerate the expansion of wind energy capacity. The British Energy Security Strategy (BESS) was set up in 2022 for achieving up to 50</w:t>
      </w:r>
      <w:r w:rsidR="008172AE">
        <w:rPr>
          <w:rFonts w:ascii="Times New Roman" w:eastAsia="Times New Roman" w:hAnsi="Times New Roman" w:cs="Times New Roman"/>
          <w:sz w:val="24"/>
          <w:szCs w:val="24"/>
        </w:rPr>
        <w:t>gw</w:t>
      </w:r>
      <w:r>
        <w:rPr>
          <w:rFonts w:ascii="Times New Roman" w:eastAsia="Times New Roman" w:hAnsi="Times New Roman" w:cs="Times New Roman"/>
          <w:sz w:val="24"/>
          <w:szCs w:val="24"/>
        </w:rPr>
        <w:t xml:space="preserve"> of offshore wind at the end of 2030 and it makes the UK the second largest offshore market globally (GOV.UK, 2024). This growth is significant for meeting the renewable energy targets of the nation and ensuring energy security as wind energy is currently becoming a </w:t>
      </w:r>
      <w:r>
        <w:rPr>
          <w:rFonts w:ascii="Times New Roman" w:eastAsia="Times New Roman" w:hAnsi="Times New Roman" w:cs="Times New Roman"/>
          <w:sz w:val="24"/>
          <w:szCs w:val="24"/>
        </w:rPr>
        <w:lastRenderedPageBreak/>
        <w:t>cornerstone of the UK’s energy mix. The UK government made the task of developers less difficult by obtaining grievance and protect locations for new wind farms, especially the offshore side of the UK which has an adequate amount of best wind resources (Loughney</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p.3). Hereby, it has been addressed that the steady expansion of wind capacity enables the UK to harness its natural resources that reflects the alignment of industry needs with policy incentives. </w:t>
      </w:r>
    </w:p>
    <w:p w14:paraId="3C30B6CF" w14:textId="77777777" w:rsidR="007C5593" w:rsidRDefault="000A586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E959EFF" wp14:editId="4D01A036">
            <wp:extent cx="4700588" cy="3276852"/>
            <wp:effectExtent l="25400" t="25400" r="25400" b="25400"/>
            <wp:docPr id="89"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13"/>
                    <a:srcRect/>
                    <a:stretch>
                      <a:fillRect/>
                    </a:stretch>
                  </pic:blipFill>
                  <pic:spPr>
                    <a:xfrm>
                      <a:off x="0" y="0"/>
                      <a:ext cx="4700588" cy="3276852"/>
                    </a:xfrm>
                    <a:prstGeom prst="rect">
                      <a:avLst/>
                    </a:prstGeom>
                    <a:ln w="25400">
                      <a:solidFill>
                        <a:srgbClr val="000000"/>
                      </a:solidFill>
                      <a:prstDash val="solid"/>
                    </a:ln>
                  </pic:spPr>
                </pic:pic>
              </a:graphicData>
            </a:graphic>
          </wp:inline>
        </w:drawing>
      </w:r>
    </w:p>
    <w:p w14:paraId="33E1EA88" w14:textId="77777777" w:rsidR="007C5593" w:rsidRDefault="000A5866">
      <w:pPr>
        <w:pStyle w:val="Heading4"/>
      </w:pPr>
      <w:bookmarkStart w:id="22" w:name="_heading=h.2xcytpi" w:colFirst="0" w:colLast="0"/>
      <w:bookmarkEnd w:id="22"/>
      <w:r>
        <w:t>Figure 2.3: Secured locations for major operational offshore wind farms in the UK</w:t>
      </w:r>
    </w:p>
    <w:p w14:paraId="7CEF3A3F" w14:textId="77777777" w:rsidR="007C5593" w:rsidRDefault="000A586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Loughney</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p w14:paraId="009A70BC"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UK’s renewable energy policies such as ROC have influenced to develop a highly attractive investment climate for domestic and global investors particularly in the offshore market of the UK. Considerably, the predictability and clarity facilitated by long-term government targets including the 2023 offshore wind goal have made the UK a popular hotspot for wind energy investments (Santhakumar</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p.3). The CfD policy also offers economic stability by preventing the revenue related concerns for developers and has led to billions of pounds being </w:t>
      </w:r>
      <w:r>
        <w:rPr>
          <w:rFonts w:ascii="Times New Roman" w:eastAsia="Times New Roman" w:hAnsi="Times New Roman" w:cs="Times New Roman"/>
          <w:sz w:val="24"/>
          <w:szCs w:val="24"/>
        </w:rPr>
        <w:lastRenderedPageBreak/>
        <w:t xml:space="preserve">spent in the industry, with a broader number of companies committing to new wind projects. Moreover, the steady flow of investments is further improved by the UK’s wider green finance agenda to support the transition to a low-carbon economy (Xing, Li and Yu, 2022, p.2). Therefore, it has been obliged that ROC and CfD policies have essentially boosted the rise of investment through offering financial stability, decreasing risks and making wind energy a key investment industry. </w:t>
      </w:r>
    </w:p>
    <w:p w14:paraId="3FE39ADD"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wind policies have also played a crucial role in driving down the expenses or cost of wind energy along with making it one of the cost-effective sources of electricity. The scaling of wind energy projects aided by technological advancements in turbine efficiency has resulted in significant decrease in the amount of overall costs. In addition, the CfD auctions proposed by the UK government have acted as an instrumental asset in promoting competition between developers and led to down strike prices in successive auction rounds (Welisch and Poudineh, 2020, p. 2). Offshore wind is now becoming cheaper compared to fossil fuel-based energy that is increasingly attractive to utilities and customers alike who are prefers renewable sources. Additionally, the integration of wind energy toward the broader energy market has been provided by enhancements in grid infrastructure and decreasing the cost associated with bonding new wind farms to the national grid (Iweh</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p.4). Hence, it has observed that the ROC and CfD policies have strongly driven investment growth, expanded wind energy capacity and improved cost competitiveness by providing economic stability and fostering innovation. </w:t>
      </w:r>
    </w:p>
    <w:p w14:paraId="19B8DD77" w14:textId="77777777" w:rsidR="007C5593" w:rsidRDefault="000A5866">
      <w:pPr>
        <w:pStyle w:val="Heading2"/>
      </w:pPr>
      <w:bookmarkStart w:id="23" w:name="_heading=h.1ci93xb" w:colFirst="0" w:colLast="0"/>
      <w:bookmarkEnd w:id="23"/>
      <w:r>
        <w:t>2.6 Challenges in the Development of Wind Energy concerning these Policies in UK</w:t>
      </w:r>
    </w:p>
    <w:p w14:paraId="6414E09D" w14:textId="6BD60629"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government faces a broader number of challenges in developing wind energy including skill shortages, less infrastructure, scarcity in grid capacity and diverse social acceptances. It has also been addressed that there are frequent objections to </w:t>
      </w:r>
      <w:r w:rsidR="008172AE">
        <w:rPr>
          <w:rFonts w:ascii="Times New Roman" w:eastAsia="Times New Roman" w:hAnsi="Times New Roman" w:cs="Times New Roman"/>
          <w:sz w:val="24"/>
          <w:szCs w:val="24"/>
        </w:rPr>
        <w:t>wind</w:t>
      </w:r>
      <w:r>
        <w:rPr>
          <w:rFonts w:ascii="Times New Roman" w:eastAsia="Times New Roman" w:hAnsi="Times New Roman" w:cs="Times New Roman"/>
          <w:sz w:val="24"/>
          <w:szCs w:val="24"/>
        </w:rPr>
        <w:t xml:space="preserve"> farm developments from the local </w:t>
      </w:r>
      <w:r>
        <w:rPr>
          <w:rFonts w:ascii="Times New Roman" w:eastAsia="Times New Roman" w:hAnsi="Times New Roman" w:cs="Times New Roman"/>
          <w:sz w:val="24"/>
          <w:szCs w:val="24"/>
        </w:rPr>
        <w:lastRenderedPageBreak/>
        <w:t xml:space="preserve">population that resulted in being declined to grant planning permission and limitation to meet renewable energy development. </w:t>
      </w:r>
    </w:p>
    <w:p w14:paraId="0FF9E4B1" w14:textId="77777777" w:rsidR="007C5593" w:rsidRDefault="000A5866">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Lack of Policy consistency and Uncertainty</w:t>
      </w:r>
    </w:p>
    <w:p w14:paraId="00C7253C"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Policy uncertainty has been signified as one of the primary challenges currently faced by wind energy development in the UK industry. Rapid changes in political leadership and government priorities triggered instability in the regulatory framework while CfD and ROC have offered critical support for investment and growth. For example, shifting stances on the support and subsidies for renewable energy have led to concerns among investors for long term certainty and lack of consistency (Council, 2020, p.12). Considerably, delays in CfD auction rounds or changes in eligibility criteria are also responsible for disrupted the development of new wind projects and this uncertainty decreases investors’ confidence. The lack of policy consistency also triggered significant delay in capital inflows which is a pivotal asset for large-scale wind farm projects within the UK (Murgas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Therefore, it has been understood that ensuring a stable long-term policy environment is pivotal for continued investment growth and increase in wind energy capacity within the offshore wind market of the UK. </w:t>
      </w:r>
    </w:p>
    <w:p w14:paraId="72EC147C" w14:textId="77777777" w:rsidR="007C5593" w:rsidRDefault="000A5866">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Grid Infrastructure and integration concern</w:t>
      </w:r>
    </w:p>
    <w:p w14:paraId="65DAC0E6"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major resistance in the development of wind energy in the UK market is acknowledged as the adequacy of grid infrastructure. The national grid requires to evolve to accommodate the increased load as the country speedily expands its offshore wind capacity toward the global market. Significantly, the irregular characteristic of wind powder aided with the large distances among wind farms and population centres influenced to create adverse pressure on the grid performance (Taylor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p.3818). The grid is not being fully optimised to manage the variability of wind energy, leading to bottlenecks during high wind generation and it is essential </w:t>
      </w:r>
      <w:r>
        <w:rPr>
          <w:rFonts w:ascii="Times New Roman" w:eastAsia="Times New Roman" w:hAnsi="Times New Roman" w:cs="Times New Roman"/>
          <w:sz w:val="24"/>
          <w:szCs w:val="24"/>
        </w:rPr>
        <w:lastRenderedPageBreak/>
        <w:t xml:space="preserve">to build new transmission lines. Therefore, it has been obliged that the integration of increased wind energy capacity will remain a key challenge which restricts the effectiveness of wind energy policies for the UK-based markets and firms.   </w:t>
      </w:r>
    </w:p>
    <w:p w14:paraId="1427137F" w14:textId="77777777" w:rsidR="007C5593" w:rsidRDefault="000A5866">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Supply Chain Constraints </w:t>
      </w:r>
    </w:p>
    <w:p w14:paraId="3A239DBE" w14:textId="6F0499E0"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UK’s wind energy industry has been facing challenges regarding the domestic supply chain during the phase of producing energy irrespective of CfD and ROC policies. The limited capacity and resources of the domestic Supply Chain leads to experience higher operational costs and immense delays in project development. For instance, shortages of specialised manufacturing facilities for key substances including turbines, blades and skilled labour to install are causing wind farms to face difficulty in expanding energy capacity (Gebreslassie, 2021, p.22). Additionally, Brexit has also complicated the supply chain logistics by occurring trade barriers and increasing cost of importing necessary materials from Europe. Regarding that, the UK government requires it to invest in expanding its manufacturing base to build a more resilient and competitive wind energy SC to address supplier constraints (GOV.UK, 2024). Therefore, it has been obliged that addressing the challenges needs coordinated efforts between the government and industry </w:t>
      </w:r>
      <w:r w:rsidR="008172AE">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ensure a stable policy environment and robust supply chain during developing wind energy in the UK. </w:t>
      </w:r>
    </w:p>
    <w:p w14:paraId="03675B1E" w14:textId="77777777" w:rsidR="007C5593" w:rsidRDefault="000A5866">
      <w:pPr>
        <w:pStyle w:val="Heading2"/>
      </w:pPr>
      <w:bookmarkStart w:id="24" w:name="_heading=h.3whwml4" w:colFirst="0" w:colLast="0"/>
      <w:bookmarkEnd w:id="24"/>
      <w:r>
        <w:t>2.7 Potential Opportunities for the Future Development of Wind Energy in the UK</w:t>
      </w:r>
    </w:p>
    <w:p w14:paraId="2F1F4040" w14:textId="77777777" w:rsidR="007C5593" w:rsidRDefault="000A5866">
      <w:pPr>
        <w:pStyle w:val="Heading3"/>
      </w:pPr>
      <w:bookmarkStart w:id="25" w:name="_heading=h.2bn6wsx" w:colFirst="0" w:colLast="0"/>
      <w:bookmarkEnd w:id="25"/>
      <w:r>
        <w:t>Future opportunities for clean power mission of UK</w:t>
      </w:r>
    </w:p>
    <w:p w14:paraId="5CF0B37C" w14:textId="526FD683"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Harnessing wind energy in the UK helps the country to materialise its mission for attaining clean power as well as save money on electricity bills. As per UK policy statements such as National Planning Policy Framework (NPPF), development of wind energy offers future opportunities in terms of supporting high-skilled jobs and tackling the climate change crisis (Gov UK, 2024). </w:t>
      </w:r>
      <w:r>
        <w:rPr>
          <w:rFonts w:ascii="Times New Roman" w:eastAsia="Times New Roman" w:hAnsi="Times New Roman" w:cs="Times New Roman"/>
          <w:sz w:val="24"/>
          <w:szCs w:val="24"/>
        </w:rPr>
        <w:lastRenderedPageBreak/>
        <w:t xml:space="preserve">Furthermore, with the application of sustainable wind energy sources, UK-based organisations can reduce organisational carbon emission rate through mitigating the use of fossil </w:t>
      </w:r>
      <w:r w:rsidR="008172AE">
        <w:rPr>
          <w:rFonts w:ascii="Times New Roman" w:eastAsia="Times New Roman" w:hAnsi="Times New Roman" w:cs="Times New Roman"/>
          <w:sz w:val="24"/>
          <w:szCs w:val="24"/>
        </w:rPr>
        <w:t>fuel-based</w:t>
      </w:r>
      <w:r>
        <w:rPr>
          <w:rFonts w:ascii="Times New Roman" w:eastAsia="Times New Roman" w:hAnsi="Times New Roman" w:cs="Times New Roman"/>
          <w:sz w:val="24"/>
          <w:szCs w:val="24"/>
        </w:rPr>
        <w:t xml:space="preserve"> energy sources. Hence, the application of renewable wind energy can help UK businesses to provide lucrative job opportunities to high-skilled employees for better managing current technological infrastructure. </w:t>
      </w:r>
    </w:p>
    <w:p w14:paraId="19228CE4" w14:textId="77777777" w:rsidR="007C5593" w:rsidRDefault="000A5866">
      <w:pPr>
        <w:pStyle w:val="Heading3"/>
      </w:pPr>
      <w:bookmarkStart w:id="26" w:name="_heading=h.qsh70q" w:colFirst="0" w:colLast="0"/>
      <w:bookmarkEnd w:id="26"/>
      <w:r>
        <w:t xml:space="preserve"> The deployment of production automation in Supply chain management processes</w:t>
      </w:r>
    </w:p>
    <w:p w14:paraId="5D83CF6F" w14:textId="0F1A24F9"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 companies can utilise emerging tools such as AI technology </w:t>
      </w:r>
      <w:r w:rsidR="007132D5">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introduce automation in supply chain </w:t>
      </w:r>
      <w:r w:rsidR="007132D5">
        <w:rPr>
          <w:rFonts w:ascii="Times New Roman" w:eastAsia="Times New Roman" w:hAnsi="Times New Roman" w:cs="Times New Roman"/>
          <w:sz w:val="24"/>
          <w:szCs w:val="24"/>
        </w:rPr>
        <w:t>management processes</w:t>
      </w:r>
      <w:r>
        <w:rPr>
          <w:rFonts w:ascii="Times New Roman" w:eastAsia="Times New Roman" w:hAnsi="Times New Roman" w:cs="Times New Roman"/>
          <w:sz w:val="24"/>
          <w:szCs w:val="24"/>
        </w:rPr>
        <w:t xml:space="preserve"> for increasing production efficiency through enhancing current operational infrastructure. The optimisation of operational cost can be achieved by UK companies with the deployment of production automation that can help the organisation to develop cost-effective policy for creating and utilising renewable energy sources (Andiyappillai, 2021, p. 141). Hence, heightened production efficiency and optimisation of </w:t>
      </w:r>
      <w:r w:rsidRPr="007132D5">
        <w:rPr>
          <w:rFonts w:ascii="Times New Roman" w:eastAsia="Times New Roman" w:hAnsi="Times New Roman" w:cs="Times New Roman"/>
          <w:color w:val="000000" w:themeColor="text1"/>
          <w:sz w:val="24"/>
          <w:szCs w:val="24"/>
        </w:rPr>
        <w:t>supply chain management</w:t>
      </w:r>
      <w:r>
        <w:rPr>
          <w:rFonts w:ascii="Times New Roman" w:eastAsia="Times New Roman" w:hAnsi="Times New Roman" w:cs="Times New Roman"/>
          <w:sz w:val="24"/>
          <w:szCs w:val="24"/>
        </w:rPr>
        <w:t xml:space="preserve"> expenses are major benefits of using production automation for UK companies </w:t>
      </w:r>
      <w:r w:rsidR="007132D5">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successfully implement the use of wind energy. </w:t>
      </w:r>
    </w:p>
    <w:p w14:paraId="24B9AF8A" w14:textId="77777777" w:rsidR="007C5593" w:rsidRDefault="000A5866">
      <w:pPr>
        <w:pStyle w:val="Heading2"/>
      </w:pPr>
      <w:bookmarkStart w:id="27" w:name="_heading=h.3as4poj" w:colFirst="0" w:colLast="0"/>
      <w:bookmarkEnd w:id="27"/>
      <w:r>
        <w:t>2.8 Theoretical Perspectives</w:t>
      </w:r>
    </w:p>
    <w:p w14:paraId="02900F49" w14:textId="77777777" w:rsidR="007C5593" w:rsidRDefault="000A5866">
      <w:pPr>
        <w:pStyle w:val="Heading3"/>
      </w:pPr>
      <w:bookmarkStart w:id="28" w:name="_heading=h.1pxezwc" w:colFirst="0" w:colLast="0"/>
      <w:bookmarkEnd w:id="28"/>
      <w:r>
        <w:t>2.8.1 Innovation System Theory</w:t>
      </w:r>
    </w:p>
    <w:p w14:paraId="6BA7284D" w14:textId="431AEADD"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application of innovation and systems theory (IST) can help UK business entities to implement adequate technology in organisational infrastructure </w:t>
      </w:r>
      <w:r w:rsidR="007132D5">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maximise the creation of renewable energy. The main argument of the IST theory is to successfully integrate innovative strategies and subsequent technologies within existing organisational infrastructure for improving company profitability (Markard, 2020, p. 154). Accordingly, the deployment of innovative technologies is a major positive feature of IST theory </w:t>
      </w:r>
      <w:r w:rsidR="007132D5">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maximise the effectiveness of </w:t>
      </w:r>
      <w:r>
        <w:rPr>
          <w:rFonts w:ascii="Times New Roman" w:eastAsia="Times New Roman" w:hAnsi="Times New Roman" w:cs="Times New Roman"/>
          <w:sz w:val="24"/>
          <w:szCs w:val="24"/>
        </w:rPr>
        <w:lastRenderedPageBreak/>
        <w:t>organisational policies and cultivate renewable wind energy. The identification of workplace opportunities is another massive benefit of using IST theory for business entities that enables UK companies to increase brand reputation by gradually increasing the use of renewable wind energy (Gryshchenko</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p. 64). The enhancement of corporate sustainability strategies is yet another usefulness of IST theory usage that enables UK corporations to maximise the use of renewable wind energy and reduce carbon footprint. Hence, the creation of organisational sustainability policies and enhancement of brand reputation are major advantages of deploying information systems theory for using renewable wind energy for performing critical company processes. </w:t>
      </w:r>
    </w:p>
    <w:p w14:paraId="06C20871" w14:textId="77777777" w:rsidR="007C5593" w:rsidRDefault="000A5866">
      <w:pPr>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526C0FF5" wp14:editId="16AD09C4">
            <wp:extent cx="5943600" cy="3352800"/>
            <wp:effectExtent l="0" t="0" r="0" b="0"/>
            <wp:docPr id="92"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4"/>
                    <a:srcRect/>
                    <a:stretch>
                      <a:fillRect/>
                    </a:stretch>
                  </pic:blipFill>
                  <pic:spPr>
                    <a:xfrm>
                      <a:off x="0" y="0"/>
                      <a:ext cx="5943600" cy="3352800"/>
                    </a:xfrm>
                    <a:prstGeom prst="rect">
                      <a:avLst/>
                    </a:prstGeom>
                    <a:ln/>
                  </pic:spPr>
                </pic:pic>
              </a:graphicData>
            </a:graphic>
          </wp:inline>
        </w:drawing>
      </w:r>
    </w:p>
    <w:p w14:paraId="5CCA81D5" w14:textId="77777777" w:rsidR="007C5593" w:rsidRDefault="000A5866">
      <w:pPr>
        <w:pStyle w:val="Heading4"/>
      </w:pPr>
      <w:bookmarkStart w:id="29" w:name="_heading=h.49x2ik5" w:colFirst="0" w:colLast="0"/>
      <w:bookmarkEnd w:id="29"/>
      <w:r>
        <w:t>Figure 2.4: Innovation System Theory</w:t>
      </w:r>
    </w:p>
    <w:p w14:paraId="5FE3BDB7" w14:textId="77777777" w:rsidR="007C5593" w:rsidRDefault="000A5866">
      <w:pPr>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Satalkina and Steiner, 2020, p. 114)</w:t>
      </w:r>
    </w:p>
    <w:p w14:paraId="3EF2008E"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the deployment of IST theory can prove to be highly expensive as well as time consuming for UK companies to implement, which reduces the effectiveness of renewable </w:t>
      </w:r>
      <w:r>
        <w:rPr>
          <w:rFonts w:ascii="Times New Roman" w:eastAsia="Times New Roman" w:hAnsi="Times New Roman" w:cs="Times New Roman"/>
          <w:sz w:val="24"/>
          <w:szCs w:val="24"/>
        </w:rPr>
        <w:lastRenderedPageBreak/>
        <w:t xml:space="preserve">energy usage policies (Satalkina and Steiner, 2020, p. 114). The reduced organisational profitability is another negative implication of IST theory usage that further mitigates organisational capability of investing adequate financial capital for fruitfully integrating latest technology for employing renewable wind energy. Hence, despite the increased cost of implementing the IST theory, it can prove to be instrumental for UK industry to heighten the efficiency of current organisational systems for using wind energy in critical firm processes. </w:t>
      </w:r>
    </w:p>
    <w:p w14:paraId="650C10B7" w14:textId="77777777" w:rsidR="007C5593" w:rsidRDefault="000A5866">
      <w:pPr>
        <w:pStyle w:val="Heading3"/>
      </w:pPr>
      <w:bookmarkStart w:id="30" w:name="_heading=h.2p2csry" w:colFirst="0" w:colLast="0"/>
      <w:bookmarkEnd w:id="30"/>
      <w:r>
        <w:t>2.8.2 Multi-Level Governance (MLG) Framework</w:t>
      </w:r>
    </w:p>
    <w:p w14:paraId="1AEA211D" w14:textId="733EC65F"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use of Multi-Level Governance (MLG) Framework enables UK corporate entities to streamline organisational decision-making and develop adequate renewable wind energy incorporation strategy. The main argument of MLG theory is to introduce various stakeholder opinions in organisational decision-making </w:t>
      </w:r>
      <w:r w:rsidR="007132D5">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increase effectiveness of organisational strategies and streamline productivity (Charbit, 2020, p. 324). As a result, the introduction of stakeholder participation in decision-making is a major positive factor associated with the MLG framework for introducing sustainable workplace operations and safeguarding UK environmental factors. The integration of innovative thinking in the decision-making process is a major positive implication of using MLG theory that can enable UK companies to utilise renewable wind energy and attract adequate financial investment. The development of skilful collaboration between organisational groups is another benefit of using MLG theory that can help UK companies to retain optimal operational efficiency levels during the incorporation of renewable wind energy (Heinen, Arlati and Knieling, 2022). Therefore, increased collaboration between workplace teams and innovative decision-making capabilities are two major advantages of MLG theory that can help UK companies to create adequate policies for maximising the utility of renewable wind energy sources. </w:t>
      </w:r>
    </w:p>
    <w:p w14:paraId="230506D7" w14:textId="77777777" w:rsidR="007C5593" w:rsidRDefault="000A5866">
      <w:pPr>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075C5CED" wp14:editId="7D65B6D4">
            <wp:extent cx="3952875" cy="2143125"/>
            <wp:effectExtent l="0" t="0" r="0" b="0"/>
            <wp:docPr id="9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5"/>
                    <a:srcRect/>
                    <a:stretch>
                      <a:fillRect/>
                    </a:stretch>
                  </pic:blipFill>
                  <pic:spPr>
                    <a:xfrm>
                      <a:off x="0" y="0"/>
                      <a:ext cx="3952875" cy="2143125"/>
                    </a:xfrm>
                    <a:prstGeom prst="rect">
                      <a:avLst/>
                    </a:prstGeom>
                    <a:ln/>
                  </pic:spPr>
                </pic:pic>
              </a:graphicData>
            </a:graphic>
          </wp:inline>
        </w:drawing>
      </w:r>
    </w:p>
    <w:p w14:paraId="12E42D84" w14:textId="77777777" w:rsidR="007C5593" w:rsidRDefault="000A5866">
      <w:pPr>
        <w:pStyle w:val="Heading4"/>
      </w:pPr>
      <w:bookmarkStart w:id="31" w:name="_heading=h.147n2zr" w:colFirst="0" w:colLast="0"/>
      <w:bookmarkEnd w:id="31"/>
      <w:r>
        <w:t>Figure 2.5: Multi-Level Governance (MLG) Framework</w:t>
      </w:r>
    </w:p>
    <w:p w14:paraId="56B2D866" w14:textId="77777777" w:rsidR="007C5593" w:rsidRDefault="000A5866">
      <w:pPr>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Bazurli and Kaufmann, 2023, p. 454)</w:t>
      </w:r>
    </w:p>
    <w:p w14:paraId="2624AAC8" w14:textId="0AFF9C2A"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that, the mitigation of organisational efficiency is a negative side-effect of using MLG theory that requires increased coordination between different workplace groups </w:t>
      </w:r>
      <w:r w:rsidR="007132D5">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ensure the effectiveness of the decision-making process (Bazurli and Kaufmann, 2023, p. 454). Heightened coordination cost is another major consequence of using MLG technology that can increase the implementation expanses of renewable wind energy exponentially for UK corporate entities. Hence, despite the negative impacts of using MLG framework, it can greatly assist UK companies to develop optimal policies for integrating renewable wind energy through developing adequate implementation strategies. </w:t>
      </w:r>
    </w:p>
    <w:p w14:paraId="67B87972" w14:textId="77777777" w:rsidR="007C5593" w:rsidRDefault="000A5866">
      <w:pPr>
        <w:spacing w:line="480" w:lineRule="auto"/>
        <w:rPr>
          <w:rFonts w:ascii="Times New Roman" w:eastAsia="Times New Roman" w:hAnsi="Times New Roman" w:cs="Times New Roman"/>
          <w:b/>
          <w:sz w:val="24"/>
          <w:szCs w:val="24"/>
        </w:rPr>
      </w:pPr>
      <w:r>
        <w:br w:type="page"/>
      </w:r>
    </w:p>
    <w:p w14:paraId="2B17EC7F" w14:textId="73452F21" w:rsidR="007C5593" w:rsidRDefault="000A5866">
      <w:pPr>
        <w:pStyle w:val="Heading2"/>
      </w:pPr>
      <w:bookmarkStart w:id="32" w:name="_heading=h.3o7alnk" w:colFirst="0" w:colLast="0"/>
      <w:bookmarkEnd w:id="32"/>
      <w:r>
        <w:lastRenderedPageBreak/>
        <w:t>2.10 Conceptual Framework</w:t>
      </w:r>
      <w:r w:rsidR="008172AE">
        <w:rPr>
          <w:noProof/>
        </w:rPr>
        <mc:AlternateContent>
          <mc:Choice Requires="wpg">
            <w:drawing>
              <wp:anchor distT="0" distB="0" distL="114300" distR="114300" simplePos="0" relativeHeight="251658240" behindDoc="0" locked="0" layoutInCell="1" allowOverlap="1" wp14:anchorId="115E69A2" wp14:editId="05486ABE">
                <wp:simplePos x="0" y="0"/>
                <wp:positionH relativeFrom="column">
                  <wp:posOffset>114300</wp:posOffset>
                </wp:positionH>
                <wp:positionV relativeFrom="paragraph">
                  <wp:posOffset>304800</wp:posOffset>
                </wp:positionV>
                <wp:extent cx="6059805" cy="5631180"/>
                <wp:effectExtent l="0" t="0" r="0" b="0"/>
                <wp:wrapNone/>
                <wp:docPr id="569410104" name="Group 1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9805" cy="5631180"/>
                          <a:chOff x="23160" y="9644"/>
                          <a:chExt cx="60598" cy="56312"/>
                        </a:xfrm>
                      </wpg:grpSpPr>
                      <wpg:grpSp>
                        <wpg:cNvPr id="1180653970" name="Group 1"/>
                        <wpg:cNvGrpSpPr>
                          <a:grpSpLocks/>
                        </wpg:cNvGrpSpPr>
                        <wpg:grpSpPr bwMode="auto">
                          <a:xfrm>
                            <a:off x="23160" y="9644"/>
                            <a:ext cx="60599" cy="56311"/>
                            <a:chOff x="23160" y="9644"/>
                            <a:chExt cx="60598" cy="56312"/>
                          </a:xfrm>
                        </wpg:grpSpPr>
                        <wps:wsp>
                          <wps:cNvPr id="1087549271" name="Rectangle 2"/>
                          <wps:cNvSpPr>
                            <a:spLocks/>
                          </wps:cNvSpPr>
                          <wps:spPr bwMode="auto">
                            <a:xfrm>
                              <a:off x="23160" y="9644"/>
                              <a:ext cx="60599" cy="5631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213379" w14:textId="77777777" w:rsidR="00316B62" w:rsidRDefault="00316B62">
                                <w:pPr>
                                  <w:spacing w:line="240" w:lineRule="auto"/>
                                  <w:textDirection w:val="btLr"/>
                                </w:pPr>
                              </w:p>
                            </w:txbxContent>
                          </wps:txbx>
                          <wps:bodyPr rot="0" vert="horz" wrap="square" lIns="91425" tIns="91425" rIns="91425" bIns="91425" anchor="ctr" anchorCtr="0" upright="1">
                            <a:noAutofit/>
                          </wps:bodyPr>
                        </wps:wsp>
                        <wpg:grpSp>
                          <wpg:cNvPr id="1143420598" name="Group 3"/>
                          <wpg:cNvGrpSpPr>
                            <a:grpSpLocks/>
                          </wpg:cNvGrpSpPr>
                          <wpg:grpSpPr bwMode="auto">
                            <a:xfrm>
                              <a:off x="23160" y="9644"/>
                              <a:ext cx="60599" cy="56311"/>
                              <a:chOff x="23160" y="9644"/>
                              <a:chExt cx="60598" cy="56312"/>
                            </a:xfrm>
                          </wpg:grpSpPr>
                          <wps:wsp>
                            <wps:cNvPr id="1860949931" name="Rectangle 4"/>
                            <wps:cNvSpPr>
                              <a:spLocks/>
                            </wps:cNvSpPr>
                            <wps:spPr bwMode="auto">
                              <a:xfrm>
                                <a:off x="23160" y="9644"/>
                                <a:ext cx="60599" cy="5631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D1FE0F" w14:textId="77777777" w:rsidR="00316B62" w:rsidRDefault="00316B62">
                                  <w:pPr>
                                    <w:spacing w:line="240" w:lineRule="auto"/>
                                    <w:textDirection w:val="btLr"/>
                                  </w:pPr>
                                </w:p>
                              </w:txbxContent>
                            </wps:txbx>
                            <wps:bodyPr rot="0" vert="horz" wrap="square" lIns="91425" tIns="91425" rIns="91425" bIns="91425" anchor="ctr" anchorCtr="0" upright="1">
                              <a:noAutofit/>
                            </wps:bodyPr>
                          </wps:wsp>
                          <wpg:grpSp>
                            <wpg:cNvPr id="1507261966" name="Group 5"/>
                            <wpg:cNvGrpSpPr>
                              <a:grpSpLocks/>
                            </wpg:cNvGrpSpPr>
                            <wpg:grpSpPr bwMode="auto">
                              <a:xfrm>
                                <a:off x="23160" y="9644"/>
                                <a:ext cx="60599" cy="56311"/>
                                <a:chOff x="23159" y="9643"/>
                                <a:chExt cx="60600" cy="56312"/>
                              </a:xfrm>
                            </wpg:grpSpPr>
                            <wps:wsp>
                              <wps:cNvPr id="1427899399" name="Rectangle 6"/>
                              <wps:cNvSpPr>
                                <a:spLocks/>
                              </wps:cNvSpPr>
                              <wps:spPr bwMode="auto">
                                <a:xfrm>
                                  <a:off x="23159" y="9643"/>
                                  <a:ext cx="60600" cy="563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1B74D0" w14:textId="77777777" w:rsidR="00316B62" w:rsidRDefault="00316B62">
                                    <w:pPr>
                                      <w:spacing w:line="240" w:lineRule="auto"/>
                                      <w:textDirection w:val="btLr"/>
                                    </w:pPr>
                                  </w:p>
                                </w:txbxContent>
                              </wps:txbx>
                              <wps:bodyPr rot="0" vert="horz" wrap="square" lIns="91425" tIns="91425" rIns="91425" bIns="91425" anchor="ctr" anchorCtr="0" upright="1">
                                <a:noAutofit/>
                              </wps:bodyPr>
                            </wps:wsp>
                            <wpg:grpSp>
                              <wpg:cNvPr id="669939086" name="Group 7"/>
                              <wpg:cNvGrpSpPr>
                                <a:grpSpLocks/>
                              </wpg:cNvGrpSpPr>
                              <wpg:grpSpPr bwMode="auto">
                                <a:xfrm>
                                  <a:off x="23160" y="9644"/>
                                  <a:ext cx="60599" cy="56311"/>
                                  <a:chOff x="0" y="0"/>
                                  <a:chExt cx="60598" cy="56311"/>
                                </a:xfrm>
                              </wpg:grpSpPr>
                              <wps:wsp>
                                <wps:cNvPr id="723507966" name="Rectangle 8"/>
                                <wps:cNvSpPr>
                                  <a:spLocks/>
                                </wps:cNvSpPr>
                                <wps:spPr bwMode="auto">
                                  <a:xfrm>
                                    <a:off x="0" y="0"/>
                                    <a:ext cx="60598" cy="563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C5D73D" w14:textId="77777777" w:rsidR="00316B62" w:rsidRDefault="00316B62">
                                      <w:pPr>
                                        <w:spacing w:line="240" w:lineRule="auto"/>
                                        <w:textDirection w:val="btLr"/>
                                      </w:pPr>
                                    </w:p>
                                  </w:txbxContent>
                                </wps:txbx>
                                <wps:bodyPr rot="0" vert="horz" wrap="square" lIns="91425" tIns="91425" rIns="91425" bIns="91425" anchor="ctr" anchorCtr="0" upright="1">
                                  <a:noAutofit/>
                                </wps:bodyPr>
                              </wps:wsp>
                              <wpg:grpSp>
                                <wpg:cNvPr id="1784331757" name="Group 9"/>
                                <wpg:cNvGrpSpPr>
                                  <a:grpSpLocks/>
                                </wpg:cNvGrpSpPr>
                                <wpg:grpSpPr bwMode="auto">
                                  <a:xfrm>
                                    <a:off x="0" y="0"/>
                                    <a:ext cx="60598" cy="56310"/>
                                    <a:chOff x="0" y="0"/>
                                    <a:chExt cx="60598" cy="56310"/>
                                  </a:xfrm>
                                </wpg:grpSpPr>
                                <wps:wsp>
                                  <wps:cNvPr id="597407181" name="Rectangle 10"/>
                                  <wps:cNvSpPr>
                                    <a:spLocks/>
                                  </wps:cNvSpPr>
                                  <wps:spPr bwMode="auto">
                                    <a:xfrm>
                                      <a:off x="0" y="0"/>
                                      <a:ext cx="60598" cy="56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FB354E" w14:textId="77777777" w:rsidR="00316B62" w:rsidRDefault="00316B62">
                                        <w:pPr>
                                          <w:spacing w:line="240" w:lineRule="auto"/>
                                          <w:textDirection w:val="btLr"/>
                                        </w:pPr>
                                      </w:p>
                                    </w:txbxContent>
                                  </wps:txbx>
                                  <wps:bodyPr rot="0" vert="horz" wrap="square" lIns="88900" tIns="38100" rIns="88900" bIns="38100" anchor="ctr" anchorCtr="0" upright="1">
                                    <a:noAutofit/>
                                  </wps:bodyPr>
                                </wps:wsp>
                                <wpg:grpSp>
                                  <wpg:cNvPr id="1587154926" name="Group 11"/>
                                  <wpg:cNvGrpSpPr>
                                    <a:grpSpLocks/>
                                  </wpg:cNvGrpSpPr>
                                  <wpg:grpSpPr bwMode="auto">
                                    <a:xfrm>
                                      <a:off x="0" y="0"/>
                                      <a:ext cx="60598" cy="56310"/>
                                      <a:chOff x="0" y="0"/>
                                      <a:chExt cx="60598" cy="56310"/>
                                    </a:xfrm>
                                  </wpg:grpSpPr>
                                  <wps:wsp>
                                    <wps:cNvPr id="1298727350" name="Rectangle 12"/>
                                    <wps:cNvSpPr>
                                      <a:spLocks/>
                                    </wps:cNvSpPr>
                                    <wps:spPr bwMode="auto">
                                      <a:xfrm>
                                        <a:off x="0" y="0"/>
                                        <a:ext cx="60598" cy="56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47957C" w14:textId="77777777" w:rsidR="00316B62" w:rsidRDefault="00316B62">
                                          <w:pPr>
                                            <w:spacing w:line="240" w:lineRule="auto"/>
                                            <w:textDirection w:val="btLr"/>
                                          </w:pPr>
                                        </w:p>
                                      </w:txbxContent>
                                    </wps:txbx>
                                    <wps:bodyPr rot="0" vert="horz" wrap="square" lIns="88900" tIns="38100" rIns="88900" bIns="38100" anchor="ctr" anchorCtr="0" upright="1">
                                      <a:noAutofit/>
                                    </wps:bodyPr>
                                  </wps:wsp>
                                  <wpg:grpSp>
                                    <wpg:cNvPr id="1493170533" name="Group 13"/>
                                    <wpg:cNvGrpSpPr>
                                      <a:grpSpLocks/>
                                    </wpg:cNvGrpSpPr>
                                    <wpg:grpSpPr bwMode="auto">
                                      <a:xfrm>
                                        <a:off x="62" y="62"/>
                                        <a:ext cx="60473" cy="56184"/>
                                        <a:chOff x="0" y="0"/>
                                        <a:chExt cx="60473" cy="56183"/>
                                      </a:xfrm>
                                    </wpg:grpSpPr>
                                    <wps:wsp>
                                      <wps:cNvPr id="395295536" name="Rectangle 14"/>
                                      <wps:cNvSpPr>
                                        <a:spLocks/>
                                      </wps:cNvSpPr>
                                      <wps:spPr bwMode="auto">
                                        <a:xfrm>
                                          <a:off x="0" y="0"/>
                                          <a:ext cx="60473" cy="561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33B156" w14:textId="77777777" w:rsidR="00316B62" w:rsidRDefault="00316B62">
                                            <w:pPr>
                                              <w:spacing w:line="240" w:lineRule="auto"/>
                                              <w:textDirection w:val="btLr"/>
                                            </w:pPr>
                                          </w:p>
                                        </w:txbxContent>
                                      </wps:txbx>
                                      <wps:bodyPr rot="0" vert="horz" wrap="square" lIns="88900" tIns="38100" rIns="88900" bIns="38100" anchor="ctr" anchorCtr="0" upright="1">
                                        <a:noAutofit/>
                                      </wps:bodyPr>
                                    </wps:wsp>
                                    <wpg:grpSp>
                                      <wpg:cNvPr id="1897856932" name="Group 15"/>
                                      <wpg:cNvGrpSpPr>
                                        <a:grpSpLocks/>
                                      </wpg:cNvGrpSpPr>
                                      <wpg:grpSpPr bwMode="auto">
                                        <a:xfrm>
                                          <a:off x="0" y="0"/>
                                          <a:ext cx="60473" cy="56183"/>
                                          <a:chOff x="0" y="0"/>
                                          <a:chExt cx="60473" cy="56183"/>
                                        </a:xfrm>
                                      </wpg:grpSpPr>
                                      <wps:wsp>
                                        <wps:cNvPr id="1402445722" name="Rectangle 16"/>
                                        <wps:cNvSpPr>
                                          <a:spLocks/>
                                        </wps:cNvSpPr>
                                        <wps:spPr bwMode="auto">
                                          <a:xfrm>
                                            <a:off x="16379" y="0"/>
                                            <a:ext cx="26045" cy="4464"/>
                                          </a:xfrm>
                                          <a:prstGeom prst="rect">
                                            <a:avLst/>
                                          </a:prstGeom>
                                          <a:solidFill>
                                            <a:srgbClr val="DBE5F1"/>
                                          </a:solidFill>
                                          <a:ln w="12700">
                                            <a:solidFill>
                                              <a:srgbClr val="000000"/>
                                            </a:solidFill>
                                            <a:round/>
                                            <a:headEnd type="none" w="sm" len="sm"/>
                                            <a:tailEnd type="none" w="sm" len="sm"/>
                                          </a:ln>
                                        </wps:spPr>
                                        <wps:txbx>
                                          <w:txbxContent>
                                            <w:p w14:paraId="1CC2086C" w14:textId="77777777" w:rsidR="00316B62" w:rsidRDefault="003E5E21">
                                              <w:pPr>
                                                <w:spacing w:line="275" w:lineRule="auto"/>
                                                <w:jc w:val="center"/>
                                                <w:textDirection w:val="btLr"/>
                                              </w:pPr>
                                              <w:r>
                                                <w:rPr>
                                                  <w:rFonts w:ascii="Times New Roman" w:eastAsia="Times New Roman" w:hAnsi="Times New Roman" w:cs="Times New Roman"/>
                                                  <w:b/>
                                                  <w:color w:val="000000"/>
                                                  <w:sz w:val="36"/>
                                                </w:rPr>
                                                <w:t>Conceptual Framework</w:t>
                                              </w:r>
                                            </w:p>
                                          </w:txbxContent>
                                        </wps:txbx>
                                        <wps:bodyPr rot="0" vert="horz" wrap="square" lIns="88900" tIns="38100" rIns="88900" bIns="38100" anchor="t" anchorCtr="0" upright="1">
                                          <a:noAutofit/>
                                        </wps:bodyPr>
                                      </wps:wsp>
                                      <wpg:grpSp>
                                        <wpg:cNvPr id="152460496" name="Group 17"/>
                                        <wpg:cNvGrpSpPr>
                                          <a:grpSpLocks/>
                                        </wpg:cNvGrpSpPr>
                                        <wpg:grpSpPr bwMode="auto">
                                          <a:xfrm>
                                            <a:off x="17520" y="10262"/>
                                            <a:ext cx="25854" cy="37729"/>
                                            <a:chOff x="0" y="0"/>
                                            <a:chExt cx="25854" cy="37728"/>
                                          </a:xfrm>
                                        </wpg:grpSpPr>
                                        <wps:wsp>
                                          <wps:cNvPr id="506351303" name="Rectangle: Rounded Corners 18"/>
                                          <wps:cNvSpPr>
                                            <a:spLocks/>
                                          </wps:cNvSpPr>
                                          <wps:spPr bwMode="auto">
                                            <a:xfrm>
                                              <a:off x="1615" y="12163"/>
                                              <a:ext cx="22242" cy="12735"/>
                                            </a:xfrm>
                                            <a:prstGeom prst="roundRect">
                                              <a:avLst>
                                                <a:gd name="adj" fmla="val 16667"/>
                                              </a:avLst>
                                            </a:prstGeom>
                                            <a:solidFill>
                                              <a:srgbClr val="DAEEF3"/>
                                            </a:solidFill>
                                            <a:ln w="12700">
                                              <a:solidFill>
                                                <a:srgbClr val="000000"/>
                                              </a:solidFill>
                                              <a:round/>
                                              <a:headEnd type="none" w="sm" len="sm"/>
                                              <a:tailEnd type="none" w="sm" len="sm"/>
                                            </a:ln>
                                          </wps:spPr>
                                          <wps:txbx>
                                            <w:txbxContent>
                                              <w:p w14:paraId="0A025ED6" w14:textId="77777777" w:rsidR="00316B62" w:rsidRDefault="003E5E21">
                                                <w:pPr>
                                                  <w:spacing w:line="480" w:lineRule="auto"/>
                                                  <w:jc w:val="center"/>
                                                  <w:textDirection w:val="btLr"/>
                                                </w:pPr>
                                                <w:r>
                                                  <w:rPr>
                                                    <w:rFonts w:ascii="Times New Roman" w:eastAsia="Times New Roman" w:hAnsi="Times New Roman" w:cs="Times New Roman"/>
                                                    <w:b/>
                                                    <w:color w:val="000000"/>
                                                    <w:sz w:val="20"/>
                                                  </w:rPr>
                                                  <w:t>EVALUATING THE EFFECTIVENESS OF RENEWABLE WIND ENERGY POLICIES IN THE UK</w:t>
                                                </w:r>
                                              </w:p>
                                              <w:p w14:paraId="17FCF20A" w14:textId="77777777" w:rsidR="00316B62" w:rsidRDefault="00316B62">
                                                <w:pPr>
                                                  <w:spacing w:line="275" w:lineRule="auto"/>
                                                  <w:textDirection w:val="btLr"/>
                                                </w:pPr>
                                              </w:p>
                                            </w:txbxContent>
                                          </wps:txbx>
                                          <wps:bodyPr rot="0" vert="horz" wrap="square" lIns="88900" tIns="38100" rIns="88900" bIns="38100" anchor="t" anchorCtr="0" upright="1">
                                            <a:noAutofit/>
                                          </wps:bodyPr>
                                        </wps:wsp>
                                        <wps:wsp>
                                          <wps:cNvPr id="497952154" name="Rectangle 19"/>
                                          <wps:cNvSpPr>
                                            <a:spLocks/>
                                          </wps:cNvSpPr>
                                          <wps:spPr bwMode="auto">
                                            <a:xfrm>
                                              <a:off x="0" y="0"/>
                                              <a:ext cx="25474" cy="8647"/>
                                            </a:xfrm>
                                            <a:prstGeom prst="rect">
                                              <a:avLst/>
                                            </a:prstGeom>
                                            <a:gradFill rotWithShape="0">
                                              <a:gsLst>
                                                <a:gs pos="0">
                                                  <a:srgbClr val="E5B8B7"/>
                                                </a:gs>
                                                <a:gs pos="100000">
                                                  <a:srgbClr val="FFFFFF"/>
                                                </a:gs>
                                              </a:gsLst>
                                              <a:lin ang="16200000"/>
                                            </a:gradFill>
                                            <a:ln w="12700">
                                              <a:solidFill>
                                                <a:srgbClr val="D99594"/>
                                              </a:solidFill>
                                              <a:round/>
                                              <a:headEnd type="none" w="sm" len="sm"/>
                                              <a:tailEnd type="none" w="sm" len="sm"/>
                                            </a:ln>
                                          </wps:spPr>
                                          <wps:txbx>
                                            <w:txbxContent>
                                              <w:p w14:paraId="2EE137E5" w14:textId="77777777" w:rsidR="00316B62" w:rsidRDefault="003E5E21">
                                                <w:pPr>
                                                  <w:spacing w:line="275" w:lineRule="auto"/>
                                                  <w:textDirection w:val="btLr"/>
                                                </w:pPr>
                                                <w:r>
                                                  <w:rPr>
                                                    <w:rFonts w:ascii="Times New Roman" w:eastAsia="Times New Roman" w:hAnsi="Times New Roman" w:cs="Times New Roman"/>
                                                    <w:b/>
                                                    <w:color w:val="000000"/>
                                                    <w:sz w:val="16"/>
                                                  </w:rPr>
                                                  <w:t>Concept of Renewable Wind Energy</w:t>
                                                </w:r>
                                              </w:p>
                                            </w:txbxContent>
                                          </wps:txbx>
                                          <wps:bodyPr rot="0" vert="horz" wrap="square" lIns="88900" tIns="38100" rIns="88900" bIns="38100" anchor="t" anchorCtr="0" upright="1">
                                            <a:noAutofit/>
                                          </wps:bodyPr>
                                        </wps:wsp>
                                        <wps:wsp>
                                          <wps:cNvPr id="575923498" name="Rectangle 20"/>
                                          <wps:cNvSpPr>
                                            <a:spLocks/>
                                          </wps:cNvSpPr>
                                          <wps:spPr bwMode="auto">
                                            <a:xfrm>
                                              <a:off x="380" y="29080"/>
                                              <a:ext cx="25474" cy="8648"/>
                                            </a:xfrm>
                                            <a:prstGeom prst="rect">
                                              <a:avLst/>
                                            </a:prstGeom>
                                            <a:gradFill rotWithShape="0">
                                              <a:gsLst>
                                                <a:gs pos="0">
                                                  <a:srgbClr val="FBD4B4"/>
                                                </a:gs>
                                                <a:gs pos="100000">
                                                  <a:srgbClr val="FFFFFF"/>
                                                </a:gs>
                                              </a:gsLst>
                                              <a:lin ang="16200000"/>
                                            </a:gradFill>
                                            <a:ln w="12700">
                                              <a:solidFill>
                                                <a:srgbClr val="FABF8F"/>
                                              </a:solidFill>
                                              <a:round/>
                                              <a:headEnd type="none" w="sm" len="sm"/>
                                              <a:tailEnd type="none" w="sm" len="sm"/>
                                            </a:ln>
                                          </wps:spPr>
                                          <wps:txbx>
                                            <w:txbxContent>
                                              <w:p w14:paraId="16A06DFF" w14:textId="77777777" w:rsidR="00316B62" w:rsidRDefault="003E5E21">
                                                <w:pPr>
                                                  <w:spacing w:line="275" w:lineRule="auto"/>
                                                  <w:textDirection w:val="btLr"/>
                                                </w:pPr>
                                                <w:r>
                                                  <w:rPr>
                                                    <w:rFonts w:ascii="Times New Roman" w:eastAsia="Times New Roman" w:hAnsi="Times New Roman" w:cs="Times New Roman"/>
                                                    <w:b/>
                                                    <w:color w:val="000000"/>
                                                    <w:sz w:val="16"/>
                                                  </w:rPr>
                                                  <w:t>Potential Opportunities for the Future Development of Wind Energy in the UK</w:t>
                                                </w:r>
                                              </w:p>
                                            </w:txbxContent>
                                          </wps:txbx>
                                          <wps:bodyPr rot="0" vert="horz" wrap="square" lIns="88900" tIns="38100" rIns="88900" bIns="38100" anchor="t" anchorCtr="0" upright="1">
                                            <a:noAutofit/>
                                          </wps:bodyPr>
                                        </wps:wsp>
                                        <wps:wsp>
                                          <wps:cNvPr id="1010278879" name="Freeform: Shape 21"/>
                                          <wps:cNvSpPr>
                                            <a:spLocks/>
                                          </wps:cNvSpPr>
                                          <wps:spPr bwMode="auto">
                                            <a:xfrm rot="10800000">
                                              <a:off x="11976" y="8647"/>
                                              <a:ext cx="0" cy="3516"/>
                                            </a:xfrm>
                                            <a:custGeom>
                                              <a:avLst/>
                                              <a:gdLst>
                                                <a:gd name="T0" fmla="*/ 0 w 1"/>
                                                <a:gd name="T1" fmla="*/ 0 h 351608"/>
                                                <a:gd name="T2" fmla="*/ 0 w 1"/>
                                                <a:gd name="T3" fmla="*/ 351608 h 351608"/>
                                              </a:gdLst>
                                              <a:ahLst/>
                                              <a:cxnLst>
                                                <a:cxn ang="0">
                                                  <a:pos x="T0" y="T1"/>
                                                </a:cxn>
                                                <a:cxn ang="0">
                                                  <a:pos x="T2" y="T3"/>
                                                </a:cxn>
                                              </a:cxnLst>
                                              <a:rect l="0" t="0" r="r" b="b"/>
                                              <a:pathLst>
                                                <a:path w="1" h="351608" extrusionOk="0">
                                                  <a:moveTo>
                                                    <a:pt x="0" y="0"/>
                                                  </a:moveTo>
                                                  <a:lnTo>
                                                    <a:pt x="0" y="351608"/>
                                                  </a:lnTo>
                                                </a:path>
                                              </a:pathLst>
                                            </a:custGeom>
                                            <a:solidFill>
                                              <a:srgbClr val="FFFFFF"/>
                                            </a:solidFill>
                                            <a:ln w="12700">
                                              <a:solidFill>
                                                <a:srgbClr val="000000"/>
                                              </a:solidFill>
                                              <a:round/>
                                              <a:headEnd type="none" w="sm" len="sm"/>
                                              <a:tailEnd type="triangle" w="med" len="med"/>
                                            </a:ln>
                                          </wps:spPr>
                                          <wps:bodyPr rot="0" vert="horz" wrap="square" lIns="91440" tIns="45720" rIns="91440" bIns="45720" anchor="ctr" anchorCtr="0" upright="1">
                                            <a:noAutofit/>
                                          </wps:bodyPr>
                                        </wps:wsp>
                                      </wpg:grpSp>
                                      <wps:wsp>
                                        <wps:cNvPr id="428345975" name="Rectangle 22"/>
                                        <wps:cNvSpPr>
                                          <a:spLocks/>
                                        </wps:cNvSpPr>
                                        <wps:spPr bwMode="auto">
                                          <a:xfrm>
                                            <a:off x="0" y="30599"/>
                                            <a:ext cx="14643" cy="10220"/>
                                          </a:xfrm>
                                          <a:prstGeom prst="rect">
                                            <a:avLst/>
                                          </a:prstGeom>
                                          <a:gradFill rotWithShape="0">
                                            <a:gsLst>
                                              <a:gs pos="0">
                                                <a:srgbClr val="CCC0D9"/>
                                              </a:gs>
                                              <a:gs pos="100000">
                                                <a:srgbClr val="FFFFFF"/>
                                              </a:gs>
                                            </a:gsLst>
                                            <a:lin ang="16200000"/>
                                          </a:gradFill>
                                          <a:ln w="12700">
                                            <a:solidFill>
                                              <a:srgbClr val="B2A1C7"/>
                                            </a:solidFill>
                                            <a:round/>
                                            <a:headEnd type="none" w="sm" len="sm"/>
                                            <a:tailEnd type="none" w="sm" len="sm"/>
                                          </a:ln>
                                        </wps:spPr>
                                        <wps:txbx>
                                          <w:txbxContent>
                                            <w:p w14:paraId="171BCEC6" w14:textId="77777777" w:rsidR="00316B62" w:rsidRDefault="003E5E21">
                                              <w:pPr>
                                                <w:spacing w:line="275" w:lineRule="auto"/>
                                                <w:textDirection w:val="btLr"/>
                                              </w:pPr>
                                              <w:r>
                                                <w:rPr>
                                                  <w:rFonts w:ascii="Times New Roman" w:eastAsia="Times New Roman" w:hAnsi="Times New Roman" w:cs="Times New Roman"/>
                                                  <w:b/>
                                                  <w:color w:val="000000"/>
                                                  <w:sz w:val="16"/>
                                                </w:rPr>
                                                <w:t>Role of UK Policies on Capacity Expansion, Investment Growth, and Cost Competitiveness</w:t>
                                              </w:r>
                                            </w:p>
                                          </w:txbxContent>
                                        </wps:txbx>
                                        <wps:bodyPr rot="0" vert="horz" wrap="square" lIns="88900" tIns="38100" rIns="88900" bIns="38100" anchor="t" anchorCtr="0" upright="1">
                                          <a:noAutofit/>
                                        </wps:bodyPr>
                                      </wps:wsp>
                                      <wps:wsp>
                                        <wps:cNvPr id="1060388555" name="Rectangle 23"/>
                                        <wps:cNvSpPr>
                                          <a:spLocks/>
                                        </wps:cNvSpPr>
                                        <wps:spPr bwMode="auto">
                                          <a:xfrm>
                                            <a:off x="1032" y="18599"/>
                                            <a:ext cx="13972" cy="8782"/>
                                          </a:xfrm>
                                          <a:prstGeom prst="rect">
                                            <a:avLst/>
                                          </a:prstGeom>
                                          <a:gradFill rotWithShape="0">
                                            <a:gsLst>
                                              <a:gs pos="0">
                                                <a:srgbClr val="CCC0D9"/>
                                              </a:gs>
                                              <a:gs pos="100000">
                                                <a:srgbClr val="FFFFFF"/>
                                              </a:gs>
                                            </a:gsLst>
                                            <a:lin ang="16200000"/>
                                          </a:gradFill>
                                          <a:ln w="12700">
                                            <a:solidFill>
                                              <a:srgbClr val="B2A1C7"/>
                                            </a:solidFill>
                                            <a:round/>
                                            <a:headEnd type="none" w="sm" len="sm"/>
                                            <a:tailEnd type="none" w="sm" len="sm"/>
                                          </a:ln>
                                        </wps:spPr>
                                        <wps:txbx>
                                          <w:txbxContent>
                                            <w:p w14:paraId="220FA23F" w14:textId="77777777" w:rsidR="00316B62" w:rsidRDefault="003E5E21">
                                              <w:pPr>
                                                <w:spacing w:line="275" w:lineRule="auto"/>
                                                <w:jc w:val="center"/>
                                                <w:textDirection w:val="btLr"/>
                                              </w:pPr>
                                              <w:r>
                                                <w:rPr>
                                                  <w:rFonts w:ascii="Times New Roman" w:eastAsia="Times New Roman" w:hAnsi="Times New Roman" w:cs="Times New Roman"/>
                                                  <w:b/>
                                                  <w:color w:val="000000"/>
                                                  <w:sz w:val="16"/>
                                                </w:rPr>
                                                <w:t>Impact of the Policies on Development of both Onshore and Offshore Wind Energy Projects</w:t>
                                              </w:r>
                                            </w:p>
                                          </w:txbxContent>
                                        </wps:txbx>
                                        <wps:bodyPr rot="0" vert="horz" wrap="square" lIns="88900" tIns="38100" rIns="88900" bIns="38100" anchor="t" anchorCtr="0" upright="1">
                                          <a:noAutofit/>
                                        </wps:bodyPr>
                                      </wps:wsp>
                                      <wps:wsp>
                                        <wps:cNvPr id="127833398" name="Freeform: Shape 24"/>
                                        <wps:cNvSpPr>
                                          <a:spLocks/>
                                        </wps:cNvSpPr>
                                        <wps:spPr bwMode="auto">
                                          <a:xfrm>
                                            <a:off x="7090" y="27362"/>
                                            <a:ext cx="2084" cy="3111"/>
                                          </a:xfrm>
                                          <a:custGeom>
                                            <a:avLst/>
                                            <a:gdLst>
                                              <a:gd name="T0" fmla="*/ 0 w 208403"/>
                                              <a:gd name="T1" fmla="*/ 233322 h 311098"/>
                                              <a:gd name="T2" fmla="*/ 52099 w 208403"/>
                                              <a:gd name="T3" fmla="*/ 233322 h 311098"/>
                                              <a:gd name="T4" fmla="*/ 52099 w 208403"/>
                                              <a:gd name="T5" fmla="*/ 0 h 311098"/>
                                              <a:gd name="T6" fmla="*/ 156301 w 208403"/>
                                              <a:gd name="T7" fmla="*/ 0 h 311098"/>
                                              <a:gd name="T8" fmla="*/ 156301 w 208403"/>
                                              <a:gd name="T9" fmla="*/ 233322 h 311098"/>
                                              <a:gd name="T10" fmla="*/ 208403 w 208403"/>
                                              <a:gd name="T11" fmla="*/ 233322 h 311098"/>
                                              <a:gd name="T12" fmla="*/ 104200 w 208403"/>
                                              <a:gd name="T13" fmla="*/ 311098 h 311098"/>
                                              <a:gd name="T14" fmla="*/ 0 w 208403"/>
                                              <a:gd name="T15" fmla="*/ 233322 h 311098"/>
                                              <a:gd name="T16" fmla="*/ 0 w 208403"/>
                                              <a:gd name="T17" fmla="*/ 0 h 311098"/>
                                              <a:gd name="T18" fmla="*/ 208403 w 208403"/>
                                              <a:gd name="T19" fmla="*/ 311098 h 311098"/>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208403" h="311098" extrusionOk="0">
                                                <a:moveTo>
                                                  <a:pt x="0" y="233322"/>
                                                </a:moveTo>
                                                <a:lnTo>
                                                  <a:pt x="52099" y="233322"/>
                                                </a:lnTo>
                                                <a:lnTo>
                                                  <a:pt x="52099" y="0"/>
                                                </a:lnTo>
                                                <a:lnTo>
                                                  <a:pt x="156301" y="0"/>
                                                </a:lnTo>
                                                <a:lnTo>
                                                  <a:pt x="156301" y="233322"/>
                                                </a:lnTo>
                                                <a:lnTo>
                                                  <a:pt x="208403" y="233322"/>
                                                </a:lnTo>
                                                <a:lnTo>
                                                  <a:pt x="104200" y="311098"/>
                                                </a:lnTo>
                                                <a:lnTo>
                                                  <a:pt x="0" y="233322"/>
                                                </a:lnTo>
                                                <a:close/>
                                              </a:path>
                                            </a:pathLst>
                                          </a:custGeom>
                                          <a:solidFill>
                                            <a:srgbClr val="C4BC96"/>
                                          </a:solidFill>
                                          <a:ln w="12700">
                                            <a:solidFill>
                                              <a:srgbClr val="000000"/>
                                            </a:solidFill>
                                            <a:miter lim="8000"/>
                                            <a:headEnd type="none" w="sm" len="sm"/>
                                            <a:tailEnd type="none" w="sm" len="sm"/>
                                          </a:ln>
                                        </wps:spPr>
                                        <wps:txbx>
                                          <w:txbxContent>
                                            <w:p w14:paraId="6726905D" w14:textId="77777777" w:rsidR="00316B62" w:rsidRDefault="00316B62">
                                              <w:pPr>
                                                <w:spacing w:line="240" w:lineRule="auto"/>
                                                <w:textDirection w:val="btLr"/>
                                              </w:pPr>
                                            </w:p>
                                          </w:txbxContent>
                                        </wps:txbx>
                                        <wps:bodyPr rot="0" vert="horz" wrap="square" lIns="88900" tIns="38100" rIns="88900" bIns="38100" anchor="ctr" anchorCtr="0" upright="1">
                                          <a:noAutofit/>
                                        </wps:bodyPr>
                                      </wps:wsp>
                                      <wps:wsp>
                                        <wps:cNvPr id="1798496331" name="Rectangle 25"/>
                                        <wps:cNvSpPr>
                                          <a:spLocks/>
                                        </wps:cNvSpPr>
                                        <wps:spPr bwMode="auto">
                                          <a:xfrm>
                                            <a:off x="1349" y="7620"/>
                                            <a:ext cx="13294" cy="8268"/>
                                          </a:xfrm>
                                          <a:prstGeom prst="rect">
                                            <a:avLst/>
                                          </a:prstGeom>
                                          <a:gradFill rotWithShape="0">
                                            <a:gsLst>
                                              <a:gs pos="0">
                                                <a:srgbClr val="CCC0D9"/>
                                              </a:gs>
                                              <a:gs pos="100000">
                                                <a:srgbClr val="FFFFFF"/>
                                              </a:gs>
                                            </a:gsLst>
                                            <a:lin ang="16200000"/>
                                          </a:gradFill>
                                          <a:ln w="12700">
                                            <a:solidFill>
                                              <a:srgbClr val="B2A1C7"/>
                                            </a:solidFill>
                                            <a:round/>
                                            <a:headEnd type="none" w="sm" len="sm"/>
                                            <a:tailEnd type="none" w="sm" len="sm"/>
                                          </a:ln>
                                        </wps:spPr>
                                        <wps:txbx>
                                          <w:txbxContent>
                                            <w:p w14:paraId="549A51CB" w14:textId="77777777" w:rsidR="00316B62" w:rsidRDefault="003E5E21">
                                              <w:pPr>
                                                <w:spacing w:line="275" w:lineRule="auto"/>
                                                <w:textDirection w:val="btLr"/>
                                              </w:pPr>
                                              <w:r>
                                                <w:rPr>
                                                  <w:rFonts w:ascii="Times New Roman" w:eastAsia="Times New Roman" w:hAnsi="Times New Roman" w:cs="Times New Roman"/>
                                                  <w:b/>
                                                  <w:color w:val="000000"/>
                                                  <w:sz w:val="16"/>
                                                </w:rPr>
                                                <w:t>Evolution of Wind Energy Policies and Key Policy Instruments in the UK</w:t>
                                              </w:r>
                                            </w:p>
                                          </w:txbxContent>
                                        </wps:txbx>
                                        <wps:bodyPr rot="0" vert="horz" wrap="square" lIns="88900" tIns="38100" rIns="88900" bIns="38100" anchor="t" anchorCtr="0" upright="1">
                                          <a:noAutofit/>
                                        </wps:bodyPr>
                                      </wps:wsp>
                                      <wps:wsp>
                                        <wps:cNvPr id="887892545" name="Freeform: Shape 26"/>
                                        <wps:cNvSpPr>
                                          <a:spLocks/>
                                        </wps:cNvSpPr>
                                        <wps:spPr bwMode="auto">
                                          <a:xfrm>
                                            <a:off x="7090" y="16160"/>
                                            <a:ext cx="2566" cy="2490"/>
                                          </a:xfrm>
                                          <a:custGeom>
                                            <a:avLst/>
                                            <a:gdLst>
                                              <a:gd name="T0" fmla="*/ 0 w 256604"/>
                                              <a:gd name="T1" fmla="*/ 186748 h 248999"/>
                                              <a:gd name="T2" fmla="*/ 64149 w 256604"/>
                                              <a:gd name="T3" fmla="*/ 186748 h 248999"/>
                                              <a:gd name="T4" fmla="*/ 64149 w 256604"/>
                                              <a:gd name="T5" fmla="*/ 0 h 248999"/>
                                              <a:gd name="T6" fmla="*/ 192452 w 256604"/>
                                              <a:gd name="T7" fmla="*/ 0 h 248999"/>
                                              <a:gd name="T8" fmla="*/ 192452 w 256604"/>
                                              <a:gd name="T9" fmla="*/ 186748 h 248999"/>
                                              <a:gd name="T10" fmla="*/ 256604 w 256604"/>
                                              <a:gd name="T11" fmla="*/ 186748 h 248999"/>
                                              <a:gd name="T12" fmla="*/ 128301 w 256604"/>
                                              <a:gd name="T13" fmla="*/ 248999 h 248999"/>
                                              <a:gd name="T14" fmla="*/ 0 w 256604"/>
                                              <a:gd name="T15" fmla="*/ 186748 h 248999"/>
                                              <a:gd name="T16" fmla="*/ 0 w 256604"/>
                                              <a:gd name="T17" fmla="*/ 0 h 248999"/>
                                              <a:gd name="T18" fmla="*/ 256604 w 256604"/>
                                              <a:gd name="T19" fmla="*/ 248999 h 248999"/>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256604" h="248999" extrusionOk="0">
                                                <a:moveTo>
                                                  <a:pt x="0" y="186748"/>
                                                </a:moveTo>
                                                <a:lnTo>
                                                  <a:pt x="64149" y="186748"/>
                                                </a:lnTo>
                                                <a:lnTo>
                                                  <a:pt x="64149" y="0"/>
                                                </a:lnTo>
                                                <a:lnTo>
                                                  <a:pt x="192452" y="0"/>
                                                </a:lnTo>
                                                <a:lnTo>
                                                  <a:pt x="192452" y="186748"/>
                                                </a:lnTo>
                                                <a:lnTo>
                                                  <a:pt x="256604" y="186748"/>
                                                </a:lnTo>
                                                <a:lnTo>
                                                  <a:pt x="128301" y="248999"/>
                                                </a:lnTo>
                                                <a:lnTo>
                                                  <a:pt x="0" y="186748"/>
                                                </a:lnTo>
                                                <a:close/>
                                              </a:path>
                                            </a:pathLst>
                                          </a:custGeom>
                                          <a:solidFill>
                                            <a:srgbClr val="C4BC96"/>
                                          </a:solidFill>
                                          <a:ln w="12700">
                                            <a:solidFill>
                                              <a:srgbClr val="000000"/>
                                            </a:solidFill>
                                            <a:miter lim="8000"/>
                                            <a:headEnd type="none" w="sm" len="sm"/>
                                            <a:tailEnd type="none" w="sm" len="sm"/>
                                          </a:ln>
                                        </wps:spPr>
                                        <wps:txbx>
                                          <w:txbxContent>
                                            <w:p w14:paraId="3318133F" w14:textId="77777777" w:rsidR="00316B62" w:rsidRDefault="00316B62">
                                              <w:pPr>
                                                <w:spacing w:line="240" w:lineRule="auto"/>
                                                <w:textDirection w:val="btLr"/>
                                              </w:pPr>
                                            </w:p>
                                          </w:txbxContent>
                                        </wps:txbx>
                                        <wps:bodyPr rot="0" vert="horz" wrap="square" lIns="88900" tIns="38100" rIns="88900" bIns="38100" anchor="ctr" anchorCtr="0" upright="1">
                                          <a:noAutofit/>
                                        </wps:bodyPr>
                                      </wps:wsp>
                                      <wps:wsp>
                                        <wps:cNvPr id="908083597" name="Rectangle 27"/>
                                        <wps:cNvSpPr>
                                          <a:spLocks/>
                                        </wps:cNvSpPr>
                                        <wps:spPr bwMode="auto">
                                          <a:xfrm>
                                            <a:off x="47176" y="23465"/>
                                            <a:ext cx="13297" cy="8319"/>
                                          </a:xfrm>
                                          <a:prstGeom prst="rect">
                                            <a:avLst/>
                                          </a:prstGeom>
                                          <a:gradFill rotWithShape="0">
                                            <a:gsLst>
                                              <a:gs pos="0">
                                                <a:srgbClr val="CCC0D9"/>
                                              </a:gs>
                                              <a:gs pos="100000">
                                                <a:srgbClr val="FFFFFF"/>
                                              </a:gs>
                                            </a:gsLst>
                                            <a:lin ang="16200000"/>
                                          </a:gradFill>
                                          <a:ln w="12700">
                                            <a:solidFill>
                                              <a:srgbClr val="B2A1C7"/>
                                            </a:solidFill>
                                            <a:round/>
                                            <a:headEnd type="none" w="sm" len="sm"/>
                                            <a:tailEnd type="none" w="sm" len="sm"/>
                                          </a:ln>
                                        </wps:spPr>
                                        <wps:txbx>
                                          <w:txbxContent>
                                            <w:p w14:paraId="52147F47" w14:textId="77777777" w:rsidR="00316B62" w:rsidRDefault="003E5E21">
                                              <w:pPr>
                                                <w:spacing w:line="275" w:lineRule="auto"/>
                                                <w:textDirection w:val="btLr"/>
                                              </w:pPr>
                                              <w:r>
                                                <w:rPr>
                                                  <w:rFonts w:ascii="Times New Roman" w:eastAsia="Times New Roman" w:hAnsi="Times New Roman" w:cs="Times New Roman"/>
                                                  <w:b/>
                                                  <w:i/>
                                                  <w:color w:val="000000"/>
                                                </w:rPr>
                                                <w:t>Multi-Level Governance (MLG) Framework</w:t>
                                              </w:r>
                                            </w:p>
                                          </w:txbxContent>
                                        </wps:txbx>
                                        <wps:bodyPr rot="0" vert="horz" wrap="square" lIns="88900" tIns="38100" rIns="88900" bIns="38100" anchor="t" anchorCtr="0" upright="1">
                                          <a:noAutofit/>
                                        </wps:bodyPr>
                                      </wps:wsp>
                                      <wps:wsp>
                                        <wps:cNvPr id="742122237" name="Rectangle 28"/>
                                        <wps:cNvSpPr>
                                          <a:spLocks/>
                                        </wps:cNvSpPr>
                                        <wps:spPr bwMode="auto">
                                          <a:xfrm>
                                            <a:off x="75" y="45964"/>
                                            <a:ext cx="14645" cy="10219"/>
                                          </a:xfrm>
                                          <a:prstGeom prst="rect">
                                            <a:avLst/>
                                          </a:prstGeom>
                                          <a:gradFill rotWithShape="0">
                                            <a:gsLst>
                                              <a:gs pos="0">
                                                <a:srgbClr val="CCC0D9"/>
                                              </a:gs>
                                              <a:gs pos="100000">
                                                <a:srgbClr val="FFFFFF"/>
                                              </a:gs>
                                            </a:gsLst>
                                            <a:lin ang="16200000"/>
                                          </a:gradFill>
                                          <a:ln w="12700">
                                            <a:solidFill>
                                              <a:srgbClr val="B2A1C7"/>
                                            </a:solidFill>
                                            <a:round/>
                                            <a:headEnd type="none" w="sm" len="sm"/>
                                            <a:tailEnd type="none" w="sm" len="sm"/>
                                          </a:ln>
                                        </wps:spPr>
                                        <wps:txbx>
                                          <w:txbxContent>
                                            <w:p w14:paraId="4336029C" w14:textId="77777777" w:rsidR="00316B62" w:rsidRDefault="003E5E21">
                                              <w:pPr>
                                                <w:spacing w:line="275" w:lineRule="auto"/>
                                                <w:textDirection w:val="btLr"/>
                                              </w:pPr>
                                              <w:r>
                                                <w:rPr>
                                                  <w:rFonts w:ascii="Times New Roman" w:eastAsia="Times New Roman" w:hAnsi="Times New Roman" w:cs="Times New Roman"/>
                                                  <w:b/>
                                                  <w:color w:val="000000"/>
                                                  <w:sz w:val="16"/>
                                                </w:rPr>
                                                <w:t>Challenges in the Development of Wind Energy concerning these Policies in UK</w:t>
                                              </w:r>
                                            </w:p>
                                          </w:txbxContent>
                                        </wps:txbx>
                                        <wps:bodyPr rot="0" vert="horz" wrap="square" lIns="88900" tIns="38100" rIns="88900" bIns="38100" anchor="t" anchorCtr="0" upright="1">
                                          <a:noAutofit/>
                                        </wps:bodyPr>
                                      </wps:wsp>
                                      <wps:wsp>
                                        <wps:cNvPr id="1352330988" name="Freeform: Shape 29"/>
                                        <wps:cNvSpPr>
                                          <a:spLocks/>
                                        </wps:cNvSpPr>
                                        <wps:spPr bwMode="auto">
                                          <a:xfrm>
                                            <a:off x="6526" y="41364"/>
                                            <a:ext cx="2085" cy="4479"/>
                                          </a:xfrm>
                                          <a:custGeom>
                                            <a:avLst/>
                                            <a:gdLst>
                                              <a:gd name="T0" fmla="*/ 0 w 208503"/>
                                              <a:gd name="T1" fmla="*/ 335922 h 447898"/>
                                              <a:gd name="T2" fmla="*/ 52124 w 208503"/>
                                              <a:gd name="T3" fmla="*/ 335922 h 447898"/>
                                              <a:gd name="T4" fmla="*/ 52124 w 208503"/>
                                              <a:gd name="T5" fmla="*/ 0 h 447898"/>
                                              <a:gd name="T6" fmla="*/ 156376 w 208503"/>
                                              <a:gd name="T7" fmla="*/ 0 h 447898"/>
                                              <a:gd name="T8" fmla="*/ 156376 w 208503"/>
                                              <a:gd name="T9" fmla="*/ 335922 h 447898"/>
                                              <a:gd name="T10" fmla="*/ 208503 w 208503"/>
                                              <a:gd name="T11" fmla="*/ 335922 h 447898"/>
                                              <a:gd name="T12" fmla="*/ 104250 w 208503"/>
                                              <a:gd name="T13" fmla="*/ 447898 h 447898"/>
                                              <a:gd name="T14" fmla="*/ 0 w 208503"/>
                                              <a:gd name="T15" fmla="*/ 335922 h 447898"/>
                                              <a:gd name="T16" fmla="*/ 0 w 208503"/>
                                              <a:gd name="T17" fmla="*/ 0 h 447898"/>
                                              <a:gd name="T18" fmla="*/ 208503 w 208503"/>
                                              <a:gd name="T19" fmla="*/ 447898 h 447898"/>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208503" h="447898" extrusionOk="0">
                                                <a:moveTo>
                                                  <a:pt x="0" y="335922"/>
                                                </a:moveTo>
                                                <a:lnTo>
                                                  <a:pt x="52124" y="335922"/>
                                                </a:lnTo>
                                                <a:lnTo>
                                                  <a:pt x="52124" y="0"/>
                                                </a:lnTo>
                                                <a:lnTo>
                                                  <a:pt x="156376" y="0"/>
                                                </a:lnTo>
                                                <a:lnTo>
                                                  <a:pt x="156376" y="335922"/>
                                                </a:lnTo>
                                                <a:lnTo>
                                                  <a:pt x="208503" y="335922"/>
                                                </a:lnTo>
                                                <a:lnTo>
                                                  <a:pt x="104250" y="447898"/>
                                                </a:lnTo>
                                                <a:lnTo>
                                                  <a:pt x="0" y="335922"/>
                                                </a:lnTo>
                                                <a:close/>
                                              </a:path>
                                            </a:pathLst>
                                          </a:custGeom>
                                          <a:solidFill>
                                            <a:srgbClr val="C4BC96"/>
                                          </a:solidFill>
                                          <a:ln w="12700">
                                            <a:solidFill>
                                              <a:srgbClr val="000000"/>
                                            </a:solidFill>
                                            <a:miter lim="8000"/>
                                            <a:headEnd type="none" w="sm" len="sm"/>
                                            <a:tailEnd type="none" w="sm" len="sm"/>
                                          </a:ln>
                                        </wps:spPr>
                                        <wps:txbx>
                                          <w:txbxContent>
                                            <w:p w14:paraId="7CE37EF2" w14:textId="77777777" w:rsidR="00316B62" w:rsidRDefault="00316B62">
                                              <w:pPr>
                                                <w:spacing w:line="240" w:lineRule="auto"/>
                                                <w:textDirection w:val="btLr"/>
                                              </w:pPr>
                                            </w:p>
                                          </w:txbxContent>
                                        </wps:txbx>
                                        <wps:bodyPr rot="0" vert="horz" wrap="square" lIns="88900" tIns="38100" rIns="88900" bIns="38100" anchor="ctr" anchorCtr="0" upright="1">
                                          <a:noAutofit/>
                                        </wps:bodyPr>
                                      </wps:wsp>
                                    </wpg:grpSp>
                                    <wps:wsp>
                                      <wps:cNvPr id="1522051824" name="Rectangle 30"/>
                                      <wps:cNvSpPr>
                                        <a:spLocks/>
                                      </wps:cNvSpPr>
                                      <wps:spPr bwMode="auto">
                                        <a:xfrm>
                                          <a:off x="47526" y="11098"/>
                                          <a:ext cx="12915" cy="7938"/>
                                        </a:xfrm>
                                        <a:prstGeom prst="rect">
                                          <a:avLst/>
                                        </a:prstGeom>
                                        <a:gradFill rotWithShape="0">
                                          <a:gsLst>
                                            <a:gs pos="0">
                                              <a:srgbClr val="CCC0D9"/>
                                            </a:gs>
                                            <a:gs pos="100000">
                                              <a:srgbClr val="FFFFFF"/>
                                            </a:gs>
                                          </a:gsLst>
                                          <a:lin ang="16200000"/>
                                        </a:gradFill>
                                        <a:ln w="12700">
                                          <a:solidFill>
                                            <a:srgbClr val="B2A1C7"/>
                                          </a:solidFill>
                                          <a:round/>
                                          <a:headEnd type="none" w="sm" len="sm"/>
                                          <a:tailEnd type="none" w="sm" len="sm"/>
                                        </a:ln>
                                      </wps:spPr>
                                      <wps:txbx>
                                        <w:txbxContent>
                                          <w:p w14:paraId="4F82405A" w14:textId="77777777" w:rsidR="00316B62" w:rsidRDefault="003E5E21">
                                            <w:pPr>
                                              <w:spacing w:line="275" w:lineRule="auto"/>
                                              <w:textDirection w:val="btLr"/>
                                            </w:pPr>
                                            <w:r>
                                              <w:rPr>
                                                <w:rFonts w:ascii="Times New Roman" w:eastAsia="Times New Roman" w:hAnsi="Times New Roman" w:cs="Times New Roman"/>
                                                <w:b/>
                                                <w:i/>
                                                <w:color w:val="000000"/>
                                              </w:rPr>
                                              <w:t>Innovation System Theory</w:t>
                                            </w:r>
                                          </w:p>
                                        </w:txbxContent>
                                      </wps:txbx>
                                      <wps:bodyPr rot="0" vert="horz" wrap="square" lIns="88900" tIns="38100" rIns="88900" bIns="38100" anchor="t" anchorCtr="0" upright="1">
                                        <a:noAutofit/>
                                      </wps:bodyPr>
                                    </wps:wsp>
                                    <wps:wsp>
                                      <wps:cNvPr id="2032831808" name="Freeform: Shape 31"/>
                                      <wps:cNvSpPr>
                                        <a:spLocks/>
                                      </wps:cNvSpPr>
                                      <wps:spPr bwMode="auto">
                                        <a:xfrm>
                                          <a:off x="54521" y="32082"/>
                                          <a:ext cx="0" cy="4030"/>
                                        </a:xfrm>
                                        <a:custGeom>
                                          <a:avLst/>
                                          <a:gdLst>
                                            <a:gd name="T0" fmla="*/ 0 w 1"/>
                                            <a:gd name="T1" fmla="*/ 0 h 402998"/>
                                            <a:gd name="T2" fmla="*/ 0 w 1"/>
                                            <a:gd name="T3" fmla="*/ 402998 h 402998"/>
                                          </a:gdLst>
                                          <a:ahLst/>
                                          <a:cxnLst>
                                            <a:cxn ang="0">
                                              <a:pos x="T0" y="T1"/>
                                            </a:cxn>
                                            <a:cxn ang="0">
                                              <a:pos x="T2" y="T3"/>
                                            </a:cxn>
                                          </a:cxnLst>
                                          <a:rect l="0" t="0" r="r" b="b"/>
                                          <a:pathLst>
                                            <a:path w="1" h="402998" extrusionOk="0">
                                              <a:moveTo>
                                                <a:pt x="0" y="0"/>
                                              </a:moveTo>
                                              <a:lnTo>
                                                <a:pt x="0" y="402998"/>
                                              </a:lnTo>
                                            </a:path>
                                          </a:pathLst>
                                        </a:custGeom>
                                        <a:solidFill>
                                          <a:srgbClr val="FFFFFF"/>
                                        </a:solidFill>
                                        <a:ln w="12700">
                                          <a:solidFill>
                                            <a:srgbClr val="4579B8"/>
                                          </a:solidFill>
                                          <a:round/>
                                          <a:headEnd type="none" w="sm" len="sm"/>
                                          <a:tailEnd type="triangle" w="med" len="med"/>
                                        </a:ln>
                                      </wps:spPr>
                                      <wps:bodyPr rot="0" vert="horz" wrap="square" lIns="91440" tIns="45720" rIns="91440" bIns="45720" anchor="ctr" anchorCtr="0" upright="1">
                                        <a:noAutofit/>
                                      </wps:bodyPr>
                                    </wps:wsp>
                                    <wps:wsp>
                                      <wps:cNvPr id="1119453625" name="Freeform: Shape 32"/>
                                      <wps:cNvSpPr>
                                        <a:spLocks/>
                                      </wps:cNvSpPr>
                                      <wps:spPr bwMode="auto">
                                        <a:xfrm>
                                          <a:off x="54369" y="19462"/>
                                          <a:ext cx="0" cy="4028"/>
                                        </a:xfrm>
                                        <a:custGeom>
                                          <a:avLst/>
                                          <a:gdLst>
                                            <a:gd name="T0" fmla="*/ 0 w 1"/>
                                            <a:gd name="T1" fmla="*/ 0 h 402798"/>
                                            <a:gd name="T2" fmla="*/ 0 w 1"/>
                                            <a:gd name="T3" fmla="*/ 402798 h 402798"/>
                                          </a:gdLst>
                                          <a:ahLst/>
                                          <a:cxnLst>
                                            <a:cxn ang="0">
                                              <a:pos x="T0" y="T1"/>
                                            </a:cxn>
                                            <a:cxn ang="0">
                                              <a:pos x="T2" y="T3"/>
                                            </a:cxn>
                                          </a:cxnLst>
                                          <a:rect l="0" t="0" r="r" b="b"/>
                                          <a:pathLst>
                                            <a:path w="1" h="402798" extrusionOk="0">
                                              <a:moveTo>
                                                <a:pt x="0" y="0"/>
                                              </a:moveTo>
                                              <a:lnTo>
                                                <a:pt x="0" y="402798"/>
                                              </a:lnTo>
                                            </a:path>
                                          </a:pathLst>
                                        </a:custGeom>
                                        <a:solidFill>
                                          <a:srgbClr val="FFFFFF"/>
                                        </a:solidFill>
                                        <a:ln w="12700">
                                          <a:solidFill>
                                            <a:srgbClr val="4579B8"/>
                                          </a:solidFill>
                                          <a:round/>
                                          <a:headEnd type="none" w="sm" len="sm"/>
                                          <a:tailEnd type="triangle" w="med" len="med"/>
                                        </a:ln>
                                      </wps:spPr>
                                      <wps:bodyPr rot="0" vert="horz" wrap="square" lIns="91440" tIns="45720" rIns="91440" bIns="45720" anchor="ctr" anchorCtr="0" upright="1">
                                        <a:noAutofit/>
                                      </wps:bodyPr>
                                    </wps:wsp>
                                  </wpg:grpSp>
                                </wpg:grpSp>
                              </wpg:grpSp>
                            </wpg:grpSp>
                          </wpg:grpSp>
                        </wpg:grpSp>
                      </wpg:grpSp>
                    </wpg:wgp>
                  </a:graphicData>
                </a:graphic>
                <wp14:sizeRelH relativeFrom="page">
                  <wp14:pctWidth>0</wp14:pctWidth>
                </wp14:sizeRelH>
                <wp14:sizeRelV relativeFrom="page">
                  <wp14:pctHeight>0</wp14:pctHeight>
                </wp14:sizeRelV>
              </wp:anchor>
            </w:drawing>
          </mc:Choice>
          <mc:Fallback>
            <w:pict>
              <v:group w14:anchorId="115E69A2" id="Group 102" o:spid="_x0000_s1026" style="position:absolute;left:0;text-align:left;margin-left:9pt;margin-top:24pt;width:477.15pt;height:443.4pt;z-index:251658240" coordorigin="23160,9644" coordsize="60598,5631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">
                <v:group id="Group 1" o:spid="_x0000_s1027" style="position:absolute;left:23160;top:9644;width:60599;height:56311" coordorigin="23160,9644" coordsize="60598,563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">
                  <v:rect id="Rectangle 2" o:spid="_x0000_s1028" style="position:absolute;left:23160;top:9644;width:60599;height:5631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" filled="f" stroked="f">
                    <v:path arrowok="t"/>
                    <v:textbox inset="2.53958mm,2.53958mm,2.53958mm,2.53958mm">
                      <w:txbxContent>
                        <w:p w14:paraId="23213379" w14:textId="77777777" w:rsidR="00316B62" w:rsidRDefault="00316B62">
                          <w:pPr>
                            <w:spacing w:line="240" w:lineRule="auto"/>
                            <w:textDirection w:val="btLr"/>
                          </w:pPr>
                        </w:p>
                      </w:txbxContent>
                    </v:textbox>
                  </v:rect>
                  <v:group id="Group 3" o:spid="_x0000_s1029" style="position:absolute;left:23160;top:9644;width:60599;height:56311" coordorigin="23160,9644" coordsize="60598,563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">
                    <v:rect id="Rectangle 4" o:spid="_x0000_s1030" style="position:absolute;left:23160;top:9644;width:60599;height:5631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" filled="f" stroked="f">
                      <v:path arrowok="t"/>
                      <v:textbox inset="2.53958mm,2.53958mm,2.53958mm,2.53958mm">
                        <w:txbxContent>
                          <w:p w14:paraId="2DD1FE0F" w14:textId="77777777" w:rsidR="00316B62" w:rsidRDefault="00316B62">
                            <w:pPr>
                              <w:spacing w:line="240" w:lineRule="auto"/>
                              <w:textDirection w:val="btLr"/>
                            </w:pPr>
                          </w:p>
                        </w:txbxContent>
                      </v:textbox>
                    </v:rect>
                    <v:group id="Group 5" o:spid="_x0000_s1031" style="position:absolute;left:23160;top:9644;width:60599;height:56311" coordorigin="23159,9643" coordsize="60600,563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">
                      <v:rect id="Rectangle 6" o:spid="_x0000_s1032" style="position:absolute;left:23159;top:9643;width:60600;height:5631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" filled="f" stroked="f">
                        <v:path arrowok="t"/>
                        <v:textbox inset="2.53958mm,2.53958mm,2.53958mm,2.53958mm">
                          <w:txbxContent>
                            <w:p w14:paraId="2E1B74D0" w14:textId="77777777" w:rsidR="00316B62" w:rsidRDefault="00316B62">
                              <w:pPr>
                                <w:spacing w:line="240" w:lineRule="auto"/>
                                <w:textDirection w:val="btLr"/>
                              </w:pPr>
                            </w:p>
                          </w:txbxContent>
                        </v:textbox>
                      </v:rect>
                      <v:group id="Group 7" o:spid="_x0000_s1033" style="position:absolute;left:23160;top:9644;width:60599;height:56311" coordsize="60598,5631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">
                        <v:rect id="Rectangle 8" o:spid="_x0000_s1034" style="position:absolute;width:60598;height:5631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" filled="f" stroked="f">
                          <v:path arrowok="t"/>
                          <v:textbox inset="2.53958mm,2.53958mm,2.53958mm,2.53958mm">
                            <w:txbxContent>
                              <w:p w14:paraId="02C5D73D" w14:textId="77777777" w:rsidR="00316B62" w:rsidRDefault="00316B62">
                                <w:pPr>
                                  <w:spacing w:line="240" w:lineRule="auto"/>
                                  <w:textDirection w:val="btLr"/>
                                </w:pPr>
                              </w:p>
                            </w:txbxContent>
                          </v:textbox>
                        </v:rect>
                        <v:group id="Group 9" o:spid="_x0000_s1035" style="position:absolute;width:60598;height:56310" coordsize="60598,563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">
                          <v:rect id="Rectangle 10" o:spid="_x0000_s1036" style="position:absolute;width:60598;height:5631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" filled="f" stroked="f">
                            <v:path arrowok="t"/>
                            <v:textbox inset="7pt,3pt,7pt,3pt">
                              <w:txbxContent>
                                <w:p w14:paraId="54FB354E" w14:textId="77777777" w:rsidR="00316B62" w:rsidRDefault="00316B62">
                                  <w:pPr>
                                    <w:spacing w:line="240" w:lineRule="auto"/>
                                    <w:textDirection w:val="btLr"/>
                                  </w:pPr>
                                </w:p>
                              </w:txbxContent>
                            </v:textbox>
                          </v:rect>
                          <v:group id="Group 11" o:spid="_x0000_s1037" style="position:absolute;width:60598;height:56310" coordsize="60598,563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">
                            <v:rect id="Rectangle 12" o:spid="_x0000_s1038" style="position:absolute;width:60598;height:5631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" filled="f" stroked="f">
                              <v:path arrowok="t"/>
                              <v:textbox inset="7pt,3pt,7pt,3pt">
                                <w:txbxContent>
                                  <w:p w14:paraId="5147957C" w14:textId="77777777" w:rsidR="00316B62" w:rsidRDefault="00316B62">
                                    <w:pPr>
                                      <w:spacing w:line="240" w:lineRule="auto"/>
                                      <w:textDirection w:val="btLr"/>
                                    </w:pPr>
                                  </w:p>
                                </w:txbxContent>
                              </v:textbox>
                            </v:rect>
                            <v:group id="Group 13" o:spid="_x0000_s1039" style="position:absolute;left:62;top:62;width:60473;height:56184" coordsize="60473,561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">
                              <v:rect id="Rectangle 14" o:spid="_x0000_s1040" style="position:absolute;width:60473;height:56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" filled="f" stroked="f">
                                <v:path arrowok="t"/>
                                <v:textbox inset="7pt,3pt,7pt,3pt">
                                  <w:txbxContent>
                                    <w:p w14:paraId="7733B156" w14:textId="77777777" w:rsidR="00316B62" w:rsidRDefault="00316B62">
                                      <w:pPr>
                                        <w:spacing w:line="240" w:lineRule="auto"/>
                                        <w:textDirection w:val="btLr"/>
                                      </w:pPr>
                                    </w:p>
                                  </w:txbxContent>
                                </v:textbox>
                              </v:rect>
                              <v:group id="Group 15" o:spid="_x0000_s1041" style="position:absolute;width:60473;height:56183" coordsize="60473,561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">
                                <v:rect id="Rectangle 16" o:spid="_x0000_s1042" style="position:absolute;left:16379;width:26045;height:44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" fillcolor="#dbe5f1" strokeweight="1pt">
                                  <v:stroke startarrowwidth="narrow" startarrowlength="short" endarrowwidth="narrow" endarrowlength="short" joinstyle="round"/>
                                  <v:path arrowok="t"/>
                                  <v:textbox inset="7pt,3pt,7pt,3pt">
                                    <w:txbxContent>
                                      <w:p w14:paraId="1CC2086C" w14:textId="77777777" w:rsidR="00316B62" w:rsidRDefault="003E5E21">
                                        <w:pPr>
                                          <w:spacing w:line="275" w:lineRule="auto"/>
                                          <w:jc w:val="center"/>
                                          <w:textDirection w:val="btLr"/>
                                        </w:pPr>
                                        <w:r>
                                          <w:rPr>
                                            <w:rFonts w:ascii="Times New Roman" w:eastAsia="Times New Roman" w:hAnsi="Times New Roman" w:cs="Times New Roman"/>
                                            <w:b/>
                                            <w:color w:val="000000"/>
                                            <w:sz w:val="36"/>
                                          </w:rPr>
                                          <w:t>Conceptual Framework</w:t>
                                        </w:r>
                                      </w:p>
                                    </w:txbxContent>
                                  </v:textbox>
                                </v:rect>
                                <v:group id="Group 17" o:spid="_x0000_s1043" style="position:absolute;left:17520;top:10262;width:25854;height:37729" coordsize="25854,37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">
                                  <v:roundrect id="Rectangle: Rounded Corners 18" o:spid="_x0000_s1044" style="position:absolute;left:1615;top:12163;width:22242;height:12735;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" fillcolor="#daeef3" strokeweight="1pt">
                                    <v:stroke startarrowwidth="narrow" startarrowlength="short" endarrowwidth="narrow" endarrowlength="short"/>
                                    <v:path arrowok="t"/>
                                    <v:textbox inset="7pt,3pt,7pt,3pt">
                                      <w:txbxContent>
                                        <w:p w14:paraId="0A025ED6" w14:textId="77777777" w:rsidR="00316B62" w:rsidRDefault="003E5E21">
                                          <w:pPr>
                                            <w:spacing w:line="480" w:lineRule="auto"/>
                                            <w:jc w:val="center"/>
                                            <w:textDirection w:val="btLr"/>
                                          </w:pPr>
                                          <w:r>
                                            <w:rPr>
                                              <w:rFonts w:ascii="Times New Roman" w:eastAsia="Times New Roman" w:hAnsi="Times New Roman" w:cs="Times New Roman"/>
                                              <w:b/>
                                              <w:color w:val="000000"/>
                                              <w:sz w:val="20"/>
                                            </w:rPr>
                                            <w:t>EVALUATING THE EFFECTIVENESS OF RENEWABLE WIND ENERGY POLICIES IN THE UK</w:t>
                                          </w:r>
                                        </w:p>
                                        <w:p w14:paraId="17FCF20A" w14:textId="77777777" w:rsidR="00316B62" w:rsidRDefault="00316B62">
                                          <w:pPr>
                                            <w:spacing w:line="275" w:lineRule="auto"/>
                                            <w:textDirection w:val="btLr"/>
                                          </w:pPr>
                                        </w:p>
                                      </w:txbxContent>
                                    </v:textbox>
                                  </v:roundrect>
                                  <v:rect id="Rectangle 19" o:spid="_x0000_s1045" style="position:absolute;width:25474;height:864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" fillcolor="#e5b8b7" strokecolor="#d99594" strokeweight="1pt">
                                    <v:fill angle="180" focus="100%" type="gradient">
                                      <o:fill v:ext="view" type="gradientUnscaled"/>
                                    </v:fill>
                                    <v:stroke startarrowwidth="narrow" startarrowlength="short" endarrowwidth="narrow" endarrowlength="short" joinstyle="round"/>
                                    <v:path arrowok="t"/>
                                    <v:textbox inset="7pt,3pt,7pt,3pt">
                                      <w:txbxContent>
                                        <w:p w14:paraId="2EE137E5" w14:textId="77777777" w:rsidR="00316B62" w:rsidRDefault="003E5E21">
                                          <w:pPr>
                                            <w:spacing w:line="275" w:lineRule="auto"/>
                                            <w:textDirection w:val="btLr"/>
                                          </w:pPr>
                                          <w:r>
                                            <w:rPr>
                                              <w:rFonts w:ascii="Times New Roman" w:eastAsia="Times New Roman" w:hAnsi="Times New Roman" w:cs="Times New Roman"/>
                                              <w:b/>
                                              <w:color w:val="000000"/>
                                              <w:sz w:val="16"/>
                                            </w:rPr>
                                            <w:t>Concept of Renewable Wind Energy</w:t>
                                          </w:r>
                                        </w:p>
                                      </w:txbxContent>
                                    </v:textbox>
                                  </v:rect>
                                  <v:rect id="Rectangle 20" o:spid="_x0000_s1046" style="position:absolute;left:380;top:29080;width:25474;height:86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" fillcolor="#fbd4b4" strokecolor="#fabf8f" strokeweight="1pt">
                                    <v:fill angle="180" focus="100%" type="gradient">
                                      <o:fill v:ext="view" type="gradientUnscaled"/>
                                    </v:fill>
                                    <v:stroke startarrowwidth="narrow" startarrowlength="short" endarrowwidth="narrow" endarrowlength="short" joinstyle="round"/>
                                    <v:path arrowok="t"/>
                                    <v:textbox inset="7pt,3pt,7pt,3pt">
                                      <w:txbxContent>
                                        <w:p w14:paraId="16A06DFF" w14:textId="77777777" w:rsidR="00316B62" w:rsidRDefault="003E5E21">
                                          <w:pPr>
                                            <w:spacing w:line="275" w:lineRule="auto"/>
                                            <w:textDirection w:val="btLr"/>
                                          </w:pPr>
                                          <w:r>
                                            <w:rPr>
                                              <w:rFonts w:ascii="Times New Roman" w:eastAsia="Times New Roman" w:hAnsi="Times New Roman" w:cs="Times New Roman"/>
                                              <w:b/>
                                              <w:color w:val="000000"/>
                                              <w:sz w:val="16"/>
                                            </w:rPr>
                                            <w:t>Potential Opportunities for the Future Development of Wind Energy in the UK</w:t>
                                          </w:r>
                                        </w:p>
                                      </w:txbxContent>
                                    </v:textbox>
                                  </v:rect>
                                  <v:shape id="Freeform: Shape 21" o:spid="_x0000_s1047" style="position:absolute;left:11976;top:8647;width:0;height:3516;rotation:180;visibility:visible;mso-wrap-style:square;v-text-anchor:middle" coordsize="1,3516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" path="m,l,351608e" strokeweight="1pt">
                                    <v:stroke startarrowwidth="narrow" startarrowlength="short" endarrow="block"/>
                                    <v:path arrowok="t" o:extrusionok="f" o:connecttype="custom" o:connectlocs="0,0;0,3516" o:connectangles="0,0"/>
                                  </v:shape>
                                </v:group>
                                <v:rect id="Rectangle 22" o:spid="_x0000_s1048" style="position:absolute;top:30599;width:14643;height:102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" fillcolor="#ccc0d9" strokecolor="#b2a1c7" strokeweight="1pt">
                                  <v:fill angle="180" focus="100%" type="gradient">
                                    <o:fill v:ext="view" type="gradientUnscaled"/>
                                  </v:fill>
                                  <v:stroke startarrowwidth="narrow" startarrowlength="short" endarrowwidth="narrow" endarrowlength="short" joinstyle="round"/>
                                  <v:path arrowok="t"/>
                                  <v:textbox inset="7pt,3pt,7pt,3pt">
                                    <w:txbxContent>
                                      <w:p w14:paraId="171BCEC6" w14:textId="77777777" w:rsidR="00316B62" w:rsidRDefault="003E5E21">
                                        <w:pPr>
                                          <w:spacing w:line="275" w:lineRule="auto"/>
                                          <w:textDirection w:val="btLr"/>
                                        </w:pPr>
                                        <w:r>
                                          <w:rPr>
                                            <w:rFonts w:ascii="Times New Roman" w:eastAsia="Times New Roman" w:hAnsi="Times New Roman" w:cs="Times New Roman"/>
                                            <w:b/>
                                            <w:color w:val="000000"/>
                                            <w:sz w:val="16"/>
                                          </w:rPr>
                                          <w:t>Role of UK Policies on Capacity Expansion, Investment Growth, and Cost Competitiveness</w:t>
                                        </w:r>
                                      </w:p>
                                    </w:txbxContent>
                                  </v:textbox>
                                </v:rect>
                                <v:rect id="Rectangle 23" o:spid="_x0000_s1049" style="position:absolute;left:1032;top:18599;width:13972;height:878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" fillcolor="#ccc0d9" strokecolor="#b2a1c7" strokeweight="1pt">
                                  <v:fill angle="180" focus="100%" type="gradient">
                                    <o:fill v:ext="view" type="gradientUnscaled"/>
                                  </v:fill>
                                  <v:stroke startarrowwidth="narrow" startarrowlength="short" endarrowwidth="narrow" endarrowlength="short" joinstyle="round"/>
                                  <v:path arrowok="t"/>
                                  <v:textbox inset="7pt,3pt,7pt,3pt">
                                    <w:txbxContent>
                                      <w:p w14:paraId="220FA23F" w14:textId="77777777" w:rsidR="00316B62" w:rsidRDefault="003E5E21">
                                        <w:pPr>
                                          <w:spacing w:line="275" w:lineRule="auto"/>
                                          <w:jc w:val="center"/>
                                          <w:textDirection w:val="btLr"/>
                                        </w:pPr>
                                        <w:r>
                                          <w:rPr>
                                            <w:rFonts w:ascii="Times New Roman" w:eastAsia="Times New Roman" w:hAnsi="Times New Roman" w:cs="Times New Roman"/>
                                            <w:b/>
                                            <w:color w:val="000000"/>
                                            <w:sz w:val="16"/>
                                          </w:rPr>
                                          <w:t>Impact of the Policies on Development of both Onshore and Offshore Wind Energy Projects</w:t>
                                        </w:r>
                                      </w:p>
                                    </w:txbxContent>
                                  </v:textbox>
                                </v:rect>
                                <v:shape id="Freeform: Shape 24" o:spid="_x0000_s1050" style="position:absolute;left:7090;top:27362;width:2084;height:3111;visibility:visible;mso-wrap-style:square;v-text-anchor:middle" coordsize="208403,311098"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" adj="-11796480,,5400" path="m,233322r52099,l52099,,156301,r,233322l208403,233322,104200,311098,,233322xe" fillcolor="#c4bc96" strokeweight="1pt">
                                  <v:stroke startarrowwidth="narrow" startarrowlength="short" endarrowwidth="narrow" endarrowlength="short" miterlimit="5243f" joinstyle="miter"/>
                                  <v:formulas/>
                                  <v:path arrowok="t" o:extrusionok="f" o:connecttype="custom" o:connectlocs="0,2333;521,2333;521,0;1563,0;1563,2333;2084,2333;1042,3111;0,2333" o:connectangles="0,0,0,0,0,0,0,0" textboxrect="0,0,208403,311098"/>
                                  <v:textbox inset="7pt,3pt,7pt,3pt">
                                    <w:txbxContent>
                                      <w:p w14:paraId="6726905D" w14:textId="77777777" w:rsidR="00316B62" w:rsidRDefault="00316B62">
                                        <w:pPr>
                                          <w:spacing w:line="240" w:lineRule="auto"/>
                                          <w:textDirection w:val="btLr"/>
                                        </w:pPr>
                                      </w:p>
                                    </w:txbxContent>
                                  </v:textbox>
                                </v:shape>
                                <v:rect id="Rectangle 25" o:spid="_x0000_s1051" style="position:absolute;left:1349;top:7620;width:13294;height:82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" fillcolor="#ccc0d9" strokecolor="#b2a1c7" strokeweight="1pt">
                                  <v:fill angle="180" focus="100%" type="gradient">
                                    <o:fill v:ext="view" type="gradientUnscaled"/>
                                  </v:fill>
                                  <v:stroke startarrowwidth="narrow" startarrowlength="short" endarrowwidth="narrow" endarrowlength="short" joinstyle="round"/>
                                  <v:path arrowok="t"/>
                                  <v:textbox inset="7pt,3pt,7pt,3pt">
                                    <w:txbxContent>
                                      <w:p w14:paraId="549A51CB" w14:textId="77777777" w:rsidR="00316B62" w:rsidRDefault="003E5E21">
                                        <w:pPr>
                                          <w:spacing w:line="275" w:lineRule="auto"/>
                                          <w:textDirection w:val="btLr"/>
                                        </w:pPr>
                                        <w:r>
                                          <w:rPr>
                                            <w:rFonts w:ascii="Times New Roman" w:eastAsia="Times New Roman" w:hAnsi="Times New Roman" w:cs="Times New Roman"/>
                                            <w:b/>
                                            <w:color w:val="000000"/>
                                            <w:sz w:val="16"/>
                                          </w:rPr>
                                          <w:t>Evolution of Wind Energy Policies and Key Policy Instruments in the UK</w:t>
                                        </w:r>
                                      </w:p>
                                    </w:txbxContent>
                                  </v:textbox>
                                </v:rect>
                                <v:shape id="Freeform: Shape 26" o:spid="_x0000_s1052" style="position:absolute;left:7090;top:16160;width:2566;height:2490;visibility:visible;mso-wrap-style:square;v-text-anchor:middle" coordsize="256604,248999"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" adj="-11796480,,5400" path="m,186748r64149,l64149,,192452,r,186748l256604,186748,128301,248999,,186748xe" fillcolor="#c4bc96" strokeweight="1pt">
                                  <v:stroke startarrowwidth="narrow" startarrowlength="short" endarrowwidth="narrow" endarrowlength="short" miterlimit="5243f" joinstyle="miter"/>
                                  <v:formulas/>
                                  <v:path arrowok="t" o:extrusionok="f" o:connecttype="custom" o:connectlocs="0,1867;641,1867;641,0;1924,0;1924,1867;2566,1867;1283,2490;0,1867" o:connectangles="0,0,0,0,0,0,0,0" textboxrect="0,0,256604,248999"/>
                                  <v:textbox inset="7pt,3pt,7pt,3pt">
                                    <w:txbxContent>
                                      <w:p w14:paraId="3318133F" w14:textId="77777777" w:rsidR="00316B62" w:rsidRDefault="00316B62">
                                        <w:pPr>
                                          <w:spacing w:line="240" w:lineRule="auto"/>
                                          <w:textDirection w:val="btLr"/>
                                        </w:pPr>
                                      </w:p>
                                    </w:txbxContent>
                                  </v:textbox>
                                </v:shape>
                                <v:rect id="Rectangle 27" o:spid="_x0000_s1053" style="position:absolute;left:47176;top:23465;width:13297;height:83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" fillcolor="#ccc0d9" strokecolor="#b2a1c7" strokeweight="1pt">
                                  <v:fill angle="180" focus="100%" type="gradient">
                                    <o:fill v:ext="view" type="gradientUnscaled"/>
                                  </v:fill>
                                  <v:stroke startarrowwidth="narrow" startarrowlength="short" endarrowwidth="narrow" endarrowlength="short" joinstyle="round"/>
                                  <v:path arrowok="t"/>
                                  <v:textbox inset="7pt,3pt,7pt,3pt">
                                    <w:txbxContent>
                                      <w:p w14:paraId="52147F47" w14:textId="77777777" w:rsidR="00316B62" w:rsidRDefault="003E5E21">
                                        <w:pPr>
                                          <w:spacing w:line="275" w:lineRule="auto"/>
                                          <w:textDirection w:val="btLr"/>
                                        </w:pPr>
                                        <w:r>
                                          <w:rPr>
                                            <w:rFonts w:ascii="Times New Roman" w:eastAsia="Times New Roman" w:hAnsi="Times New Roman" w:cs="Times New Roman"/>
                                            <w:b/>
                                            <w:i/>
                                            <w:color w:val="000000"/>
                                          </w:rPr>
                                          <w:t>Multi-Level Governance (MLG) Framework</w:t>
                                        </w:r>
                                      </w:p>
                                    </w:txbxContent>
                                  </v:textbox>
                                </v:rect>
                                <v:rect id="Rectangle 28" o:spid="_x0000_s1054" style="position:absolute;left:75;top:45964;width:14645;height:102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" fillcolor="#ccc0d9" strokecolor="#b2a1c7" strokeweight="1pt">
                                  <v:fill angle="180" focus="100%" type="gradient">
                                    <o:fill v:ext="view" type="gradientUnscaled"/>
                                  </v:fill>
                                  <v:stroke startarrowwidth="narrow" startarrowlength="short" endarrowwidth="narrow" endarrowlength="short" joinstyle="round"/>
                                  <v:path arrowok="t"/>
                                  <v:textbox inset="7pt,3pt,7pt,3pt">
                                    <w:txbxContent>
                                      <w:p w14:paraId="4336029C" w14:textId="77777777" w:rsidR="00316B62" w:rsidRDefault="003E5E21">
                                        <w:pPr>
                                          <w:spacing w:line="275" w:lineRule="auto"/>
                                          <w:textDirection w:val="btLr"/>
                                        </w:pPr>
                                        <w:r>
                                          <w:rPr>
                                            <w:rFonts w:ascii="Times New Roman" w:eastAsia="Times New Roman" w:hAnsi="Times New Roman" w:cs="Times New Roman"/>
                                            <w:b/>
                                            <w:color w:val="000000"/>
                                            <w:sz w:val="16"/>
                                          </w:rPr>
                                          <w:t>Challenges in the Development of Wind Energy concerning these Policies in UK</w:t>
                                        </w:r>
                                      </w:p>
                                    </w:txbxContent>
                                  </v:textbox>
                                </v:rect>
                                <v:shape id="Freeform: Shape 29" o:spid="_x0000_s1055" style="position:absolute;left:6526;top:41364;width:2085;height:4479;visibility:visible;mso-wrap-style:square;v-text-anchor:middle" coordsize="208503,447898"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" adj="-11796480,,5400" path="m,335922r52124,l52124,,156376,r,335922l208503,335922,104250,447898,,335922xe" fillcolor="#c4bc96" strokeweight="1pt">
                                  <v:stroke startarrowwidth="narrow" startarrowlength="short" endarrowwidth="narrow" endarrowlength="short" miterlimit="5243f" joinstyle="miter"/>
                                  <v:formulas/>
                                  <v:path arrowok="t" o:extrusionok="f" o:connecttype="custom" o:connectlocs="0,3359;521,3359;521,0;1564,0;1564,3359;2085,3359;1042,4479;0,3359" o:connectangles="0,0,0,0,0,0,0,0" textboxrect="0,0,208503,447898"/>
                                  <v:textbox inset="7pt,3pt,7pt,3pt">
                                    <w:txbxContent>
                                      <w:p w14:paraId="7CE37EF2" w14:textId="77777777" w:rsidR="00316B62" w:rsidRDefault="00316B62">
                                        <w:pPr>
                                          <w:spacing w:line="240" w:lineRule="auto"/>
                                          <w:textDirection w:val="btLr"/>
                                        </w:pPr>
                                      </w:p>
                                    </w:txbxContent>
                                  </v:textbox>
                                </v:shape>
                              </v:group>
                              <v:rect id="Rectangle 30" o:spid="_x0000_s1056" style="position:absolute;left:47526;top:11098;width:12915;height:793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" fillcolor="#ccc0d9" strokecolor="#b2a1c7" strokeweight="1pt">
                                <v:fill angle="180" focus="100%" type="gradient">
                                  <o:fill v:ext="view" type="gradientUnscaled"/>
                                </v:fill>
                                <v:stroke startarrowwidth="narrow" startarrowlength="short" endarrowwidth="narrow" endarrowlength="short" joinstyle="round"/>
                                <v:path arrowok="t"/>
                                <v:textbox inset="7pt,3pt,7pt,3pt">
                                  <w:txbxContent>
                                    <w:p w14:paraId="4F82405A" w14:textId="77777777" w:rsidR="00316B62" w:rsidRDefault="003E5E21">
                                      <w:pPr>
                                        <w:spacing w:line="275" w:lineRule="auto"/>
                                        <w:textDirection w:val="btLr"/>
                                      </w:pPr>
                                      <w:r>
                                        <w:rPr>
                                          <w:rFonts w:ascii="Times New Roman" w:eastAsia="Times New Roman" w:hAnsi="Times New Roman" w:cs="Times New Roman"/>
                                          <w:b/>
                                          <w:i/>
                                          <w:color w:val="000000"/>
                                        </w:rPr>
                                        <w:t>Innovation System Theory</w:t>
                                      </w:r>
                                    </w:p>
                                  </w:txbxContent>
                                </v:textbox>
                              </v:rect>
                              <v:shape id="Freeform: Shape 31" o:spid="_x0000_s1057" style="position:absolute;left:54521;top:32082;width:0;height:4030;visibility:visible;mso-wrap-style:square;v-text-anchor:middle" coordsize="1,4029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" path="m,l,402998e" strokecolor="#4579b8" strokeweight="1pt">
                                <v:stroke startarrowwidth="narrow" startarrowlength="short" endarrow="block"/>
                                <v:path arrowok="t" o:extrusionok="f" o:connecttype="custom" o:connectlocs="0,0;0,4030" o:connectangles="0,0"/>
                              </v:shape>
                              <v:shape id="Freeform: Shape 32" o:spid="_x0000_s1058" style="position:absolute;left:54369;top:19462;width:0;height:4028;visibility:visible;mso-wrap-style:square;v-text-anchor:middle" coordsize="1,4027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" path="m,l,402798e" strokecolor="#4579b8" strokeweight="1pt">
                                <v:stroke startarrowwidth="narrow" startarrowlength="short" endarrow="block"/>
                                <v:path arrowok="t" o:extrusionok="f" o:connecttype="custom" o:connectlocs="0,0;0,4028" o:connectangles="0,0"/>
                              </v:shape>
                            </v:group>
                          </v:group>
                        </v:group>
                      </v:group>
                    </v:group>
                  </v:group>
                </v:group>
              </v:group>
            </w:pict>
          </mc:Fallback>
        </mc:AlternateContent>
      </w:r>
    </w:p>
    <w:p w14:paraId="4FD8950F" w14:textId="77777777" w:rsidR="007C5593" w:rsidRDefault="007C5593">
      <w:pPr>
        <w:pStyle w:val="Heading4"/>
        <w:jc w:val="left"/>
      </w:pPr>
    </w:p>
    <w:p w14:paraId="42DB40E2" w14:textId="77777777" w:rsidR="007C5593" w:rsidRDefault="007C5593">
      <w:pPr>
        <w:pStyle w:val="Heading4"/>
        <w:jc w:val="left"/>
      </w:pPr>
    </w:p>
    <w:p w14:paraId="7054EF2C" w14:textId="77777777" w:rsidR="007C5593" w:rsidRDefault="007C5593">
      <w:pPr>
        <w:pStyle w:val="Heading4"/>
        <w:jc w:val="left"/>
      </w:pPr>
    </w:p>
    <w:p w14:paraId="0568595C" w14:textId="77777777" w:rsidR="007C5593" w:rsidRDefault="007C5593">
      <w:pPr>
        <w:pStyle w:val="Heading4"/>
        <w:jc w:val="left"/>
      </w:pPr>
    </w:p>
    <w:p w14:paraId="0F38C0F8" w14:textId="77777777" w:rsidR="007C5593" w:rsidRDefault="007C5593">
      <w:pPr>
        <w:pStyle w:val="Heading4"/>
        <w:jc w:val="left"/>
      </w:pPr>
    </w:p>
    <w:p w14:paraId="0F4F9375" w14:textId="77777777" w:rsidR="007C5593" w:rsidRDefault="007C5593">
      <w:pPr>
        <w:pStyle w:val="Heading4"/>
        <w:jc w:val="left"/>
      </w:pPr>
    </w:p>
    <w:p w14:paraId="7AD8AD2B" w14:textId="77777777" w:rsidR="007C5593" w:rsidRDefault="007C5593">
      <w:pPr>
        <w:pStyle w:val="Heading4"/>
        <w:jc w:val="left"/>
      </w:pPr>
    </w:p>
    <w:p w14:paraId="65783744" w14:textId="77777777" w:rsidR="007C5593" w:rsidRDefault="007C5593">
      <w:pPr>
        <w:pStyle w:val="Heading4"/>
        <w:jc w:val="left"/>
      </w:pPr>
    </w:p>
    <w:p w14:paraId="4FED143A" w14:textId="77777777" w:rsidR="007C5593" w:rsidRDefault="007C5593">
      <w:pPr>
        <w:pStyle w:val="Heading4"/>
        <w:jc w:val="left"/>
      </w:pPr>
    </w:p>
    <w:p w14:paraId="552DDDD2" w14:textId="77777777" w:rsidR="007C5593" w:rsidRDefault="007C5593">
      <w:pPr>
        <w:pStyle w:val="Heading4"/>
        <w:jc w:val="left"/>
      </w:pPr>
    </w:p>
    <w:p w14:paraId="5BA39894" w14:textId="77777777" w:rsidR="007C5593" w:rsidRDefault="007C5593">
      <w:pPr>
        <w:pStyle w:val="Heading4"/>
        <w:jc w:val="left"/>
      </w:pPr>
    </w:p>
    <w:p w14:paraId="2E21570F" w14:textId="77777777" w:rsidR="007C5593" w:rsidRDefault="007C5593">
      <w:pPr>
        <w:pStyle w:val="Heading4"/>
        <w:jc w:val="left"/>
      </w:pPr>
    </w:p>
    <w:p w14:paraId="5015A680" w14:textId="77777777" w:rsidR="007C5593" w:rsidRDefault="007C5593">
      <w:pPr>
        <w:pStyle w:val="Heading4"/>
        <w:jc w:val="left"/>
      </w:pPr>
    </w:p>
    <w:p w14:paraId="69A16459" w14:textId="77777777" w:rsidR="007C5593" w:rsidRDefault="007C5593">
      <w:pPr>
        <w:pStyle w:val="Heading4"/>
        <w:jc w:val="left"/>
      </w:pPr>
    </w:p>
    <w:p w14:paraId="6F93A117" w14:textId="77777777" w:rsidR="007C5593" w:rsidRDefault="007C5593">
      <w:pPr>
        <w:pStyle w:val="Heading4"/>
        <w:jc w:val="left"/>
      </w:pPr>
    </w:p>
    <w:p w14:paraId="0D97EBBD" w14:textId="77777777" w:rsidR="007C5593" w:rsidRDefault="007C5593">
      <w:pPr>
        <w:pStyle w:val="Heading4"/>
        <w:jc w:val="left"/>
      </w:pPr>
    </w:p>
    <w:p w14:paraId="183B7938" w14:textId="77777777" w:rsidR="007C5593" w:rsidRDefault="007C5593">
      <w:pPr>
        <w:pStyle w:val="Heading4"/>
        <w:jc w:val="left"/>
      </w:pPr>
    </w:p>
    <w:p w14:paraId="3CA61EBA" w14:textId="77777777" w:rsidR="007C5593" w:rsidRDefault="000A5866">
      <w:pPr>
        <w:pStyle w:val="Heading4"/>
      </w:pPr>
      <w:bookmarkStart w:id="33" w:name="_heading=h.23ckvvd" w:colFirst="0" w:colLast="0"/>
      <w:bookmarkEnd w:id="33"/>
      <w:r>
        <w:t>Figure 2.6: Conceptual Framework</w:t>
      </w:r>
    </w:p>
    <w:p w14:paraId="4BF5A70D" w14:textId="77777777" w:rsidR="007C5593" w:rsidRDefault="000A5866">
      <w:pPr>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2A1683A0" w14:textId="7566024C"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w:t>
      </w:r>
      <w:r w:rsidRPr="007132D5">
        <w:rPr>
          <w:rFonts w:ascii="Times New Roman" w:eastAsia="Times New Roman" w:hAnsi="Times New Roman" w:cs="Times New Roman"/>
          <w:color w:val="000000" w:themeColor="text1"/>
          <w:sz w:val="24"/>
          <w:szCs w:val="24"/>
        </w:rPr>
        <w:t>Figure 2.</w:t>
      </w:r>
      <w:r w:rsidR="00D64FEC" w:rsidRPr="007132D5">
        <w:rPr>
          <w:rFonts w:ascii="Times New Roman" w:eastAsia="Times New Roman" w:hAnsi="Times New Roman" w:cs="Times New Roman"/>
          <w:color w:val="000000" w:themeColor="text1"/>
          <w:sz w:val="24"/>
          <w:szCs w:val="24"/>
        </w:rPr>
        <w:t>6</w:t>
      </w:r>
      <w:r>
        <w:rPr>
          <w:rFonts w:ascii="Times New Roman" w:eastAsia="Times New Roman" w:hAnsi="Times New Roman" w:cs="Times New Roman"/>
          <w:sz w:val="24"/>
          <w:szCs w:val="24"/>
        </w:rPr>
        <w:t xml:space="preserve">, the conceptual framework demonstrates the potential variables involved with the research regarding the productivity of renewable energy sources currently utilised by UK business corporations. The potential challenges encountered by UK business corporations during </w:t>
      </w:r>
      <w:r>
        <w:rPr>
          <w:rFonts w:ascii="Times New Roman" w:eastAsia="Times New Roman" w:hAnsi="Times New Roman" w:cs="Times New Roman"/>
          <w:sz w:val="24"/>
          <w:szCs w:val="24"/>
        </w:rPr>
        <w:lastRenderedPageBreak/>
        <w:t>the implementation of renewable energy policies have also been elaborated in the conceptual framework that can reduce the effectiveness of organisational sustainability initiatives.</w:t>
      </w:r>
    </w:p>
    <w:p w14:paraId="3CC46C2A" w14:textId="77777777" w:rsidR="007C5593" w:rsidRDefault="000A5866">
      <w:pPr>
        <w:pStyle w:val="Heading2"/>
      </w:pPr>
      <w:bookmarkStart w:id="34" w:name="_heading=h.ihv636" w:colFirst="0" w:colLast="0"/>
      <w:bookmarkEnd w:id="34"/>
      <w:r>
        <w:t>2.11 Gap in Literature</w:t>
      </w:r>
    </w:p>
    <w:p w14:paraId="56765555"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existing literature fails to mention the usefulness of Industry 4.0 tools such as artificial intelligence (AI) and machine learning (ML) towards improving decision-making processes of UK companies concerning the use of renewable wind energy. The existing literature also is unable to address the applicability of digital collaborative tools such as Zoom and Google Meet that can help improve collaboration between different organisational departments during policy making. Finally, the literary findings have shown limitations in addressing the applicability of the stakeholder matrix that can help UK businesses to better identify organisational stakeholders during the development of renewable wind energy policies. </w:t>
      </w:r>
    </w:p>
    <w:p w14:paraId="14B48210" w14:textId="77777777" w:rsidR="007C5593" w:rsidRDefault="000A5866">
      <w:pPr>
        <w:pStyle w:val="Heading2"/>
      </w:pPr>
      <w:bookmarkStart w:id="35" w:name="_heading=h.32hioqz" w:colFirst="0" w:colLast="0"/>
      <w:bookmarkEnd w:id="35"/>
      <w:r>
        <w:t>2.12 Chapter Summary</w:t>
      </w:r>
    </w:p>
    <w:p w14:paraId="6BEE4DAB"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fundamental concepts and role of renewable wind energy usage in the UK businesses have been mentioned in the study that can effectively reduce the carbon emission rate of existing business firms. The UK has become a prominent global player in wind power due to a series of deliberate policies focused on curbing greenhouse gas emissions and transitioning to sustainable energy sources. Wind power, particularly offshore wind, now plays a crucial role in the UK's energy portfolio, making significant strides towards achieving net-zero emissions by 2050. The growth of the wind power industry has been bolstered by important policy mechanisms like CfD and ROCs, which have been instrumental in attracting investments, reducing production costs, and expanding wind power capacity. The challenges encountered by UK businesses during the integration of renewable wind energy strategies and its subsequent solutions have also been </w:t>
      </w:r>
      <w:r>
        <w:rPr>
          <w:rFonts w:ascii="Times New Roman" w:eastAsia="Times New Roman" w:hAnsi="Times New Roman" w:cs="Times New Roman"/>
          <w:sz w:val="24"/>
          <w:szCs w:val="24"/>
        </w:rPr>
        <w:lastRenderedPageBreak/>
        <w:t>elaborated in the literature review segment for preserving optimal sustainability in SCM processes. The use of innovation systems theory and Multi-Level Governance (MLG) Framework has also been showcased in this chapter that can help business entities to streamline decision-making process and enhance organisational policies.</w:t>
      </w:r>
    </w:p>
    <w:p w14:paraId="30267941" w14:textId="77777777" w:rsidR="007C5593" w:rsidRDefault="000A5866">
      <w:pPr>
        <w:spacing w:line="480" w:lineRule="auto"/>
        <w:rPr>
          <w:rFonts w:ascii="Times New Roman" w:eastAsia="Times New Roman" w:hAnsi="Times New Roman" w:cs="Times New Roman"/>
          <w:sz w:val="24"/>
          <w:szCs w:val="24"/>
        </w:rPr>
      </w:pPr>
      <w:r>
        <w:br w:type="page"/>
      </w:r>
    </w:p>
    <w:p w14:paraId="4F068E40" w14:textId="77777777" w:rsidR="007C5593" w:rsidRPr="007132D5" w:rsidRDefault="000A5866">
      <w:pPr>
        <w:pStyle w:val="Heading1"/>
        <w:rPr>
          <w:sz w:val="32"/>
          <w:szCs w:val="32"/>
        </w:rPr>
      </w:pPr>
      <w:bookmarkStart w:id="36" w:name="_heading=h.1hmsyys" w:colFirst="0" w:colLast="0"/>
      <w:bookmarkEnd w:id="36"/>
      <w:r w:rsidRPr="007132D5">
        <w:rPr>
          <w:sz w:val="32"/>
          <w:szCs w:val="32"/>
        </w:rPr>
        <w:lastRenderedPageBreak/>
        <w:t>Chapter 3: Research Methodology</w:t>
      </w:r>
    </w:p>
    <w:p w14:paraId="498C0CB5" w14:textId="77777777" w:rsidR="007C5593" w:rsidRDefault="000A5866">
      <w:pPr>
        <w:pStyle w:val="Heading2"/>
      </w:pPr>
      <w:bookmarkStart w:id="37" w:name="_heading=h.41mghml" w:colFirst="0" w:colLast="0"/>
      <w:bookmarkEnd w:id="37"/>
      <w:r>
        <w:t>3.1 Chapter Introduction</w:t>
      </w:r>
    </w:p>
    <w:p w14:paraId="1CD06555" w14:textId="01C5C746"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sidRPr="007132D5">
        <w:rPr>
          <w:rFonts w:ascii="Times New Roman" w:eastAsia="Times New Roman" w:hAnsi="Times New Roman" w:cs="Times New Roman"/>
          <w:color w:val="000000" w:themeColor="text1"/>
          <w:sz w:val="24"/>
          <w:szCs w:val="24"/>
        </w:rPr>
        <w:t xml:space="preserve">The present chapter is focused on carrying out </w:t>
      </w:r>
      <w:r w:rsidR="007132D5" w:rsidRPr="007132D5">
        <w:rPr>
          <w:rFonts w:ascii="Times New Roman" w:eastAsia="Times New Roman" w:hAnsi="Times New Roman" w:cs="Times New Roman"/>
          <w:color w:val="000000" w:themeColor="text1"/>
          <w:sz w:val="24"/>
          <w:szCs w:val="24"/>
        </w:rPr>
        <w:t>primary research</w:t>
      </w:r>
      <w:r w:rsidRPr="007132D5">
        <w:rPr>
          <w:rFonts w:ascii="Times New Roman" w:eastAsia="Times New Roman" w:hAnsi="Times New Roman" w:cs="Times New Roman"/>
          <w:color w:val="000000" w:themeColor="text1"/>
          <w:sz w:val="24"/>
          <w:szCs w:val="24"/>
        </w:rPr>
        <w:t xml:space="preserve"> for identifying the role of CfDs and ROCs is motivating people from different backgrounds to promote renewable wind energy production. This research has focused on gathering primary opinions from the UK population through a structured questionnaire that has helped in assessing the importance of ROCs and CfDs for promoting wind energy production in the UK. T</w:t>
      </w:r>
      <w:r>
        <w:rPr>
          <w:rFonts w:ascii="Times New Roman" w:eastAsia="Times New Roman" w:hAnsi="Times New Roman" w:cs="Times New Roman"/>
          <w:sz w:val="24"/>
          <w:szCs w:val="24"/>
        </w:rPr>
        <w:t>he chapter has focused on the following research objective for developing logical and relevant methodology.</w:t>
      </w:r>
    </w:p>
    <w:p w14:paraId="01CC1EBC" w14:textId="77777777"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RO1:</w:t>
      </w:r>
      <w:r>
        <w:rPr>
          <w:rFonts w:ascii="Times New Roman" w:eastAsia="Times New Roman" w:hAnsi="Times New Roman" w:cs="Times New Roman"/>
          <w:sz w:val="24"/>
          <w:szCs w:val="24"/>
        </w:rPr>
        <w:t xml:space="preserve"> To analyse the evolution of wind energy policies in the UK, focusing on key policy instruments such as CfD and ROCs. </w:t>
      </w:r>
    </w:p>
    <w:p w14:paraId="0EC3D643" w14:textId="77777777"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RO2:</w:t>
      </w:r>
      <w:r>
        <w:rPr>
          <w:rFonts w:ascii="Times New Roman" w:eastAsia="Times New Roman" w:hAnsi="Times New Roman" w:cs="Times New Roman"/>
          <w:sz w:val="24"/>
          <w:szCs w:val="24"/>
        </w:rPr>
        <w:t xml:space="preserve"> To assess the impact of these policies on the development of both onshore and offshore wind energy projects, with particular attention to capacity expansion, investment growth, and cost competitiveness. </w:t>
      </w:r>
    </w:p>
    <w:p w14:paraId="09FF7228" w14:textId="77777777"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RO3:</w:t>
      </w:r>
      <w:r>
        <w:rPr>
          <w:rFonts w:ascii="Times New Roman" w:eastAsia="Times New Roman" w:hAnsi="Times New Roman" w:cs="Times New Roman"/>
          <w:sz w:val="24"/>
          <w:szCs w:val="24"/>
        </w:rPr>
        <w:t xml:space="preserve"> To investigate public perceptions of wind energy in the UK through primary research, using a questionnaire to gauge public attitudes towards wind energy projects and government initiatives. </w:t>
      </w:r>
    </w:p>
    <w:p w14:paraId="27CB1A49" w14:textId="77777777"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RO4: </w:t>
      </w:r>
      <w:r>
        <w:rPr>
          <w:rFonts w:ascii="Times New Roman" w:eastAsia="Times New Roman" w:hAnsi="Times New Roman" w:cs="Times New Roman"/>
          <w:sz w:val="24"/>
          <w:szCs w:val="24"/>
        </w:rPr>
        <w:t>To synthesise findings from primary data resources with 100 respondents and 10 basic questionnaires within the research procedure.</w:t>
      </w:r>
    </w:p>
    <w:p w14:paraId="35BC2D60" w14:textId="77777777"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RO5:</w:t>
      </w:r>
      <w:r>
        <w:rPr>
          <w:rFonts w:ascii="Times New Roman" w:eastAsia="Times New Roman" w:hAnsi="Times New Roman" w:cs="Times New Roman"/>
          <w:sz w:val="24"/>
          <w:szCs w:val="24"/>
        </w:rPr>
        <w:t xml:space="preserve"> To provide a comprehensive view of the outcomes of UK wind energy policies</w:t>
      </w:r>
    </w:p>
    <w:p w14:paraId="0F2580F6" w14:textId="77777777"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chapter has provided an argumentative account over important research methods such as research paradigm, research approach, design, data collection, and analysis methods. It is noted that the application of the research onion framework proposed by Saunders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(2009) was effective for identifying the research methods as per the nature of the research problem. Further, this chapter has also highlighted the key ethical issues along with measures for increasing research validity and reliability.</w:t>
      </w:r>
    </w:p>
    <w:p w14:paraId="2CD122FA" w14:textId="77777777" w:rsidR="007C5593" w:rsidRDefault="000A5866">
      <w:pPr>
        <w:pStyle w:val="Heading2"/>
      </w:pPr>
      <w:bookmarkStart w:id="38" w:name="_heading=h.2grqrue" w:colFirst="0" w:colLast="0"/>
      <w:bookmarkEnd w:id="38"/>
      <w:r>
        <w:t>3.2 Research Onion</w:t>
      </w:r>
    </w:p>
    <w:p w14:paraId="6E37A0D7" w14:textId="77777777" w:rsidR="007C5593" w:rsidRDefault="000A5866">
      <w:pPr>
        <w:pBdr>
          <w:top w:val="nil"/>
          <w:left w:val="nil"/>
          <w:bottom w:val="nil"/>
          <w:right w:val="nil"/>
          <w:between w:val="nil"/>
        </w:pBdr>
        <w:spacing w:before="200"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36BCA974" wp14:editId="7EBD9E94">
            <wp:extent cx="4657725" cy="3419475"/>
            <wp:effectExtent l="0" t="0" r="0" b="0"/>
            <wp:docPr id="94"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16"/>
                    <a:srcRect/>
                    <a:stretch>
                      <a:fillRect/>
                    </a:stretch>
                  </pic:blipFill>
                  <pic:spPr>
                    <a:xfrm>
                      <a:off x="0" y="0"/>
                      <a:ext cx="4657725" cy="3419475"/>
                    </a:xfrm>
                    <a:prstGeom prst="rect">
                      <a:avLst/>
                    </a:prstGeom>
                    <a:ln/>
                  </pic:spPr>
                </pic:pic>
              </a:graphicData>
            </a:graphic>
          </wp:inline>
        </w:drawing>
      </w:r>
    </w:p>
    <w:p w14:paraId="67225802" w14:textId="77777777" w:rsidR="007C5593" w:rsidRDefault="000A5866">
      <w:pPr>
        <w:pBdr>
          <w:top w:val="nil"/>
          <w:left w:val="nil"/>
          <w:bottom w:val="nil"/>
          <w:right w:val="nil"/>
          <w:between w:val="nil"/>
        </w:pBdr>
        <w:spacing w:before="20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3.1: Research onion framework</w:t>
      </w:r>
    </w:p>
    <w:p w14:paraId="2B9720F7" w14:textId="77777777" w:rsidR="007C5593" w:rsidRDefault="000A5866">
      <w:pPr>
        <w:pBdr>
          <w:top w:val="nil"/>
          <w:left w:val="nil"/>
          <w:bottom w:val="nil"/>
          <w:right w:val="nil"/>
          <w:between w:val="nil"/>
        </w:pBdr>
        <w:spacing w:before="200"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Saunders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2009)</w:t>
      </w:r>
    </w:p>
    <w:p w14:paraId="5FD86E35" w14:textId="77777777"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Determination of appropriate research methodology depends on different factors such as interest in the research, aim, objectives, and the type of data that needs to be collected. The research </w:t>
      </w:r>
      <w:r>
        <w:rPr>
          <w:rFonts w:ascii="Times New Roman" w:eastAsia="Times New Roman" w:hAnsi="Times New Roman" w:cs="Times New Roman"/>
          <w:sz w:val="24"/>
          <w:szCs w:val="24"/>
        </w:rPr>
        <w:lastRenderedPageBreak/>
        <w:t xml:space="preserve">onion framework has six layers such as philosophies, approaches, strategies, choices, time horizon, and techniques. As per the views of Alturki (2021), the application of research on onion in previous studies has successfully helped in evaluating consumer behaviours based on different factors such as motivation, pierce points, and value creation. </w:t>
      </w:r>
    </w:p>
    <w:p w14:paraId="0D08D63A" w14:textId="77777777" w:rsidR="007C5593" w:rsidRDefault="000A5866">
      <w:pPr>
        <w:pStyle w:val="Heading2"/>
      </w:pPr>
      <w:bookmarkStart w:id="39" w:name="_heading=h.vx1227" w:colFirst="0" w:colLast="0"/>
      <w:bookmarkEnd w:id="39"/>
      <w:r>
        <w:t>3.3 Research Philosophy</w:t>
      </w:r>
    </w:p>
    <w:p w14:paraId="270F22EC" w14:textId="77777777"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potential assumptions or a set of beliefs are commonly referred to as research philosophies which have importance in terms of assessing alternative assumptions to construct the research result. The previous literature has shown the application of majorly four types of research philosophies such as pragmatism, positivism, realism, and interpretivism. The pragmatism research philosophy led an investigation towards identification of different approaches to interpret the incidents (Kelly and Cordeiro, 2020). It is identified that pragmatism research philosophy considered the research questions as the most important determinants of the investigation process which also allowed integration of different research methods. On the other hand, Prasad (2021) has argued that adoption of a pragmatism paradigm can limit the development of a causal relationship between variables of a research. Therefore, this research has focused on assessing the advantages and limitations of wind energy policies of the UK through adopting pragmatism philosophy.</w:t>
      </w:r>
    </w:p>
    <w:p w14:paraId="0ABB85E3" w14:textId="77777777" w:rsidR="007C5593" w:rsidRDefault="000A5866">
      <w:pPr>
        <w:pBdr>
          <w:top w:val="nil"/>
          <w:left w:val="nil"/>
          <w:bottom w:val="nil"/>
          <w:right w:val="nil"/>
          <w:between w:val="nil"/>
        </w:pBdr>
        <w:spacing w:before="200"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4B7992FE" wp14:editId="1209049A">
            <wp:extent cx="5943600" cy="3289300"/>
            <wp:effectExtent l="0" t="0" r="0" b="0"/>
            <wp:docPr id="93"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7"/>
                    <a:srcRect/>
                    <a:stretch>
                      <a:fillRect/>
                    </a:stretch>
                  </pic:blipFill>
                  <pic:spPr>
                    <a:xfrm>
                      <a:off x="0" y="0"/>
                      <a:ext cx="5943600" cy="3289300"/>
                    </a:xfrm>
                    <a:prstGeom prst="rect">
                      <a:avLst/>
                    </a:prstGeom>
                    <a:ln/>
                  </pic:spPr>
                </pic:pic>
              </a:graphicData>
            </a:graphic>
          </wp:inline>
        </w:drawing>
      </w:r>
    </w:p>
    <w:p w14:paraId="570C1A3F" w14:textId="77777777" w:rsidR="007C5593" w:rsidRDefault="000A5866">
      <w:pPr>
        <w:pBdr>
          <w:top w:val="nil"/>
          <w:left w:val="nil"/>
          <w:bottom w:val="nil"/>
          <w:right w:val="nil"/>
          <w:between w:val="nil"/>
        </w:pBdr>
        <w:spacing w:before="20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3.2: Different research methods adopted in practical research</w:t>
      </w:r>
    </w:p>
    <w:p w14:paraId="0657D95A" w14:textId="77777777" w:rsidR="007C5593" w:rsidRDefault="000A5866">
      <w:pPr>
        <w:pBdr>
          <w:top w:val="nil"/>
          <w:left w:val="nil"/>
          <w:bottom w:val="nil"/>
          <w:right w:val="nil"/>
          <w:between w:val="nil"/>
        </w:pBdr>
        <w:spacing w:before="200"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Taherdoost, 2022)</w:t>
      </w:r>
    </w:p>
    <w:p w14:paraId="733A0BD6" w14:textId="77777777"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sidRPr="007132D5">
        <w:rPr>
          <w:rFonts w:ascii="Times New Roman" w:eastAsia="Times New Roman" w:hAnsi="Times New Roman" w:cs="Times New Roman"/>
          <w:color w:val="000000" w:themeColor="text1"/>
          <w:sz w:val="24"/>
          <w:szCs w:val="24"/>
        </w:rPr>
        <w:t>Additionally, the positivism research philosophy utilises a range of existing theories for making critical observations regarding a specific problem that further could be analysed with the help of numeric data. According to Alharahsheh and Pius (2020), positivism research philosophy would</w:t>
      </w:r>
      <w:r>
        <w:rPr>
          <w:rFonts w:ascii="Times New Roman" w:eastAsia="Times New Roman" w:hAnsi="Times New Roman" w:cs="Times New Roman"/>
          <w:sz w:val="24"/>
          <w:szCs w:val="24"/>
        </w:rPr>
        <w:t xml:space="preserve"> focus on only developing a causal relationship between the data collected which neglected generalisation of data in line with research objectives. It is noted that the application of positivism within this research could not adequately assess the impacts of CfD and ROCs schemes on the development of onshore and offshore wind energy projects. This assessment demanded alignment of quantitative data. </w:t>
      </w:r>
    </w:p>
    <w:p w14:paraId="14E50F26" w14:textId="77777777" w:rsidR="007C5593" w:rsidRDefault="000A5866">
      <w:pPr>
        <w:pStyle w:val="Heading2"/>
      </w:pPr>
      <w:bookmarkStart w:id="40" w:name="_heading=h.3fwokq0" w:colFirst="0" w:colLast="0"/>
      <w:bookmarkEnd w:id="40"/>
      <w:r>
        <w:lastRenderedPageBreak/>
        <w:t>3.4 Research Approach</w:t>
      </w:r>
    </w:p>
    <w:p w14:paraId="3282E8C4" w14:textId="48DAEFBF"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investigation on a specific topic demanded development of a general plan and details of techniques to achieve the research aims. A researcher could adopt any approach from three common approaches such as inductive, deductive, and abductive in terms of testing the validity of the assumptions. According to Casula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deductive approach could provide a wider level of structure sensitising research concepts and guide the data collection processes for producing new and useful research results. Primary quantitative research has been applied here that </w:t>
      </w:r>
      <w:r w:rsidR="008172AE">
        <w:rPr>
          <w:rFonts w:ascii="Times New Roman" w:eastAsia="Times New Roman" w:hAnsi="Times New Roman" w:cs="Times New Roman"/>
          <w:sz w:val="24"/>
          <w:szCs w:val="24"/>
        </w:rPr>
        <w:t>directly involves</w:t>
      </w:r>
      <w:r>
        <w:rPr>
          <w:rFonts w:ascii="Times New Roman" w:eastAsia="Times New Roman" w:hAnsi="Times New Roman" w:cs="Times New Roman"/>
          <w:sz w:val="24"/>
          <w:szCs w:val="24"/>
        </w:rPr>
        <w:t xml:space="preserve"> collection of data from a survey, rather than using data from previous research. It is objectified that deductive approach exerts a pattern of data collection and analysis that can test previous observations as well as new knowledge. On the other hand, Pacheco-Romero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have argued that adoption of a deductive approach can create a challenge in organising findings into different and complex socio-ecological settings. It is noted that abstraction of a wide range of data regarding the applications of CfD and ROCs schemes within the UK energy dimensions can be challenging through the lens of a deductive approach. </w:t>
      </w:r>
    </w:p>
    <w:p w14:paraId="63287760" w14:textId="77777777"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Exploratory research approach is a useful method for gaining diverse insights on a research problem that has not been well studied in previous practices. As per the views of Olawale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adoption of an exploratory approach within research is advantageous as it adds flexibility and adaptability to change the research techniques as per the nature of collected data. Therefore, the adoption of a deductive and exploratory research approach has been considered justified for this research that has helped in generating reliable results.</w:t>
      </w:r>
    </w:p>
    <w:p w14:paraId="2278855A" w14:textId="77777777" w:rsidR="007C5593" w:rsidRDefault="000A5866">
      <w:pPr>
        <w:pStyle w:val="Heading2"/>
      </w:pPr>
      <w:bookmarkStart w:id="41" w:name="_heading=h.1v1yuxt" w:colFirst="0" w:colLast="0"/>
      <w:bookmarkEnd w:id="41"/>
      <w:r>
        <w:lastRenderedPageBreak/>
        <w:t>3.5 Research Design</w:t>
      </w:r>
    </w:p>
    <w:p w14:paraId="04A0A19E" w14:textId="3DDC186B"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design is a strategy for answering questions of a research by integrating different components of a study into a coherent and logical plan including theories and models of underlying projects. A </w:t>
      </w:r>
      <w:r w:rsidR="008172AE">
        <w:rPr>
          <w:rFonts w:ascii="Times New Roman" w:eastAsia="Times New Roman" w:hAnsi="Times New Roman" w:cs="Times New Roman"/>
          <w:sz w:val="24"/>
          <w:szCs w:val="24"/>
        </w:rPr>
        <w:t>well-planned</w:t>
      </w:r>
      <w:r>
        <w:rPr>
          <w:rFonts w:ascii="Times New Roman" w:eastAsia="Times New Roman" w:hAnsi="Times New Roman" w:cs="Times New Roman"/>
          <w:sz w:val="24"/>
          <w:szCs w:val="24"/>
        </w:rPr>
        <w:t xml:space="preserve"> program has responsibility for ensuring rigour in quantitative research whether researchers design and implement to enhance results (Johnson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Research design is important as it provides a clear roadmap that helps to ensure reliability and validity of the results. Descriptive research, experimental research, explanatory research and case study research are the types of research design. In this research, </w:t>
      </w:r>
      <w:r>
        <w:rPr>
          <w:rFonts w:ascii="Times New Roman" w:eastAsia="Times New Roman" w:hAnsi="Times New Roman" w:cs="Times New Roman"/>
          <w:b/>
          <w:i/>
          <w:sz w:val="24"/>
          <w:szCs w:val="24"/>
        </w:rPr>
        <w:t>“descriptive research design”</w:t>
      </w:r>
      <w:r>
        <w:rPr>
          <w:rFonts w:ascii="Times New Roman" w:eastAsia="Times New Roman" w:hAnsi="Times New Roman" w:cs="Times New Roman"/>
          <w:sz w:val="24"/>
          <w:szCs w:val="24"/>
        </w:rPr>
        <w:t xml:space="preserve"> has been taken into consideration as accurate predictions can be understood for evaluating the effectiveness of renewable wind energy policies in the UK. Descriptive research design and methods explains procedures for defining variables, collecting data and preventive issues that may affect internal and external validity (Siedlecki, 2020). Descriptive research design has been used using primary quantitative research which is a very scientific method that involves testing a hypothesis through collection and analysing data. </w:t>
      </w:r>
    </w:p>
    <w:p w14:paraId="2164EEA9" w14:textId="32DC0AC5"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method, investigation can be done properly with observations that predict outcomes based on hypothesis. Further, it collects and processes data and verifies the results with a conclusion that is present and disseminates the findings. Descriptive design is something that has consistent </w:t>
      </w:r>
      <w:r w:rsidR="008172AE">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ability in the research process that creates credibility of issues (Doyle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It has practical applications at all stages of the design process and identifies critical elements that are needed to be explicit when applied this approach. On the contrary, Descriptive research depicts an accurate people or profile that is concerned with conditions, practices, structures and differences with the relationships that exist with opinions held in the processes </w:t>
      </w:r>
      <w:r>
        <w:rPr>
          <w:rFonts w:ascii="Times New Roman" w:eastAsia="Times New Roman" w:hAnsi="Times New Roman" w:cs="Times New Roman"/>
          <w:sz w:val="24"/>
          <w:szCs w:val="24"/>
        </w:rPr>
        <w:lastRenderedPageBreak/>
        <w:t xml:space="preserve">(Mohajan, 2020).  Other research designs have not taken into consideration the experimental or explanatory or case study basis of research. </w:t>
      </w:r>
    </w:p>
    <w:p w14:paraId="38248F14" w14:textId="77777777" w:rsidR="007C5593" w:rsidRDefault="000A5866">
      <w:pPr>
        <w:pStyle w:val="Heading2"/>
      </w:pPr>
      <w:bookmarkStart w:id="42" w:name="_heading=h.4f1mdlm" w:colFirst="0" w:colLast="0"/>
      <w:bookmarkEnd w:id="42"/>
      <w:r>
        <w:t>3.6 Research Strategy</w:t>
      </w:r>
    </w:p>
    <w:p w14:paraId="6D91C941" w14:textId="1B166E3D"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strategy is an overall action plan for conducting a research study that guides researchers in planning, executing and monitoring the study. Strategy of research is a </w:t>
      </w:r>
      <w:r w:rsidR="008172AE">
        <w:rPr>
          <w:rFonts w:ascii="Times New Roman" w:eastAsia="Times New Roman" w:hAnsi="Times New Roman" w:cs="Times New Roman"/>
          <w:sz w:val="24"/>
          <w:szCs w:val="24"/>
        </w:rPr>
        <w:t>step-by-step</w:t>
      </w:r>
      <w:r>
        <w:rPr>
          <w:rFonts w:ascii="Times New Roman" w:eastAsia="Times New Roman" w:hAnsi="Times New Roman" w:cs="Times New Roman"/>
          <w:sz w:val="24"/>
          <w:szCs w:val="24"/>
        </w:rPr>
        <w:t xml:space="preserve"> plan that helps researchers to conduct the work systematically </w:t>
      </w:r>
      <w:r w:rsidR="008172AE">
        <w:rPr>
          <w:rFonts w:ascii="Times New Roman" w:eastAsia="Times New Roman" w:hAnsi="Times New Roman" w:cs="Times New Roman"/>
          <w:sz w:val="24"/>
          <w:szCs w:val="24"/>
        </w:rPr>
        <w:t>based on</w:t>
      </w:r>
      <w:r>
        <w:rPr>
          <w:rFonts w:ascii="Times New Roman" w:eastAsia="Times New Roman" w:hAnsi="Times New Roman" w:cs="Times New Roman"/>
          <w:sz w:val="24"/>
          <w:szCs w:val="24"/>
        </w:rPr>
        <w:t xml:space="preserve"> schedule. Research strategy is used as a general plan that how researchers will go about answering the research questions (Mtisi, 2022). The research has focused on implementing quantitative strategy to evaluate the determined objectives by using primary data. Research strategy ensures the research that has been consulted effectively and in a timely manner and it comprises research goals to be focused. It saves time and resources by ensuring systematic research with high-quality results and detailed reporting. </w:t>
      </w:r>
    </w:p>
    <w:p w14:paraId="0CE2BE66" w14:textId="77777777"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study, primary quantitative data have been used to communicate through statistics and numbers. Quantitative research is a method for collecting and analysing numerical data to test hypotheses and explain real-world phenomena (Younus and Zaidan, 2022). It is a deductive approach that uses objective measurement with statistical, numerical or mathematical analysis. Primary quantitative strategy has been used for collecting and analysing numerical data that explains real-world phenomena. It is a popular method to conduct research where researchers directly collect data from a sample rather than using data from previous research. The type of research design that is chosen to form a hypothesis, collecting data, analysing data so that a proper survey can be made based on the research. On the contrary, the qualitative approach examines and assesses the genuineness of circumstances so that it helps in evaluating the present </w:t>
      </w:r>
      <w:r>
        <w:rPr>
          <w:rFonts w:ascii="Times New Roman" w:eastAsia="Times New Roman" w:hAnsi="Times New Roman" w:cs="Times New Roman"/>
          <w:sz w:val="24"/>
          <w:szCs w:val="24"/>
        </w:rPr>
        <w:lastRenderedPageBreak/>
        <w:t xml:space="preserve">status as compared to the past encounters with selected samples (Agarwal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It relies on thorough study of attitudes of the respondents to explain the psychological dimensions related to the journey of the study. </w:t>
      </w:r>
    </w:p>
    <w:p w14:paraId="71AF053A" w14:textId="77777777" w:rsidR="007C5593" w:rsidRDefault="000A5866">
      <w:pPr>
        <w:pStyle w:val="Heading2"/>
      </w:pPr>
      <w:bookmarkStart w:id="43" w:name="_heading=h.2u6wntf" w:colFirst="0" w:colLast="0"/>
      <w:bookmarkEnd w:id="43"/>
      <w:r>
        <w:t>3.7 Research Choice</w:t>
      </w:r>
    </w:p>
    <w:p w14:paraId="6268686C" w14:textId="77777777"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bookmarkStart w:id="44" w:name="_heading=h.19c6y18" w:colFirst="0" w:colLast="0"/>
      <w:bookmarkEnd w:id="44"/>
      <w:r>
        <w:rPr>
          <w:rFonts w:ascii="Times New Roman" w:eastAsia="Times New Roman" w:hAnsi="Times New Roman" w:cs="Times New Roman"/>
          <w:sz w:val="24"/>
          <w:szCs w:val="24"/>
        </w:rPr>
        <w:t xml:space="preserve">Research choice is the selection of a research methodology that determines how data is collected, analysed and interpreted. Research choice uses necessary training in research that utilises PR approach often to choose research methods and tools with validity of conclusion (Vaughn and Jacquez, 2020). Primary quantitative research has a goal that quantifies and measures phenomena by collecting numerical data using a survey. It further aims to test hypotheses, establish patterns and generalise findings to a larger population. Primary literature is an effective way of reinforcing relevant topics that can be covered in analytical courses (Heiss and Liu, 2022). In this study quantitative has been chosen as an approach to conduct this study. It has been taken into consideration as it reduces the influences of emotional and biased decisions that lead to more rational and consistent decision-making. These methods have been chosen so that various investment, fiscal and financial policies can be understood with a thorough descriptive understanding for the sake of this study. </w:t>
      </w:r>
    </w:p>
    <w:p w14:paraId="5A7AD5DE" w14:textId="77777777" w:rsidR="007C5593" w:rsidRDefault="000A5866">
      <w:pPr>
        <w:pStyle w:val="Heading2"/>
      </w:pPr>
      <w:bookmarkStart w:id="45" w:name="_heading=h.3tbugp1" w:colFirst="0" w:colLast="0"/>
      <w:bookmarkEnd w:id="45"/>
      <w:r>
        <w:t xml:space="preserve">3.8 Data Collection </w:t>
      </w:r>
    </w:p>
    <w:p w14:paraId="356B8F4C" w14:textId="77777777" w:rsidR="007C5593" w:rsidRDefault="000A5866">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process of data collection for assessing the effectiveness of renewable wind energy policies in the UK has been pursued with use of primary sources. Primary data collection propositions significantly allow us to explore existing and past wind energy policies considering the influence of “</w:t>
      </w:r>
      <w:r>
        <w:rPr>
          <w:rFonts w:ascii="Times New Roman" w:eastAsia="Times New Roman" w:hAnsi="Times New Roman" w:cs="Times New Roman"/>
          <w:b/>
          <w:i/>
          <w:sz w:val="24"/>
          <w:szCs w:val="24"/>
        </w:rPr>
        <w:t>Renewable obligation certificates</w:t>
      </w:r>
      <w:r>
        <w:rPr>
          <w:rFonts w:ascii="Times New Roman" w:eastAsia="Times New Roman" w:hAnsi="Times New Roman" w:cs="Times New Roman"/>
          <w:sz w:val="24"/>
          <w:szCs w:val="24"/>
        </w:rPr>
        <w:t>” and “</w:t>
      </w:r>
      <w:r>
        <w:rPr>
          <w:rFonts w:ascii="Times New Roman" w:eastAsia="Times New Roman" w:hAnsi="Times New Roman" w:cs="Times New Roman"/>
          <w:b/>
          <w:i/>
          <w:sz w:val="24"/>
          <w:szCs w:val="24"/>
        </w:rPr>
        <w:t>Contracts for Differences (CFD)</w:t>
      </w:r>
      <w:r>
        <w:rPr>
          <w:rFonts w:ascii="Times New Roman" w:eastAsia="Times New Roman" w:hAnsi="Times New Roman" w:cs="Times New Roman"/>
          <w:sz w:val="24"/>
          <w:szCs w:val="24"/>
        </w:rPr>
        <w:t xml:space="preserve">” in terms of the use of wind policies. </w:t>
      </w:r>
    </w:p>
    <w:p w14:paraId="7A6534CA" w14:textId="74FEBC39" w:rsidR="007C5593" w:rsidRDefault="000A5866">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“primary data collection method” is performed with a structured questionnaire to the UK people and this study effectively captures the perceptions of different government wind energy policies. These questions included the questions on public support of wind energy and their perceptions of the environmental impact. </w:t>
      </w:r>
      <w:r w:rsidR="008172AE">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ensure representation, the sample has included different types of respondents from diverse groups of people, such as gender, age, and geographical locations. Data collection is fundamental that gains insights and makes informed decisions. The actual feedback of the related stakeholders has been taken by using primary sources to collect data to address the determined objectives. Along with that, Pandey and Pandey (2021) stated that convenience sampling can cause limitations. Implementing </w:t>
      </w:r>
      <w:r w:rsidR="008172AE">
        <w:rPr>
          <w:rFonts w:ascii="Times New Roman" w:eastAsia="Times New Roman" w:hAnsi="Times New Roman" w:cs="Times New Roman"/>
          <w:sz w:val="24"/>
          <w:szCs w:val="24"/>
        </w:rPr>
        <w:t>both data</w:t>
      </w:r>
      <w:r>
        <w:rPr>
          <w:rFonts w:ascii="Times New Roman" w:eastAsia="Times New Roman" w:hAnsi="Times New Roman" w:cs="Times New Roman"/>
          <w:sz w:val="24"/>
          <w:szCs w:val="24"/>
        </w:rPr>
        <w:t xml:space="preserve"> types will be complementary to each other in this analysis. People will be contacted. The selected data analysis proposition is important to deliver an in-depth analysis of the policies, notably the primary data is effective in giving insights into the public opinion for the existing policies. Data has been organised as well as processed with the implication of quality data managing attributes and SPSS has been used to perform the quantitative data analysis. </w:t>
      </w:r>
    </w:p>
    <w:p w14:paraId="17A735F3" w14:textId="77777777" w:rsidR="007C5593" w:rsidRDefault="000A5866">
      <w:pPr>
        <w:pStyle w:val="Heading2"/>
      </w:pPr>
      <w:bookmarkStart w:id="46" w:name="_heading=h.28h4qwu" w:colFirst="0" w:colLast="0"/>
      <w:bookmarkEnd w:id="46"/>
      <w:r>
        <w:t>3.9 Sample Size</w:t>
      </w:r>
    </w:p>
    <w:p w14:paraId="04CD7BD4" w14:textId="30B26564" w:rsidR="007C5593" w:rsidRDefault="000A5866">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Sample size is the number of individuals, items or dta points that are included in a research study or experiment. It is a crucial factor in </w:t>
      </w:r>
      <w:r w:rsidR="007132D5">
        <w:rPr>
          <w:rFonts w:ascii="Times New Roman" w:eastAsia="Times New Roman" w:hAnsi="Times New Roman" w:cs="Times New Roman"/>
          <w:sz w:val="24"/>
          <w:szCs w:val="24"/>
        </w:rPr>
        <w:t>research</w:t>
      </w:r>
      <w:r>
        <w:rPr>
          <w:rFonts w:ascii="Times New Roman" w:eastAsia="Times New Roman" w:hAnsi="Times New Roman" w:cs="Times New Roman"/>
          <w:sz w:val="24"/>
          <w:szCs w:val="24"/>
        </w:rPr>
        <w:t xml:space="preserve"> as it directly impacts the reliability and accuracy of the findings. Appropriate sample size calculation and power analysis has become the major issue in research (Kang, 2021). Difficulties and complexities of calculating sample size requires proper knowledge to support personnel and programming skills into </w:t>
      </w:r>
      <w:r w:rsidR="007132D5">
        <w:rPr>
          <w:rFonts w:ascii="Times New Roman" w:eastAsia="Times New Roman" w:hAnsi="Times New Roman" w:cs="Times New Roman"/>
          <w:sz w:val="24"/>
          <w:szCs w:val="24"/>
        </w:rPr>
        <w:t>research</w:t>
      </w:r>
      <w:r>
        <w:rPr>
          <w:rFonts w:ascii="Times New Roman" w:eastAsia="Times New Roman" w:hAnsi="Times New Roman" w:cs="Times New Roman"/>
          <w:sz w:val="24"/>
          <w:szCs w:val="24"/>
        </w:rPr>
        <w:t xml:space="preserve">. A </w:t>
      </w:r>
      <w:r w:rsidR="007132D5">
        <w:rPr>
          <w:rFonts w:ascii="Times New Roman" w:eastAsia="Times New Roman" w:hAnsi="Times New Roman" w:cs="Times New Roman"/>
          <w:sz w:val="24"/>
          <w:szCs w:val="24"/>
        </w:rPr>
        <w:t>well-chosen</w:t>
      </w:r>
      <w:r>
        <w:rPr>
          <w:rFonts w:ascii="Times New Roman" w:eastAsia="Times New Roman" w:hAnsi="Times New Roman" w:cs="Times New Roman"/>
          <w:sz w:val="24"/>
          <w:szCs w:val="24"/>
        </w:rPr>
        <w:t xml:space="preserve"> sample size can help in ensuring that the results are accurate and can be generalised to a larger population. A sample size of 100 respondents has been chosen for conducting this survey with 10 questions to understand the effectiveness of renewable wind energy policies in the UK.</w:t>
      </w:r>
    </w:p>
    <w:p w14:paraId="5A14319B" w14:textId="77777777" w:rsidR="007C5593" w:rsidRDefault="000A5866">
      <w:pPr>
        <w:pStyle w:val="Heading2"/>
      </w:pPr>
      <w:bookmarkStart w:id="47" w:name="_heading=h.nmf14n" w:colFirst="0" w:colLast="0"/>
      <w:bookmarkEnd w:id="47"/>
      <w:r>
        <w:lastRenderedPageBreak/>
        <w:t>3.10 Sample Technique</w:t>
      </w:r>
    </w:p>
    <w:p w14:paraId="53BFECFC" w14:textId="5489032F" w:rsidR="007C5593" w:rsidRDefault="000A5866">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Sample technique is a method for selecting a subset of a population to represent the whole population. Sampling techniques are used in a variety of fields, including statistics, psychology research and the financial industry. Sampling technique is highly important in </w:t>
      </w:r>
      <w:r w:rsidR="008172AE">
        <w:rPr>
          <w:rFonts w:ascii="Times New Roman" w:eastAsia="Times New Roman" w:hAnsi="Times New Roman" w:cs="Times New Roman"/>
          <w:sz w:val="24"/>
          <w:szCs w:val="24"/>
        </w:rPr>
        <w:t>various</w:t>
      </w:r>
      <w:r>
        <w:rPr>
          <w:rFonts w:ascii="Times New Roman" w:eastAsia="Times New Roman" w:hAnsi="Times New Roman" w:cs="Times New Roman"/>
          <w:sz w:val="24"/>
          <w:szCs w:val="24"/>
        </w:rPr>
        <w:t xml:space="preserve"> kinds of experimental research (Rahman, 2023).  Simple random sampling has been chosen to conduct this research as a technique in lieu of probability sampling technique. It is the basis of data where sample space is enormous while studying the population by gathering information and analysing that data.</w:t>
      </w:r>
    </w:p>
    <w:p w14:paraId="04F36C0C" w14:textId="77777777" w:rsidR="007C5593" w:rsidRDefault="000A5866">
      <w:pPr>
        <w:pStyle w:val="Heading2"/>
      </w:pPr>
      <w:bookmarkStart w:id="48" w:name="_heading=h.37m2jsg" w:colFirst="0" w:colLast="0"/>
      <w:bookmarkEnd w:id="48"/>
      <w:r>
        <w:t xml:space="preserve">3.11 Data Analysis </w:t>
      </w:r>
    </w:p>
    <w:p w14:paraId="0984BC70" w14:textId="7F319CA1" w:rsidR="007C5593" w:rsidRDefault="000A5866">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analysis of this study has used quantitative methods to assess the effectiveness of wind policies in the UK; the quantitative analysis of the data is focused on acquiring the right information from different sources. The quantitative analysis has been employed with the help of primary data collected through the questionnaires and further analysis has been conducted with descriptive statistics, such as frequencies, and percentages. These statistical methods are significant in summarising responses in terms of assessing the perceptions of wind energies. Questions are based on the Likert scale </w:t>
      </w:r>
      <w:r w:rsidR="008172AE">
        <w:rPr>
          <w:rFonts w:ascii="Times New Roman" w:eastAsia="Times New Roman" w:hAnsi="Times New Roman" w:cs="Times New Roman"/>
          <w:sz w:val="24"/>
          <w:szCs w:val="24"/>
        </w:rPr>
        <w:t>evaluations,</w:t>
      </w:r>
      <w:r>
        <w:rPr>
          <w:rFonts w:ascii="Times New Roman" w:eastAsia="Times New Roman" w:hAnsi="Times New Roman" w:cs="Times New Roman"/>
          <w:sz w:val="24"/>
          <w:szCs w:val="24"/>
        </w:rPr>
        <w:t xml:space="preserve"> and it can measure public opinion on factors such as environmental impact or the importance of wind energy projects. Responses have been further evaluated with the help of SPSS to calculate the median, mean, and standard deviations.  These are certain quantitative tests that deliver an overview of different public sentiments (Saharan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In addition, geographical analysis is implemented to visually represent the data with the help of charts and graphs. The quantified analysis is important to represent the key trends from the responses. The implication of primary method allows distinctly for a nuanced </w:t>
      </w:r>
      <w:r>
        <w:rPr>
          <w:rFonts w:ascii="Times New Roman" w:eastAsia="Times New Roman" w:hAnsi="Times New Roman" w:cs="Times New Roman"/>
          <w:sz w:val="24"/>
          <w:szCs w:val="24"/>
        </w:rPr>
        <w:lastRenderedPageBreak/>
        <w:t xml:space="preserve">evaluation with a justification of policy implications as per public sentiment. These sorts of evaluations are important in providing a rounded perception of wind energy development in the UK. </w:t>
      </w:r>
    </w:p>
    <w:p w14:paraId="443DD161" w14:textId="77777777" w:rsidR="007C5593" w:rsidRDefault="000A5866">
      <w:pPr>
        <w:pStyle w:val="Heading2"/>
      </w:pPr>
      <w:bookmarkStart w:id="49" w:name="_heading=h.1mrcu09" w:colFirst="0" w:colLast="0"/>
      <w:bookmarkEnd w:id="49"/>
      <w:r>
        <w:t>3.12 Time Horizon</w:t>
      </w:r>
    </w:p>
    <w:p w14:paraId="12965507" w14:textId="77777777"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process for assessing the impacts of renewable wind energy policies such as CfD and ROCs have taken 18 weeks to be completed. The major tasks the research has considered as topic finalisation, literature review, data collection and analysis, and project completion. The topic finalisation has taken 15 days, literature review has taken 20 days, data collection and analysis has taken 50 days along with project completion has been completed within 45 days.</w:t>
      </w:r>
    </w:p>
    <w:p w14:paraId="2C489867" w14:textId="77777777" w:rsidR="007C5593" w:rsidRDefault="000A5866">
      <w:pPr>
        <w:pStyle w:val="Heading2"/>
      </w:pPr>
      <w:bookmarkStart w:id="50" w:name="_heading=h.46r0co2" w:colFirst="0" w:colLast="0"/>
      <w:bookmarkEnd w:id="50"/>
      <w:r>
        <w:t xml:space="preserve">3.13 Ethical Considerations </w:t>
      </w:r>
    </w:p>
    <w:p w14:paraId="780B7D5C" w14:textId="2BC97220" w:rsidR="007C5593" w:rsidRDefault="000A5866">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Ethical considerations are critical for ensuring the fair propositions and authenticity of the research. Kumari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stated that maintaining ethical considerations is complex, particularly in primary data collection. It is important to take consent from all participants. Informed consent will be taken from all </w:t>
      </w:r>
      <w:r w:rsidR="008172AE">
        <w:rPr>
          <w:rFonts w:ascii="Times New Roman" w:eastAsia="Times New Roman" w:hAnsi="Times New Roman" w:cs="Times New Roman"/>
          <w:sz w:val="24"/>
          <w:szCs w:val="24"/>
        </w:rPr>
        <w:t>participants,</w:t>
      </w:r>
      <w:r>
        <w:rPr>
          <w:rFonts w:ascii="Times New Roman" w:eastAsia="Times New Roman" w:hAnsi="Times New Roman" w:cs="Times New Roman"/>
          <w:sz w:val="24"/>
          <w:szCs w:val="24"/>
        </w:rPr>
        <w:t xml:space="preserve"> and it can ensure their awareness of research objectives. The research has also considered certain rights to be aware of their responsibilities during the process and they can also withdraw at any time without any sort of repercussions. The data collected from the questionnaires are also needed to be done with anonymity to ensure the privacy of the participants. All the data collected will be further stored as per the norms and compliance with the General Data Protection Regulation or GDPR. The primary data collected from the survey has been protected by using “data protection act” </w:t>
      </w:r>
      <w:r w:rsidR="008172AE">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maintain confidentiality. Additionally, this research aims to avoid any vulnerable population </w:t>
      </w:r>
      <w:r>
        <w:rPr>
          <w:rFonts w:ascii="Times New Roman" w:eastAsia="Times New Roman" w:hAnsi="Times New Roman" w:cs="Times New Roman"/>
          <w:sz w:val="24"/>
          <w:szCs w:val="24"/>
        </w:rPr>
        <w:lastRenderedPageBreak/>
        <w:t xml:space="preserve">groups to minimise the occurrence of ethical risks and it ensures that the study is composed with high integrity and respect in terms of the rights of the participants. </w:t>
      </w:r>
    </w:p>
    <w:p w14:paraId="6BD5195F" w14:textId="77777777" w:rsidR="007C5593" w:rsidRDefault="000A5866">
      <w:pPr>
        <w:pStyle w:val="Heading2"/>
      </w:pPr>
      <w:bookmarkStart w:id="51" w:name="_heading=h.2lwamvv" w:colFirst="0" w:colLast="0"/>
      <w:bookmarkEnd w:id="51"/>
      <w:r>
        <w:t>3.14 Reliability and Validity</w:t>
      </w:r>
    </w:p>
    <w:p w14:paraId="693B4187" w14:textId="361268A5" w:rsidR="007C5593" w:rsidRDefault="000A5866">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reliability analysis of this study is needed to be ensured with the use of standardised data collection methods by including a structured questionnaire. </w:t>
      </w:r>
      <w:r w:rsidR="008172AE">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maintain this consistency within the process of data collection is needed to be ensured and questions of the survey are also needed to follow an established framework, such as Likert scales and measured public perception. </w:t>
      </w:r>
    </w:p>
    <w:p w14:paraId="214DC72A" w14:textId="77777777" w:rsidR="007C5593" w:rsidRDefault="000A5866">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validity of the study will be restored by implementing a proper establishment of quality content. Along with that, Karunarathna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(2024) stated that credible and up to date sources for data can further increase the valid propositions of the study. Along with that, the study has focused on a sampling strategy will aim to represent a pilot version of the entire UK population in terms of demographics to ensure generalisation of the wider population groups of the UK. </w:t>
      </w:r>
    </w:p>
    <w:p w14:paraId="3FDE580C" w14:textId="77777777" w:rsidR="007C5593" w:rsidRDefault="000A5866">
      <w:pPr>
        <w:pStyle w:val="Heading2"/>
      </w:pPr>
      <w:bookmarkStart w:id="52" w:name="_heading=h.111kx3o" w:colFirst="0" w:colLast="0"/>
      <w:bookmarkEnd w:id="52"/>
      <w:r>
        <w:t>3.15 Chapter Summary</w:t>
      </w:r>
    </w:p>
    <w:p w14:paraId="4FE48A44" w14:textId="77777777"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chapter has discussed research methodology and how the UK has been using wind energy policies to fulfil its aim, objectives and selecting a suitable method. It has discussed research onion where evaluation of consumers’ behaviour of different factors has been analysed to assess effectiveness of renewable wind energy. It has further signified research philosophy that has shown different research methods that can objectify the research. Research approach has collaborated to understand existing theories with new assumptions about benefits of renewable wind energy policies for effective fulfilment of energy. </w:t>
      </w:r>
    </w:p>
    <w:p w14:paraId="0D993E9A" w14:textId="3037C9CF" w:rsidR="007C5593" w:rsidRDefault="000A5866">
      <w:pPr>
        <w:pBdr>
          <w:top w:val="nil"/>
          <w:left w:val="nil"/>
          <w:bottom w:val="nil"/>
          <w:right w:val="nil"/>
          <w:between w:val="nil"/>
        </w:pBd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Research strategy has signified which strategy has been included with a choice where quantitative has been focused on. Data collection has shown how data has been collected where data analysis has been used quantitative method. Research philosophy has been discussed followed by research design that questions </w:t>
      </w:r>
      <w:r w:rsidR="008172AE">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be answered with a clear roadmap to understand effective usage of renewable wind energy policies in the UK. Time horizon and ethical considerations have been seen together with ethical considerations that how data has been collected to fulfil this research minimising ethical risks. Reliability and validity of standardised data has been processed with data collections that are needed to ensure the questions the survey as needed to be followed. </w:t>
      </w:r>
    </w:p>
    <w:p w14:paraId="4B036300" w14:textId="77777777" w:rsidR="007C5593" w:rsidRDefault="000A5866">
      <w:pPr>
        <w:spacing w:line="480" w:lineRule="auto"/>
        <w:rPr>
          <w:rFonts w:ascii="Times New Roman" w:eastAsia="Times New Roman" w:hAnsi="Times New Roman" w:cs="Times New Roman"/>
        </w:rPr>
      </w:pPr>
      <w:r>
        <w:br w:type="page"/>
      </w:r>
    </w:p>
    <w:p w14:paraId="5BF9D4A9" w14:textId="77777777" w:rsidR="007C5593" w:rsidRPr="007132D5" w:rsidRDefault="000A5866">
      <w:pPr>
        <w:pStyle w:val="Heading1"/>
        <w:rPr>
          <w:sz w:val="32"/>
          <w:szCs w:val="32"/>
        </w:rPr>
      </w:pPr>
      <w:bookmarkStart w:id="53" w:name="_heading=h.3l18frh" w:colFirst="0" w:colLast="0"/>
      <w:bookmarkEnd w:id="53"/>
      <w:r w:rsidRPr="007132D5">
        <w:rPr>
          <w:sz w:val="32"/>
          <w:szCs w:val="32"/>
        </w:rPr>
        <w:lastRenderedPageBreak/>
        <w:t>Chapter 4: Data Analysis</w:t>
      </w:r>
    </w:p>
    <w:p w14:paraId="1A60332F" w14:textId="77777777" w:rsidR="007C5593" w:rsidRDefault="000A5866">
      <w:pPr>
        <w:pStyle w:val="Heading2"/>
      </w:pPr>
      <w:bookmarkStart w:id="54" w:name="_heading=h.206ipza" w:colFirst="0" w:colLast="0"/>
      <w:bookmarkEnd w:id="54"/>
      <w:r>
        <w:t>4.1 Chapter Introduction</w:t>
      </w:r>
    </w:p>
    <w:p w14:paraId="7798591A" w14:textId="77777777" w:rsidR="007C5593" w:rsidRDefault="000A5866">
      <w:pPr>
        <w:spacing w:line="480" w:lineRule="auto"/>
        <w:jc w:val="both"/>
      </w:pPr>
      <w:r>
        <w:rPr>
          <w:rFonts w:ascii="Times New Roman" w:eastAsia="Times New Roman" w:hAnsi="Times New Roman" w:cs="Times New Roman"/>
          <w:sz w:val="24"/>
          <w:szCs w:val="24"/>
        </w:rPr>
        <w:t xml:space="preserve">The chapter elaborates on the primary quantitative data findings conducted through online surveys. The survey is essential to capture the insights on the effectiveness of renewable wind energy policies in the United Kingdom. Moreover, the chapter also centres upon answering the research objective involving, to assess public perceptions regarding wind energy effectiveness in the UK primary research using a questionnaire. This is important for acquiring public attitudes towards wind energy projects and government initiatives. Thus, the chapter will provide a comprehensive evaluation on the interpretation of renewable energy policies through the interpretation of quantitative data. </w:t>
      </w:r>
    </w:p>
    <w:p w14:paraId="2A9F4224" w14:textId="77777777" w:rsidR="007C5593" w:rsidRDefault="000A5866">
      <w:pPr>
        <w:pStyle w:val="Heading2"/>
      </w:pPr>
      <w:bookmarkStart w:id="55" w:name="_heading=h.4k668n3" w:colFirst="0" w:colLast="0"/>
      <w:bookmarkEnd w:id="55"/>
      <w:r>
        <w:t>4.2 Findings</w:t>
      </w:r>
    </w:p>
    <w:p w14:paraId="3AB9371F" w14:textId="77777777" w:rsidR="007C5593" w:rsidRPr="007132D5" w:rsidRDefault="000A5866">
      <w:pPr>
        <w:pStyle w:val="Heading6"/>
        <w:rPr>
          <w:color w:val="000000" w:themeColor="text1"/>
        </w:rPr>
      </w:pPr>
      <w:bookmarkStart w:id="56" w:name="_heading=h.2zbgiuw" w:colFirst="0" w:colLast="0"/>
      <w:bookmarkEnd w:id="56"/>
      <w:r w:rsidRPr="007132D5">
        <w:rPr>
          <w:color w:val="000000" w:themeColor="text1"/>
        </w:rPr>
        <w:t>Question 1: Which age category do you belong to?</w:t>
      </w:r>
    </w:p>
    <w:tbl>
      <w:tblPr>
        <w:tblStyle w:val="ad"/>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C5593" w14:paraId="13410292" w14:textId="77777777">
        <w:trPr>
          <w:cantSplit/>
          <w:tblHeader/>
          <w:jc w:val="center"/>
        </w:trPr>
        <w:tc>
          <w:tcPr>
            <w:tcW w:w="3120" w:type="dxa"/>
            <w:shd w:val="clear" w:color="auto" w:fill="auto"/>
            <w:tcMar>
              <w:top w:w="100" w:type="dxa"/>
              <w:left w:w="100" w:type="dxa"/>
              <w:bottom w:w="100" w:type="dxa"/>
              <w:right w:w="100" w:type="dxa"/>
            </w:tcMar>
          </w:tcPr>
          <w:p w14:paraId="6E846425" w14:textId="77777777" w:rsidR="007C5593" w:rsidRDefault="000A5866">
            <w:pPr>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Answer Choices</w:t>
            </w:r>
          </w:p>
        </w:tc>
        <w:tc>
          <w:tcPr>
            <w:tcW w:w="3120" w:type="dxa"/>
            <w:shd w:val="clear" w:color="auto" w:fill="auto"/>
            <w:tcMar>
              <w:top w:w="100" w:type="dxa"/>
              <w:left w:w="100" w:type="dxa"/>
              <w:bottom w:w="100" w:type="dxa"/>
              <w:right w:w="100" w:type="dxa"/>
            </w:tcMar>
          </w:tcPr>
          <w:p w14:paraId="6802CF02" w14:textId="77777777" w:rsidR="007C5593" w:rsidRDefault="000A5866">
            <w:pPr>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Responses </w:t>
            </w:r>
          </w:p>
        </w:tc>
        <w:tc>
          <w:tcPr>
            <w:tcW w:w="3120" w:type="dxa"/>
            <w:shd w:val="clear" w:color="auto" w:fill="auto"/>
            <w:tcMar>
              <w:top w:w="100" w:type="dxa"/>
              <w:left w:w="100" w:type="dxa"/>
              <w:bottom w:w="100" w:type="dxa"/>
              <w:right w:w="100" w:type="dxa"/>
            </w:tcMar>
          </w:tcPr>
          <w:p w14:paraId="4ECC6B66" w14:textId="77777777" w:rsidR="007C5593" w:rsidRDefault="000A5866">
            <w:pPr>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Participant Number </w:t>
            </w:r>
          </w:p>
        </w:tc>
      </w:tr>
      <w:tr w:rsidR="007C5593" w14:paraId="62F18FF9" w14:textId="77777777">
        <w:trPr>
          <w:cantSplit/>
          <w:tblHeader/>
          <w:jc w:val="center"/>
        </w:trPr>
        <w:tc>
          <w:tcPr>
            <w:tcW w:w="3120" w:type="dxa"/>
            <w:shd w:val="clear" w:color="auto" w:fill="auto"/>
            <w:tcMar>
              <w:top w:w="100" w:type="dxa"/>
              <w:left w:w="100" w:type="dxa"/>
              <w:bottom w:w="100" w:type="dxa"/>
              <w:right w:w="100" w:type="dxa"/>
            </w:tcMar>
          </w:tcPr>
          <w:p w14:paraId="400C5EB3" w14:textId="77777777" w:rsidR="007C5593" w:rsidRDefault="000A5866">
            <w:pPr>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Under 25</w:t>
            </w:r>
          </w:p>
        </w:tc>
        <w:tc>
          <w:tcPr>
            <w:tcW w:w="3120" w:type="dxa"/>
            <w:shd w:val="clear" w:color="auto" w:fill="auto"/>
            <w:tcMar>
              <w:top w:w="100" w:type="dxa"/>
              <w:left w:w="100" w:type="dxa"/>
              <w:bottom w:w="100" w:type="dxa"/>
              <w:right w:w="100" w:type="dxa"/>
            </w:tcMar>
          </w:tcPr>
          <w:p w14:paraId="3599D3B1" w14:textId="77777777" w:rsidR="007C5593" w:rsidRDefault="000A5866">
            <w:pPr>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13.13%</w:t>
            </w:r>
          </w:p>
        </w:tc>
        <w:tc>
          <w:tcPr>
            <w:tcW w:w="3120" w:type="dxa"/>
            <w:shd w:val="clear" w:color="auto" w:fill="auto"/>
            <w:tcMar>
              <w:top w:w="100" w:type="dxa"/>
              <w:left w:w="100" w:type="dxa"/>
              <w:bottom w:w="100" w:type="dxa"/>
              <w:right w:w="100" w:type="dxa"/>
            </w:tcMar>
          </w:tcPr>
          <w:p w14:paraId="695AFEE5" w14:textId="77777777" w:rsidR="007C5593" w:rsidRDefault="000A5866">
            <w:pPr>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r>
      <w:tr w:rsidR="007C5593" w14:paraId="226741A0" w14:textId="77777777">
        <w:trPr>
          <w:cantSplit/>
          <w:tblHeader/>
          <w:jc w:val="center"/>
        </w:trPr>
        <w:tc>
          <w:tcPr>
            <w:tcW w:w="3120" w:type="dxa"/>
            <w:shd w:val="clear" w:color="auto" w:fill="auto"/>
            <w:tcMar>
              <w:top w:w="100" w:type="dxa"/>
              <w:left w:w="100" w:type="dxa"/>
              <w:bottom w:w="100" w:type="dxa"/>
              <w:right w:w="100" w:type="dxa"/>
            </w:tcMar>
          </w:tcPr>
          <w:p w14:paraId="682D3C2A" w14:textId="77777777" w:rsidR="007C5593" w:rsidRDefault="000A5866">
            <w:pPr>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25-45</w:t>
            </w:r>
          </w:p>
        </w:tc>
        <w:tc>
          <w:tcPr>
            <w:tcW w:w="3120" w:type="dxa"/>
            <w:shd w:val="clear" w:color="auto" w:fill="auto"/>
            <w:tcMar>
              <w:top w:w="100" w:type="dxa"/>
              <w:left w:w="100" w:type="dxa"/>
              <w:bottom w:w="100" w:type="dxa"/>
              <w:right w:w="100" w:type="dxa"/>
            </w:tcMar>
          </w:tcPr>
          <w:p w14:paraId="2A6A0900" w14:textId="77777777" w:rsidR="007C5593" w:rsidRDefault="000A5866">
            <w:pPr>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47.47%</w:t>
            </w:r>
          </w:p>
        </w:tc>
        <w:tc>
          <w:tcPr>
            <w:tcW w:w="3120" w:type="dxa"/>
            <w:shd w:val="clear" w:color="auto" w:fill="auto"/>
            <w:tcMar>
              <w:top w:w="100" w:type="dxa"/>
              <w:left w:w="100" w:type="dxa"/>
              <w:bottom w:w="100" w:type="dxa"/>
              <w:right w:w="100" w:type="dxa"/>
            </w:tcMar>
          </w:tcPr>
          <w:p w14:paraId="40E81480" w14:textId="77777777" w:rsidR="007C5593" w:rsidRDefault="000A5866">
            <w:pPr>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47</w:t>
            </w:r>
          </w:p>
        </w:tc>
      </w:tr>
      <w:tr w:rsidR="007C5593" w14:paraId="70EE14B3" w14:textId="77777777">
        <w:trPr>
          <w:cantSplit/>
          <w:tblHeader/>
          <w:jc w:val="center"/>
        </w:trPr>
        <w:tc>
          <w:tcPr>
            <w:tcW w:w="3120" w:type="dxa"/>
            <w:shd w:val="clear" w:color="auto" w:fill="auto"/>
            <w:tcMar>
              <w:top w:w="100" w:type="dxa"/>
              <w:left w:w="100" w:type="dxa"/>
              <w:bottom w:w="100" w:type="dxa"/>
              <w:right w:w="100" w:type="dxa"/>
            </w:tcMar>
          </w:tcPr>
          <w:p w14:paraId="6E4D69C5" w14:textId="77777777" w:rsidR="007C5593" w:rsidRDefault="000A5866">
            <w:pPr>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45-65</w:t>
            </w:r>
          </w:p>
        </w:tc>
        <w:tc>
          <w:tcPr>
            <w:tcW w:w="3120" w:type="dxa"/>
            <w:shd w:val="clear" w:color="auto" w:fill="auto"/>
            <w:tcMar>
              <w:top w:w="100" w:type="dxa"/>
              <w:left w:w="100" w:type="dxa"/>
              <w:bottom w:w="100" w:type="dxa"/>
              <w:right w:w="100" w:type="dxa"/>
            </w:tcMar>
          </w:tcPr>
          <w:p w14:paraId="2ADF91D2" w14:textId="77777777" w:rsidR="007C5593" w:rsidRDefault="000A5866">
            <w:pPr>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32.32%</w:t>
            </w:r>
          </w:p>
        </w:tc>
        <w:tc>
          <w:tcPr>
            <w:tcW w:w="3120" w:type="dxa"/>
            <w:shd w:val="clear" w:color="auto" w:fill="auto"/>
            <w:tcMar>
              <w:top w:w="100" w:type="dxa"/>
              <w:left w:w="100" w:type="dxa"/>
              <w:bottom w:w="100" w:type="dxa"/>
              <w:right w:w="100" w:type="dxa"/>
            </w:tcMar>
          </w:tcPr>
          <w:p w14:paraId="5DE9E474" w14:textId="77777777" w:rsidR="007C5593" w:rsidRDefault="000A5866">
            <w:pPr>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w:t>
            </w:r>
          </w:p>
        </w:tc>
      </w:tr>
      <w:tr w:rsidR="007C5593" w14:paraId="2FDBA1A0" w14:textId="77777777">
        <w:trPr>
          <w:cantSplit/>
          <w:tblHeader/>
          <w:jc w:val="center"/>
        </w:trPr>
        <w:tc>
          <w:tcPr>
            <w:tcW w:w="3120" w:type="dxa"/>
            <w:shd w:val="clear" w:color="auto" w:fill="auto"/>
            <w:tcMar>
              <w:top w:w="100" w:type="dxa"/>
              <w:left w:w="100" w:type="dxa"/>
              <w:bottom w:w="100" w:type="dxa"/>
              <w:right w:w="100" w:type="dxa"/>
            </w:tcMar>
          </w:tcPr>
          <w:p w14:paraId="789CF9B4" w14:textId="77777777" w:rsidR="007C5593" w:rsidRDefault="000A5866">
            <w:pPr>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65 above</w:t>
            </w:r>
          </w:p>
        </w:tc>
        <w:tc>
          <w:tcPr>
            <w:tcW w:w="3120" w:type="dxa"/>
            <w:shd w:val="clear" w:color="auto" w:fill="auto"/>
            <w:tcMar>
              <w:top w:w="100" w:type="dxa"/>
              <w:left w:w="100" w:type="dxa"/>
              <w:bottom w:w="100" w:type="dxa"/>
              <w:right w:w="100" w:type="dxa"/>
            </w:tcMar>
          </w:tcPr>
          <w:p w14:paraId="39247723" w14:textId="77777777" w:rsidR="007C5593" w:rsidRDefault="000A5866">
            <w:pPr>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7.07%</w:t>
            </w:r>
          </w:p>
        </w:tc>
        <w:tc>
          <w:tcPr>
            <w:tcW w:w="3120" w:type="dxa"/>
            <w:shd w:val="clear" w:color="auto" w:fill="auto"/>
            <w:tcMar>
              <w:top w:w="100" w:type="dxa"/>
              <w:left w:w="100" w:type="dxa"/>
              <w:bottom w:w="100" w:type="dxa"/>
              <w:right w:w="100" w:type="dxa"/>
            </w:tcMar>
          </w:tcPr>
          <w:p w14:paraId="46FB4039" w14:textId="77777777" w:rsidR="007C5593" w:rsidRDefault="000A5866">
            <w:pPr>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r>
      <w:tr w:rsidR="007C5593" w14:paraId="0CC89A6E" w14:textId="77777777">
        <w:trPr>
          <w:cantSplit/>
          <w:trHeight w:val="440"/>
          <w:tblHeader/>
          <w:jc w:val="center"/>
        </w:trPr>
        <w:tc>
          <w:tcPr>
            <w:tcW w:w="6240" w:type="dxa"/>
            <w:gridSpan w:val="2"/>
            <w:shd w:val="clear" w:color="auto" w:fill="auto"/>
            <w:tcMar>
              <w:top w:w="100" w:type="dxa"/>
              <w:left w:w="100" w:type="dxa"/>
              <w:bottom w:w="100" w:type="dxa"/>
              <w:right w:w="100" w:type="dxa"/>
            </w:tcMar>
          </w:tcPr>
          <w:p w14:paraId="17D44594" w14:textId="77777777" w:rsidR="007C5593" w:rsidRDefault="000A5866">
            <w:pPr>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w:t>
            </w:r>
          </w:p>
        </w:tc>
        <w:tc>
          <w:tcPr>
            <w:tcW w:w="3120" w:type="dxa"/>
            <w:shd w:val="clear" w:color="auto" w:fill="auto"/>
            <w:tcMar>
              <w:top w:w="100" w:type="dxa"/>
              <w:left w:w="100" w:type="dxa"/>
              <w:bottom w:w="100" w:type="dxa"/>
              <w:right w:w="100" w:type="dxa"/>
            </w:tcMar>
          </w:tcPr>
          <w:p w14:paraId="457DF90F" w14:textId="77777777" w:rsidR="007C5593" w:rsidRDefault="000A5866">
            <w:pPr>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99</w:t>
            </w:r>
          </w:p>
        </w:tc>
      </w:tr>
    </w:tbl>
    <w:p w14:paraId="06D9299C" w14:textId="77777777" w:rsidR="007C5593" w:rsidRDefault="000A5866">
      <w:pPr>
        <w:pStyle w:val="Heading5"/>
        <w:rPr>
          <w:color w:val="000000"/>
        </w:rPr>
      </w:pPr>
      <w:bookmarkStart w:id="57" w:name="_heading=h.1egqt2p" w:colFirst="0" w:colLast="0"/>
      <w:bookmarkEnd w:id="57"/>
      <w:r>
        <w:rPr>
          <w:color w:val="000000"/>
        </w:rPr>
        <w:lastRenderedPageBreak/>
        <w:t xml:space="preserve">Table 4.1: Frequency Table for Age Category </w:t>
      </w:r>
    </w:p>
    <w:p w14:paraId="541DE943" w14:textId="77777777" w:rsidR="007C5593" w:rsidRDefault="000A586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F0231C0" wp14:editId="123BA098">
            <wp:extent cx="5310188" cy="3429496"/>
            <wp:effectExtent l="12700" t="12700" r="12700" b="12700"/>
            <wp:docPr id="95"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8"/>
                    <a:srcRect/>
                    <a:stretch>
                      <a:fillRect/>
                    </a:stretch>
                  </pic:blipFill>
                  <pic:spPr>
                    <a:xfrm>
                      <a:off x="0" y="0"/>
                      <a:ext cx="5310188" cy="3429496"/>
                    </a:xfrm>
                    <a:prstGeom prst="rect">
                      <a:avLst/>
                    </a:prstGeom>
                    <a:ln w="12700">
                      <a:solidFill>
                        <a:srgbClr val="000000"/>
                      </a:solidFill>
                      <a:prstDash val="solid"/>
                    </a:ln>
                  </pic:spPr>
                </pic:pic>
              </a:graphicData>
            </a:graphic>
          </wp:inline>
        </w:drawing>
      </w:r>
    </w:p>
    <w:p w14:paraId="1A8A93E5" w14:textId="77777777" w:rsidR="007C5593" w:rsidRDefault="000A5866">
      <w:pPr>
        <w:pStyle w:val="Heading4"/>
      </w:pPr>
      <w:bookmarkStart w:id="58" w:name="_heading=h.3ygebqi" w:colFirst="0" w:colLast="0"/>
      <w:bookmarkEnd w:id="58"/>
      <w:r>
        <w:t>Figure 4.1: Age Category</w:t>
      </w:r>
    </w:p>
    <w:p w14:paraId="515888E3"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 shows that most of the participants are between the age group of 25 to 45 years old. On the other hand, a significant number of participants are between the age group of 45 to 65 years. Only 7.07% of the entire survey participants are between the age group of 65 and above. </w:t>
      </w:r>
    </w:p>
    <w:p w14:paraId="4C885E5B" w14:textId="77777777" w:rsidR="007C5593" w:rsidRPr="007132D5" w:rsidRDefault="000A5866">
      <w:pPr>
        <w:pStyle w:val="Heading6"/>
        <w:rPr>
          <w:color w:val="000000" w:themeColor="text1"/>
        </w:rPr>
      </w:pPr>
      <w:bookmarkStart w:id="59" w:name="_heading=h.2dlolyb" w:colFirst="0" w:colLast="0"/>
      <w:bookmarkEnd w:id="59"/>
      <w:r w:rsidRPr="007132D5">
        <w:rPr>
          <w:color w:val="000000" w:themeColor="text1"/>
        </w:rPr>
        <w:t>Question 2: What is your gender?</w:t>
      </w:r>
    </w:p>
    <w:tbl>
      <w:tblPr>
        <w:tblStyle w:val="ae"/>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C5593" w14:paraId="004D23D4" w14:textId="77777777">
        <w:trPr>
          <w:cantSplit/>
          <w:tblHeader/>
          <w:jc w:val="center"/>
        </w:trPr>
        <w:tc>
          <w:tcPr>
            <w:tcW w:w="3120" w:type="dxa"/>
            <w:shd w:val="clear" w:color="auto" w:fill="auto"/>
            <w:tcMar>
              <w:top w:w="100" w:type="dxa"/>
              <w:left w:w="100" w:type="dxa"/>
              <w:bottom w:w="100" w:type="dxa"/>
              <w:right w:w="100" w:type="dxa"/>
            </w:tcMar>
          </w:tcPr>
          <w:p w14:paraId="2698A67F"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Answer Choices</w:t>
            </w:r>
          </w:p>
        </w:tc>
        <w:tc>
          <w:tcPr>
            <w:tcW w:w="3120" w:type="dxa"/>
            <w:shd w:val="clear" w:color="auto" w:fill="auto"/>
            <w:tcMar>
              <w:top w:w="100" w:type="dxa"/>
              <w:left w:w="100" w:type="dxa"/>
              <w:bottom w:w="100" w:type="dxa"/>
              <w:right w:w="100" w:type="dxa"/>
            </w:tcMar>
          </w:tcPr>
          <w:p w14:paraId="49381D05"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Responses </w:t>
            </w:r>
          </w:p>
        </w:tc>
        <w:tc>
          <w:tcPr>
            <w:tcW w:w="3120" w:type="dxa"/>
            <w:shd w:val="clear" w:color="auto" w:fill="auto"/>
            <w:tcMar>
              <w:top w:w="100" w:type="dxa"/>
              <w:left w:w="100" w:type="dxa"/>
              <w:bottom w:w="100" w:type="dxa"/>
              <w:right w:w="100" w:type="dxa"/>
            </w:tcMar>
          </w:tcPr>
          <w:p w14:paraId="08BE1C37"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Participant Number </w:t>
            </w:r>
          </w:p>
        </w:tc>
      </w:tr>
      <w:tr w:rsidR="007C5593" w14:paraId="7CD2D7BF" w14:textId="77777777">
        <w:trPr>
          <w:cantSplit/>
          <w:tblHeader/>
          <w:jc w:val="center"/>
        </w:trPr>
        <w:tc>
          <w:tcPr>
            <w:tcW w:w="3120" w:type="dxa"/>
            <w:shd w:val="clear" w:color="auto" w:fill="auto"/>
            <w:tcMar>
              <w:top w:w="100" w:type="dxa"/>
              <w:left w:w="100" w:type="dxa"/>
              <w:bottom w:w="100" w:type="dxa"/>
              <w:right w:w="100" w:type="dxa"/>
            </w:tcMar>
          </w:tcPr>
          <w:p w14:paraId="2A64382F"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Male</w:t>
            </w:r>
          </w:p>
        </w:tc>
        <w:tc>
          <w:tcPr>
            <w:tcW w:w="3120" w:type="dxa"/>
            <w:shd w:val="clear" w:color="auto" w:fill="auto"/>
            <w:tcMar>
              <w:top w:w="100" w:type="dxa"/>
              <w:left w:w="100" w:type="dxa"/>
              <w:bottom w:w="100" w:type="dxa"/>
              <w:right w:w="100" w:type="dxa"/>
            </w:tcMar>
          </w:tcPr>
          <w:p w14:paraId="61CC3771"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45.45%</w:t>
            </w:r>
          </w:p>
        </w:tc>
        <w:tc>
          <w:tcPr>
            <w:tcW w:w="3120" w:type="dxa"/>
            <w:shd w:val="clear" w:color="auto" w:fill="auto"/>
            <w:tcMar>
              <w:top w:w="100" w:type="dxa"/>
              <w:left w:w="100" w:type="dxa"/>
              <w:bottom w:w="100" w:type="dxa"/>
              <w:right w:w="100" w:type="dxa"/>
            </w:tcMar>
          </w:tcPr>
          <w:p w14:paraId="7277E681"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45</w:t>
            </w:r>
          </w:p>
        </w:tc>
      </w:tr>
      <w:tr w:rsidR="007C5593" w14:paraId="69E2E7BF" w14:textId="77777777">
        <w:trPr>
          <w:cantSplit/>
          <w:tblHeader/>
          <w:jc w:val="center"/>
        </w:trPr>
        <w:tc>
          <w:tcPr>
            <w:tcW w:w="3120" w:type="dxa"/>
            <w:shd w:val="clear" w:color="auto" w:fill="auto"/>
            <w:tcMar>
              <w:top w:w="100" w:type="dxa"/>
              <w:left w:w="100" w:type="dxa"/>
              <w:bottom w:w="100" w:type="dxa"/>
              <w:right w:w="100" w:type="dxa"/>
            </w:tcMar>
          </w:tcPr>
          <w:p w14:paraId="3FABC860"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Female</w:t>
            </w:r>
          </w:p>
        </w:tc>
        <w:tc>
          <w:tcPr>
            <w:tcW w:w="3120" w:type="dxa"/>
            <w:shd w:val="clear" w:color="auto" w:fill="auto"/>
            <w:tcMar>
              <w:top w:w="100" w:type="dxa"/>
              <w:left w:w="100" w:type="dxa"/>
              <w:bottom w:w="100" w:type="dxa"/>
              <w:right w:w="100" w:type="dxa"/>
            </w:tcMar>
          </w:tcPr>
          <w:p w14:paraId="3C32ECCF"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49.49%</w:t>
            </w:r>
          </w:p>
        </w:tc>
        <w:tc>
          <w:tcPr>
            <w:tcW w:w="3120" w:type="dxa"/>
            <w:shd w:val="clear" w:color="auto" w:fill="auto"/>
            <w:tcMar>
              <w:top w:w="100" w:type="dxa"/>
              <w:left w:w="100" w:type="dxa"/>
              <w:bottom w:w="100" w:type="dxa"/>
              <w:right w:w="100" w:type="dxa"/>
            </w:tcMar>
          </w:tcPr>
          <w:p w14:paraId="08B38430"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49</w:t>
            </w:r>
          </w:p>
        </w:tc>
      </w:tr>
      <w:tr w:rsidR="007C5593" w14:paraId="7A741ECB" w14:textId="77777777">
        <w:trPr>
          <w:cantSplit/>
          <w:tblHeader/>
          <w:jc w:val="center"/>
        </w:trPr>
        <w:tc>
          <w:tcPr>
            <w:tcW w:w="3120" w:type="dxa"/>
            <w:shd w:val="clear" w:color="auto" w:fill="auto"/>
            <w:tcMar>
              <w:top w:w="100" w:type="dxa"/>
              <w:left w:w="100" w:type="dxa"/>
              <w:bottom w:w="100" w:type="dxa"/>
              <w:right w:w="100" w:type="dxa"/>
            </w:tcMar>
          </w:tcPr>
          <w:p w14:paraId="40E18113"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Others</w:t>
            </w:r>
          </w:p>
        </w:tc>
        <w:tc>
          <w:tcPr>
            <w:tcW w:w="3120" w:type="dxa"/>
            <w:shd w:val="clear" w:color="auto" w:fill="auto"/>
            <w:tcMar>
              <w:top w:w="100" w:type="dxa"/>
              <w:left w:w="100" w:type="dxa"/>
              <w:bottom w:w="100" w:type="dxa"/>
              <w:right w:w="100" w:type="dxa"/>
            </w:tcMar>
          </w:tcPr>
          <w:p w14:paraId="262184F4"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5.05%</w:t>
            </w:r>
          </w:p>
        </w:tc>
        <w:tc>
          <w:tcPr>
            <w:tcW w:w="3120" w:type="dxa"/>
            <w:shd w:val="clear" w:color="auto" w:fill="auto"/>
            <w:tcMar>
              <w:top w:w="100" w:type="dxa"/>
              <w:left w:w="100" w:type="dxa"/>
              <w:bottom w:w="100" w:type="dxa"/>
              <w:right w:w="100" w:type="dxa"/>
            </w:tcMar>
          </w:tcPr>
          <w:p w14:paraId="6EF65051"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r w:rsidR="007C5593" w14:paraId="75E53722" w14:textId="77777777">
        <w:trPr>
          <w:cantSplit/>
          <w:trHeight w:val="440"/>
          <w:tblHeader/>
          <w:jc w:val="center"/>
        </w:trPr>
        <w:tc>
          <w:tcPr>
            <w:tcW w:w="6240" w:type="dxa"/>
            <w:gridSpan w:val="2"/>
            <w:shd w:val="clear" w:color="auto" w:fill="auto"/>
            <w:tcMar>
              <w:top w:w="100" w:type="dxa"/>
              <w:left w:w="100" w:type="dxa"/>
              <w:bottom w:w="100" w:type="dxa"/>
              <w:right w:w="100" w:type="dxa"/>
            </w:tcMar>
          </w:tcPr>
          <w:p w14:paraId="53CE5D30"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w:t>
            </w:r>
          </w:p>
        </w:tc>
        <w:tc>
          <w:tcPr>
            <w:tcW w:w="3120" w:type="dxa"/>
            <w:shd w:val="clear" w:color="auto" w:fill="auto"/>
            <w:tcMar>
              <w:top w:w="100" w:type="dxa"/>
              <w:left w:w="100" w:type="dxa"/>
              <w:bottom w:w="100" w:type="dxa"/>
              <w:right w:w="100" w:type="dxa"/>
            </w:tcMar>
          </w:tcPr>
          <w:p w14:paraId="2ED9D5A0"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99</w:t>
            </w:r>
          </w:p>
        </w:tc>
      </w:tr>
    </w:tbl>
    <w:p w14:paraId="758115A6" w14:textId="77777777" w:rsidR="007C5593" w:rsidRDefault="000A5866">
      <w:pPr>
        <w:pStyle w:val="Heading5"/>
        <w:rPr>
          <w:color w:val="000000"/>
        </w:rPr>
      </w:pPr>
      <w:bookmarkStart w:id="60" w:name="_heading=h.sqyw64" w:colFirst="0" w:colLast="0"/>
      <w:bookmarkEnd w:id="60"/>
      <w:r>
        <w:rPr>
          <w:color w:val="000000"/>
        </w:rPr>
        <w:t xml:space="preserve">Table 4.2: Frequency Table for Gender Category </w:t>
      </w:r>
    </w:p>
    <w:p w14:paraId="74287CB5" w14:textId="77777777" w:rsidR="007C5593" w:rsidRDefault="000A586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148C94DA" wp14:editId="70373A6C">
            <wp:extent cx="5462588" cy="2897623"/>
            <wp:effectExtent l="12700" t="12700" r="12700" b="12700"/>
            <wp:docPr id="96"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9"/>
                    <a:srcRect/>
                    <a:stretch>
                      <a:fillRect/>
                    </a:stretch>
                  </pic:blipFill>
                  <pic:spPr>
                    <a:xfrm>
                      <a:off x="0" y="0"/>
                      <a:ext cx="5462588" cy="2897623"/>
                    </a:xfrm>
                    <a:prstGeom prst="rect">
                      <a:avLst/>
                    </a:prstGeom>
                    <a:ln w="12700">
                      <a:solidFill>
                        <a:srgbClr val="000000"/>
                      </a:solidFill>
                      <a:prstDash val="solid"/>
                    </a:ln>
                  </pic:spPr>
                </pic:pic>
              </a:graphicData>
            </a:graphic>
          </wp:inline>
        </w:drawing>
      </w:r>
    </w:p>
    <w:p w14:paraId="50453240" w14:textId="77777777" w:rsidR="007C5593" w:rsidRDefault="000A5866">
      <w:pPr>
        <w:pStyle w:val="Heading4"/>
      </w:pPr>
      <w:bookmarkStart w:id="61" w:name="_heading=h.3cqmetx" w:colFirst="0" w:colLast="0"/>
      <w:bookmarkEnd w:id="61"/>
      <w:r>
        <w:t>Figure 4.2: Gender Category</w:t>
      </w:r>
    </w:p>
    <w:p w14:paraId="09A59CE4"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w:t>
      </w:r>
      <w:r>
        <w:rPr>
          <w:rFonts w:ascii="Times New Roman" w:eastAsia="Times New Roman" w:hAnsi="Times New Roman" w:cs="Times New Roman"/>
          <w:i/>
          <w:sz w:val="24"/>
          <w:szCs w:val="24"/>
        </w:rPr>
        <w:t>Figure 4.2</w:t>
      </w:r>
      <w:r>
        <w:rPr>
          <w:rFonts w:ascii="Times New Roman" w:eastAsia="Times New Roman" w:hAnsi="Times New Roman" w:cs="Times New Roman"/>
          <w:sz w:val="24"/>
          <w:szCs w:val="24"/>
        </w:rPr>
        <w:t xml:space="preserve">, most of the participants are females (49.49%). The percentage of male candidates in this survey is 45.45%. </w:t>
      </w:r>
    </w:p>
    <w:p w14:paraId="31808FED" w14:textId="77777777" w:rsidR="007C5593" w:rsidRPr="007132D5" w:rsidRDefault="000A5866">
      <w:pPr>
        <w:pStyle w:val="Heading6"/>
        <w:rPr>
          <w:color w:val="000000" w:themeColor="text1"/>
        </w:rPr>
      </w:pPr>
      <w:bookmarkStart w:id="62" w:name="_heading=h.1rvwp1q" w:colFirst="0" w:colLast="0"/>
      <w:bookmarkEnd w:id="62"/>
      <w:r w:rsidRPr="007132D5">
        <w:rPr>
          <w:color w:val="000000" w:themeColor="text1"/>
        </w:rPr>
        <w:t>Question 3: Where do you live in the UK?</w:t>
      </w:r>
    </w:p>
    <w:tbl>
      <w:tblPr>
        <w:tblStyle w:val="af"/>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30"/>
        <w:gridCol w:w="2910"/>
        <w:gridCol w:w="3120"/>
      </w:tblGrid>
      <w:tr w:rsidR="007C5593" w14:paraId="73C9B30D" w14:textId="77777777">
        <w:trPr>
          <w:cantSplit/>
          <w:tblHeader/>
          <w:jc w:val="center"/>
        </w:trPr>
        <w:tc>
          <w:tcPr>
            <w:tcW w:w="3330" w:type="dxa"/>
            <w:shd w:val="clear" w:color="auto" w:fill="auto"/>
            <w:tcMar>
              <w:top w:w="100" w:type="dxa"/>
              <w:left w:w="100" w:type="dxa"/>
              <w:bottom w:w="100" w:type="dxa"/>
              <w:right w:w="100" w:type="dxa"/>
            </w:tcMar>
          </w:tcPr>
          <w:p w14:paraId="2C1E3A4F"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Answer Choices</w:t>
            </w:r>
          </w:p>
        </w:tc>
        <w:tc>
          <w:tcPr>
            <w:tcW w:w="2910" w:type="dxa"/>
            <w:shd w:val="clear" w:color="auto" w:fill="auto"/>
            <w:tcMar>
              <w:top w:w="100" w:type="dxa"/>
              <w:left w:w="100" w:type="dxa"/>
              <w:bottom w:w="100" w:type="dxa"/>
              <w:right w:w="100" w:type="dxa"/>
            </w:tcMar>
          </w:tcPr>
          <w:p w14:paraId="1EAFBFEB"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Responses </w:t>
            </w:r>
          </w:p>
        </w:tc>
        <w:tc>
          <w:tcPr>
            <w:tcW w:w="3120" w:type="dxa"/>
            <w:shd w:val="clear" w:color="auto" w:fill="auto"/>
            <w:tcMar>
              <w:top w:w="100" w:type="dxa"/>
              <w:left w:w="100" w:type="dxa"/>
              <w:bottom w:w="100" w:type="dxa"/>
              <w:right w:w="100" w:type="dxa"/>
            </w:tcMar>
          </w:tcPr>
          <w:p w14:paraId="57625E54"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Participant Number </w:t>
            </w:r>
          </w:p>
        </w:tc>
      </w:tr>
      <w:tr w:rsidR="007C5593" w14:paraId="1D2F4C36" w14:textId="77777777">
        <w:trPr>
          <w:cantSplit/>
          <w:tblHeader/>
          <w:jc w:val="center"/>
        </w:trPr>
        <w:tc>
          <w:tcPr>
            <w:tcW w:w="3330" w:type="dxa"/>
            <w:shd w:val="clear" w:color="auto" w:fill="auto"/>
            <w:tcMar>
              <w:top w:w="100" w:type="dxa"/>
              <w:left w:w="100" w:type="dxa"/>
              <w:bottom w:w="100" w:type="dxa"/>
              <w:right w:w="100" w:type="dxa"/>
            </w:tcMar>
          </w:tcPr>
          <w:p w14:paraId="1BE6E133"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London and Surrounding areas</w:t>
            </w:r>
          </w:p>
        </w:tc>
        <w:tc>
          <w:tcPr>
            <w:tcW w:w="2910" w:type="dxa"/>
            <w:shd w:val="clear" w:color="auto" w:fill="auto"/>
            <w:tcMar>
              <w:top w:w="100" w:type="dxa"/>
              <w:left w:w="100" w:type="dxa"/>
              <w:bottom w:w="100" w:type="dxa"/>
              <w:right w:w="100" w:type="dxa"/>
            </w:tcMar>
          </w:tcPr>
          <w:p w14:paraId="035A3587"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37.76%</w:t>
            </w:r>
          </w:p>
        </w:tc>
        <w:tc>
          <w:tcPr>
            <w:tcW w:w="3120" w:type="dxa"/>
            <w:shd w:val="clear" w:color="auto" w:fill="auto"/>
            <w:tcMar>
              <w:top w:w="100" w:type="dxa"/>
              <w:left w:w="100" w:type="dxa"/>
              <w:bottom w:w="100" w:type="dxa"/>
              <w:right w:w="100" w:type="dxa"/>
            </w:tcMar>
          </w:tcPr>
          <w:p w14:paraId="36C420E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37</w:t>
            </w:r>
          </w:p>
        </w:tc>
      </w:tr>
      <w:tr w:rsidR="007C5593" w14:paraId="0F62A862" w14:textId="77777777">
        <w:trPr>
          <w:cantSplit/>
          <w:tblHeader/>
          <w:jc w:val="center"/>
        </w:trPr>
        <w:tc>
          <w:tcPr>
            <w:tcW w:w="3330" w:type="dxa"/>
            <w:shd w:val="clear" w:color="auto" w:fill="auto"/>
            <w:tcMar>
              <w:top w:w="100" w:type="dxa"/>
              <w:left w:w="100" w:type="dxa"/>
              <w:bottom w:w="100" w:type="dxa"/>
              <w:right w:w="100" w:type="dxa"/>
            </w:tcMar>
          </w:tcPr>
          <w:p w14:paraId="3A8B649F"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Rest of England</w:t>
            </w:r>
          </w:p>
        </w:tc>
        <w:tc>
          <w:tcPr>
            <w:tcW w:w="2910" w:type="dxa"/>
            <w:shd w:val="clear" w:color="auto" w:fill="auto"/>
            <w:tcMar>
              <w:top w:w="100" w:type="dxa"/>
              <w:left w:w="100" w:type="dxa"/>
              <w:bottom w:w="100" w:type="dxa"/>
              <w:right w:w="100" w:type="dxa"/>
            </w:tcMar>
          </w:tcPr>
          <w:p w14:paraId="109FF9A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26.53%</w:t>
            </w:r>
          </w:p>
        </w:tc>
        <w:tc>
          <w:tcPr>
            <w:tcW w:w="3120" w:type="dxa"/>
            <w:shd w:val="clear" w:color="auto" w:fill="auto"/>
            <w:tcMar>
              <w:top w:w="100" w:type="dxa"/>
              <w:left w:w="100" w:type="dxa"/>
              <w:bottom w:w="100" w:type="dxa"/>
              <w:right w:w="100" w:type="dxa"/>
            </w:tcMar>
          </w:tcPr>
          <w:p w14:paraId="64399053"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w:t>
            </w:r>
          </w:p>
        </w:tc>
      </w:tr>
      <w:tr w:rsidR="007C5593" w14:paraId="632ABFE9" w14:textId="77777777">
        <w:trPr>
          <w:cantSplit/>
          <w:tblHeader/>
          <w:jc w:val="center"/>
        </w:trPr>
        <w:tc>
          <w:tcPr>
            <w:tcW w:w="3330" w:type="dxa"/>
            <w:shd w:val="clear" w:color="auto" w:fill="auto"/>
            <w:tcMar>
              <w:top w:w="100" w:type="dxa"/>
              <w:left w:w="100" w:type="dxa"/>
              <w:bottom w:w="100" w:type="dxa"/>
              <w:right w:w="100" w:type="dxa"/>
            </w:tcMar>
          </w:tcPr>
          <w:p w14:paraId="56E25E1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Wales</w:t>
            </w:r>
          </w:p>
        </w:tc>
        <w:tc>
          <w:tcPr>
            <w:tcW w:w="2910" w:type="dxa"/>
            <w:shd w:val="clear" w:color="auto" w:fill="auto"/>
            <w:tcMar>
              <w:top w:w="100" w:type="dxa"/>
              <w:left w:w="100" w:type="dxa"/>
              <w:bottom w:w="100" w:type="dxa"/>
              <w:right w:w="100" w:type="dxa"/>
            </w:tcMar>
          </w:tcPr>
          <w:p w14:paraId="45416650"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19.39%</w:t>
            </w:r>
          </w:p>
        </w:tc>
        <w:tc>
          <w:tcPr>
            <w:tcW w:w="3120" w:type="dxa"/>
            <w:shd w:val="clear" w:color="auto" w:fill="auto"/>
            <w:tcMar>
              <w:top w:w="100" w:type="dxa"/>
              <w:left w:w="100" w:type="dxa"/>
              <w:bottom w:w="100" w:type="dxa"/>
              <w:right w:w="100" w:type="dxa"/>
            </w:tcMar>
          </w:tcPr>
          <w:p w14:paraId="78FED47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r>
      <w:tr w:rsidR="007C5593" w14:paraId="6148564B" w14:textId="77777777">
        <w:trPr>
          <w:cantSplit/>
          <w:tblHeader/>
          <w:jc w:val="center"/>
        </w:trPr>
        <w:tc>
          <w:tcPr>
            <w:tcW w:w="3330" w:type="dxa"/>
            <w:shd w:val="clear" w:color="auto" w:fill="auto"/>
            <w:tcMar>
              <w:top w:w="100" w:type="dxa"/>
              <w:left w:w="100" w:type="dxa"/>
              <w:bottom w:w="100" w:type="dxa"/>
              <w:right w:w="100" w:type="dxa"/>
            </w:tcMar>
          </w:tcPr>
          <w:p w14:paraId="7A113B43"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Scotland</w:t>
            </w:r>
          </w:p>
        </w:tc>
        <w:tc>
          <w:tcPr>
            <w:tcW w:w="2910" w:type="dxa"/>
            <w:shd w:val="clear" w:color="auto" w:fill="auto"/>
            <w:tcMar>
              <w:top w:w="100" w:type="dxa"/>
              <w:left w:w="100" w:type="dxa"/>
              <w:bottom w:w="100" w:type="dxa"/>
              <w:right w:w="100" w:type="dxa"/>
            </w:tcMar>
          </w:tcPr>
          <w:p w14:paraId="021B6F95"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11.22%</w:t>
            </w:r>
          </w:p>
        </w:tc>
        <w:tc>
          <w:tcPr>
            <w:tcW w:w="3120" w:type="dxa"/>
            <w:shd w:val="clear" w:color="auto" w:fill="auto"/>
            <w:tcMar>
              <w:top w:w="100" w:type="dxa"/>
              <w:left w:w="100" w:type="dxa"/>
              <w:bottom w:w="100" w:type="dxa"/>
              <w:right w:w="100" w:type="dxa"/>
            </w:tcMar>
          </w:tcPr>
          <w:p w14:paraId="71944C84"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r>
      <w:tr w:rsidR="007C5593" w14:paraId="334F069E" w14:textId="77777777">
        <w:trPr>
          <w:cantSplit/>
          <w:tblHeader/>
          <w:jc w:val="center"/>
        </w:trPr>
        <w:tc>
          <w:tcPr>
            <w:tcW w:w="3330" w:type="dxa"/>
            <w:shd w:val="clear" w:color="auto" w:fill="auto"/>
            <w:tcMar>
              <w:top w:w="100" w:type="dxa"/>
              <w:left w:w="100" w:type="dxa"/>
              <w:bottom w:w="100" w:type="dxa"/>
              <w:right w:w="100" w:type="dxa"/>
            </w:tcMar>
          </w:tcPr>
          <w:p w14:paraId="2F237335"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Northern Ireland</w:t>
            </w:r>
          </w:p>
        </w:tc>
        <w:tc>
          <w:tcPr>
            <w:tcW w:w="2910" w:type="dxa"/>
            <w:shd w:val="clear" w:color="auto" w:fill="auto"/>
            <w:tcMar>
              <w:top w:w="100" w:type="dxa"/>
              <w:left w:w="100" w:type="dxa"/>
              <w:bottom w:w="100" w:type="dxa"/>
              <w:right w:w="100" w:type="dxa"/>
            </w:tcMar>
          </w:tcPr>
          <w:p w14:paraId="7E078AAC"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5.10%</w:t>
            </w:r>
          </w:p>
        </w:tc>
        <w:tc>
          <w:tcPr>
            <w:tcW w:w="3120" w:type="dxa"/>
            <w:shd w:val="clear" w:color="auto" w:fill="auto"/>
            <w:tcMar>
              <w:top w:w="100" w:type="dxa"/>
              <w:left w:w="100" w:type="dxa"/>
              <w:bottom w:w="100" w:type="dxa"/>
              <w:right w:w="100" w:type="dxa"/>
            </w:tcMar>
          </w:tcPr>
          <w:p w14:paraId="025FE133"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r w:rsidR="007C5593" w14:paraId="052ABDFD" w14:textId="77777777">
        <w:trPr>
          <w:cantSplit/>
          <w:trHeight w:val="440"/>
          <w:tblHeader/>
          <w:jc w:val="center"/>
        </w:trPr>
        <w:tc>
          <w:tcPr>
            <w:tcW w:w="6240" w:type="dxa"/>
            <w:gridSpan w:val="2"/>
            <w:shd w:val="clear" w:color="auto" w:fill="auto"/>
            <w:tcMar>
              <w:top w:w="100" w:type="dxa"/>
              <w:left w:w="100" w:type="dxa"/>
              <w:bottom w:w="100" w:type="dxa"/>
              <w:right w:w="100" w:type="dxa"/>
            </w:tcMar>
          </w:tcPr>
          <w:p w14:paraId="79BDB1DD"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w:t>
            </w:r>
          </w:p>
        </w:tc>
        <w:tc>
          <w:tcPr>
            <w:tcW w:w="3120" w:type="dxa"/>
            <w:shd w:val="clear" w:color="auto" w:fill="auto"/>
            <w:tcMar>
              <w:top w:w="100" w:type="dxa"/>
              <w:left w:w="100" w:type="dxa"/>
              <w:bottom w:w="100" w:type="dxa"/>
              <w:right w:w="100" w:type="dxa"/>
            </w:tcMar>
          </w:tcPr>
          <w:p w14:paraId="7D5D73A7"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98</w:t>
            </w:r>
          </w:p>
        </w:tc>
      </w:tr>
    </w:tbl>
    <w:p w14:paraId="53C7512D" w14:textId="77777777" w:rsidR="007C5593" w:rsidRDefault="000A5866">
      <w:pPr>
        <w:pStyle w:val="Heading5"/>
        <w:rPr>
          <w:color w:val="000000"/>
        </w:rPr>
      </w:pPr>
      <w:bookmarkStart w:id="63" w:name="_heading=h.4bvk7pj" w:colFirst="0" w:colLast="0"/>
      <w:bookmarkEnd w:id="63"/>
      <w:r>
        <w:rPr>
          <w:color w:val="000000"/>
        </w:rPr>
        <w:t xml:space="preserve">Table 4.3: Frequency Table for Location Category </w:t>
      </w:r>
    </w:p>
    <w:p w14:paraId="20820304" w14:textId="77777777" w:rsidR="007C5593" w:rsidRDefault="000A586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11C9292A" wp14:editId="6D3CE155">
            <wp:extent cx="5405438" cy="3213810"/>
            <wp:effectExtent l="12700" t="12700" r="12700" b="12700"/>
            <wp:docPr id="97"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0"/>
                    <a:srcRect/>
                    <a:stretch>
                      <a:fillRect/>
                    </a:stretch>
                  </pic:blipFill>
                  <pic:spPr>
                    <a:xfrm>
                      <a:off x="0" y="0"/>
                      <a:ext cx="5405438" cy="3213810"/>
                    </a:xfrm>
                    <a:prstGeom prst="rect">
                      <a:avLst/>
                    </a:prstGeom>
                    <a:ln w="12700">
                      <a:solidFill>
                        <a:srgbClr val="000000"/>
                      </a:solidFill>
                      <a:prstDash val="solid"/>
                    </a:ln>
                  </pic:spPr>
                </pic:pic>
              </a:graphicData>
            </a:graphic>
          </wp:inline>
        </w:drawing>
      </w:r>
    </w:p>
    <w:p w14:paraId="36BA77DC" w14:textId="77777777" w:rsidR="007C5593" w:rsidRDefault="000A5866">
      <w:pPr>
        <w:pStyle w:val="Heading4"/>
      </w:pPr>
      <w:bookmarkStart w:id="64" w:name="_heading=h.2r0uhxc" w:colFirst="0" w:colLast="0"/>
      <w:bookmarkEnd w:id="64"/>
      <w:r>
        <w:t xml:space="preserve">Figure 4.3: Location Category </w:t>
      </w:r>
    </w:p>
    <w:p w14:paraId="2A9510BC"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figure of location category clearly showcases that most of the respondents live in London and surrounding areas whereas few participants live in Northern Ireland. </w:t>
      </w:r>
    </w:p>
    <w:p w14:paraId="33AFBFA9" w14:textId="77777777" w:rsidR="007C5593" w:rsidRPr="007132D5" w:rsidRDefault="000A5866">
      <w:pPr>
        <w:pStyle w:val="Heading6"/>
        <w:rPr>
          <w:color w:val="000000" w:themeColor="text1"/>
        </w:rPr>
      </w:pPr>
      <w:bookmarkStart w:id="65" w:name="_heading=h.1664s55" w:colFirst="0" w:colLast="0"/>
      <w:bookmarkEnd w:id="65"/>
      <w:r w:rsidRPr="007132D5">
        <w:rPr>
          <w:color w:val="000000" w:themeColor="text1"/>
        </w:rPr>
        <w:t>Question 4: Are you aware of how much energy is generated by wind power in the UK?</w:t>
      </w:r>
    </w:p>
    <w:tbl>
      <w:tblPr>
        <w:tblStyle w:val="af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C5593" w14:paraId="6B70B384" w14:textId="77777777">
        <w:trPr>
          <w:cantSplit/>
          <w:tblHeader/>
          <w:jc w:val="center"/>
        </w:trPr>
        <w:tc>
          <w:tcPr>
            <w:tcW w:w="3120" w:type="dxa"/>
            <w:shd w:val="clear" w:color="auto" w:fill="auto"/>
            <w:tcMar>
              <w:top w:w="100" w:type="dxa"/>
              <w:left w:w="100" w:type="dxa"/>
              <w:bottom w:w="100" w:type="dxa"/>
              <w:right w:w="100" w:type="dxa"/>
            </w:tcMar>
          </w:tcPr>
          <w:p w14:paraId="7858752E"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Answer Choices</w:t>
            </w:r>
          </w:p>
        </w:tc>
        <w:tc>
          <w:tcPr>
            <w:tcW w:w="3120" w:type="dxa"/>
            <w:shd w:val="clear" w:color="auto" w:fill="auto"/>
            <w:tcMar>
              <w:top w:w="100" w:type="dxa"/>
              <w:left w:w="100" w:type="dxa"/>
              <w:bottom w:w="100" w:type="dxa"/>
              <w:right w:w="100" w:type="dxa"/>
            </w:tcMar>
          </w:tcPr>
          <w:p w14:paraId="74946E27"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Responses </w:t>
            </w:r>
          </w:p>
        </w:tc>
        <w:tc>
          <w:tcPr>
            <w:tcW w:w="3120" w:type="dxa"/>
            <w:shd w:val="clear" w:color="auto" w:fill="auto"/>
            <w:tcMar>
              <w:top w:w="100" w:type="dxa"/>
              <w:left w:w="100" w:type="dxa"/>
              <w:bottom w:w="100" w:type="dxa"/>
              <w:right w:w="100" w:type="dxa"/>
            </w:tcMar>
          </w:tcPr>
          <w:p w14:paraId="7D52C586"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Participant Number </w:t>
            </w:r>
          </w:p>
        </w:tc>
      </w:tr>
      <w:tr w:rsidR="007C5593" w14:paraId="2F358175" w14:textId="77777777">
        <w:trPr>
          <w:cantSplit/>
          <w:tblHeader/>
          <w:jc w:val="center"/>
        </w:trPr>
        <w:tc>
          <w:tcPr>
            <w:tcW w:w="3120" w:type="dxa"/>
            <w:shd w:val="clear" w:color="auto" w:fill="auto"/>
            <w:tcMar>
              <w:top w:w="100" w:type="dxa"/>
              <w:left w:w="100" w:type="dxa"/>
              <w:bottom w:w="100" w:type="dxa"/>
              <w:right w:w="100" w:type="dxa"/>
            </w:tcMar>
          </w:tcPr>
          <w:p w14:paraId="5DA3C94F"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3120" w:type="dxa"/>
            <w:shd w:val="clear" w:color="auto" w:fill="auto"/>
            <w:tcMar>
              <w:top w:w="100" w:type="dxa"/>
              <w:left w:w="100" w:type="dxa"/>
              <w:bottom w:w="100" w:type="dxa"/>
              <w:right w:w="100" w:type="dxa"/>
            </w:tcMar>
          </w:tcPr>
          <w:p w14:paraId="6F6ECD5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81.63%</w:t>
            </w:r>
          </w:p>
        </w:tc>
        <w:tc>
          <w:tcPr>
            <w:tcW w:w="3120" w:type="dxa"/>
            <w:shd w:val="clear" w:color="auto" w:fill="auto"/>
            <w:tcMar>
              <w:top w:w="100" w:type="dxa"/>
              <w:left w:w="100" w:type="dxa"/>
              <w:bottom w:w="100" w:type="dxa"/>
              <w:right w:w="100" w:type="dxa"/>
            </w:tcMar>
          </w:tcPr>
          <w:p w14:paraId="08C957AF"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80</w:t>
            </w:r>
          </w:p>
        </w:tc>
      </w:tr>
      <w:tr w:rsidR="007C5593" w14:paraId="2D9B93D7" w14:textId="77777777">
        <w:trPr>
          <w:cantSplit/>
          <w:tblHeader/>
          <w:jc w:val="center"/>
        </w:trPr>
        <w:tc>
          <w:tcPr>
            <w:tcW w:w="3120" w:type="dxa"/>
            <w:shd w:val="clear" w:color="auto" w:fill="auto"/>
            <w:tcMar>
              <w:top w:w="100" w:type="dxa"/>
              <w:left w:w="100" w:type="dxa"/>
              <w:bottom w:w="100" w:type="dxa"/>
              <w:right w:w="100" w:type="dxa"/>
            </w:tcMar>
          </w:tcPr>
          <w:p w14:paraId="32B437C7"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No</w:t>
            </w:r>
          </w:p>
        </w:tc>
        <w:tc>
          <w:tcPr>
            <w:tcW w:w="3120" w:type="dxa"/>
            <w:shd w:val="clear" w:color="auto" w:fill="auto"/>
            <w:tcMar>
              <w:top w:w="100" w:type="dxa"/>
              <w:left w:w="100" w:type="dxa"/>
              <w:bottom w:w="100" w:type="dxa"/>
              <w:right w:w="100" w:type="dxa"/>
            </w:tcMar>
          </w:tcPr>
          <w:p w14:paraId="46CC91B4"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18.37%</w:t>
            </w:r>
          </w:p>
        </w:tc>
        <w:tc>
          <w:tcPr>
            <w:tcW w:w="3120" w:type="dxa"/>
            <w:shd w:val="clear" w:color="auto" w:fill="auto"/>
            <w:tcMar>
              <w:top w:w="100" w:type="dxa"/>
              <w:left w:w="100" w:type="dxa"/>
              <w:bottom w:w="100" w:type="dxa"/>
              <w:right w:w="100" w:type="dxa"/>
            </w:tcMar>
          </w:tcPr>
          <w:p w14:paraId="30FE7A03"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r>
      <w:tr w:rsidR="007C5593" w14:paraId="0C6CE83E" w14:textId="77777777">
        <w:trPr>
          <w:cantSplit/>
          <w:trHeight w:val="440"/>
          <w:tblHeader/>
          <w:jc w:val="center"/>
        </w:trPr>
        <w:tc>
          <w:tcPr>
            <w:tcW w:w="6240" w:type="dxa"/>
            <w:gridSpan w:val="2"/>
            <w:shd w:val="clear" w:color="auto" w:fill="auto"/>
            <w:tcMar>
              <w:top w:w="100" w:type="dxa"/>
              <w:left w:w="100" w:type="dxa"/>
              <w:bottom w:w="100" w:type="dxa"/>
              <w:right w:w="100" w:type="dxa"/>
            </w:tcMar>
          </w:tcPr>
          <w:p w14:paraId="44837546"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w:t>
            </w:r>
          </w:p>
        </w:tc>
        <w:tc>
          <w:tcPr>
            <w:tcW w:w="3120" w:type="dxa"/>
            <w:shd w:val="clear" w:color="auto" w:fill="auto"/>
            <w:tcMar>
              <w:top w:w="100" w:type="dxa"/>
              <w:left w:w="100" w:type="dxa"/>
              <w:bottom w:w="100" w:type="dxa"/>
              <w:right w:w="100" w:type="dxa"/>
            </w:tcMar>
          </w:tcPr>
          <w:p w14:paraId="0236D3E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98</w:t>
            </w:r>
          </w:p>
        </w:tc>
      </w:tr>
    </w:tbl>
    <w:p w14:paraId="49164E65" w14:textId="77777777" w:rsidR="007C5593" w:rsidRDefault="000A5866">
      <w:pPr>
        <w:pStyle w:val="Heading5"/>
        <w:rPr>
          <w:color w:val="000000"/>
        </w:rPr>
      </w:pPr>
      <w:bookmarkStart w:id="66" w:name="_heading=h.3q5sasy" w:colFirst="0" w:colLast="0"/>
      <w:bookmarkEnd w:id="66"/>
      <w:r>
        <w:rPr>
          <w:color w:val="000000"/>
        </w:rPr>
        <w:t>Table 4.4: Frequency Table for Awareness about Wind-Power Energy in the UK</w:t>
      </w:r>
    </w:p>
    <w:p w14:paraId="77CA482E" w14:textId="77777777" w:rsidR="007C5593" w:rsidRDefault="000A586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539D791B" wp14:editId="5B3BEB21">
            <wp:extent cx="5048250" cy="2554328"/>
            <wp:effectExtent l="12700" t="12700" r="12700" b="12700"/>
            <wp:docPr id="98"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1"/>
                    <a:srcRect/>
                    <a:stretch>
                      <a:fillRect/>
                    </a:stretch>
                  </pic:blipFill>
                  <pic:spPr>
                    <a:xfrm>
                      <a:off x="0" y="0"/>
                      <a:ext cx="5048250" cy="2554328"/>
                    </a:xfrm>
                    <a:prstGeom prst="rect">
                      <a:avLst/>
                    </a:prstGeom>
                    <a:ln w="12700">
                      <a:solidFill>
                        <a:srgbClr val="000000"/>
                      </a:solidFill>
                      <a:prstDash val="solid"/>
                    </a:ln>
                  </pic:spPr>
                </pic:pic>
              </a:graphicData>
            </a:graphic>
          </wp:inline>
        </w:drawing>
      </w:r>
    </w:p>
    <w:p w14:paraId="263FF2EA" w14:textId="77777777" w:rsidR="007C5593" w:rsidRDefault="000A5866">
      <w:pPr>
        <w:pStyle w:val="Heading4"/>
      </w:pPr>
      <w:bookmarkStart w:id="67" w:name="_heading=h.25b2l0r" w:colFirst="0" w:colLast="0"/>
      <w:bookmarkEnd w:id="67"/>
      <w:r>
        <w:t>Figure 4.4: Awareness about Wind-Power Energy in the UK</w:t>
      </w:r>
    </w:p>
    <w:p w14:paraId="7E56CB8D"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Figure</w:t>
      </w:r>
      <w:r>
        <w:rPr>
          <w:rFonts w:ascii="Times New Roman" w:eastAsia="Times New Roman" w:hAnsi="Times New Roman" w:cs="Times New Roman"/>
          <w:i/>
          <w:sz w:val="24"/>
          <w:szCs w:val="24"/>
        </w:rPr>
        <w:t xml:space="preserve"> 4.4</w:t>
      </w:r>
      <w:r>
        <w:rPr>
          <w:rFonts w:ascii="Times New Roman" w:eastAsia="Times New Roman" w:hAnsi="Times New Roman" w:cs="Times New Roman"/>
          <w:sz w:val="24"/>
          <w:szCs w:val="24"/>
        </w:rPr>
        <w:t xml:space="preserve">, 81.63% participants of the entire survey stated that they are aware about the amount of energy produced through wind power in the UK. However, 18.37% of the overall survey respondents or 18 of the 100 respondents  are not aware about the amount of energy produced through wind power in the UK. </w:t>
      </w:r>
    </w:p>
    <w:p w14:paraId="62CBEA8A" w14:textId="77777777" w:rsidR="007C5593" w:rsidRPr="007132D5" w:rsidRDefault="000A5866">
      <w:pPr>
        <w:pStyle w:val="Heading6"/>
        <w:rPr>
          <w:color w:val="000000" w:themeColor="text1"/>
        </w:rPr>
      </w:pPr>
      <w:bookmarkStart w:id="68" w:name="_heading=h.kgcv8k" w:colFirst="0" w:colLast="0"/>
      <w:bookmarkEnd w:id="68"/>
      <w:r w:rsidRPr="007132D5">
        <w:rPr>
          <w:color w:val="000000" w:themeColor="text1"/>
        </w:rPr>
        <w:t>Question 5: Do you live near wind turbines?</w:t>
      </w:r>
    </w:p>
    <w:tbl>
      <w:tblPr>
        <w:tblStyle w:val="af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C5593" w14:paraId="519C95E8" w14:textId="77777777">
        <w:trPr>
          <w:cantSplit/>
          <w:tblHeader/>
          <w:jc w:val="center"/>
        </w:trPr>
        <w:tc>
          <w:tcPr>
            <w:tcW w:w="3120" w:type="dxa"/>
            <w:shd w:val="clear" w:color="auto" w:fill="auto"/>
            <w:tcMar>
              <w:top w:w="100" w:type="dxa"/>
              <w:left w:w="100" w:type="dxa"/>
              <w:bottom w:w="100" w:type="dxa"/>
              <w:right w:w="100" w:type="dxa"/>
            </w:tcMar>
          </w:tcPr>
          <w:p w14:paraId="43F195F6"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Answer Choices</w:t>
            </w:r>
          </w:p>
        </w:tc>
        <w:tc>
          <w:tcPr>
            <w:tcW w:w="3120" w:type="dxa"/>
            <w:shd w:val="clear" w:color="auto" w:fill="auto"/>
            <w:tcMar>
              <w:top w:w="100" w:type="dxa"/>
              <w:left w:w="100" w:type="dxa"/>
              <w:bottom w:w="100" w:type="dxa"/>
              <w:right w:w="100" w:type="dxa"/>
            </w:tcMar>
          </w:tcPr>
          <w:p w14:paraId="2612D270"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Responses </w:t>
            </w:r>
          </w:p>
        </w:tc>
        <w:tc>
          <w:tcPr>
            <w:tcW w:w="3120" w:type="dxa"/>
            <w:shd w:val="clear" w:color="auto" w:fill="auto"/>
            <w:tcMar>
              <w:top w:w="100" w:type="dxa"/>
              <w:left w:w="100" w:type="dxa"/>
              <w:bottom w:w="100" w:type="dxa"/>
              <w:right w:w="100" w:type="dxa"/>
            </w:tcMar>
          </w:tcPr>
          <w:p w14:paraId="3B1FE4E2"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Participant Number </w:t>
            </w:r>
          </w:p>
        </w:tc>
      </w:tr>
      <w:tr w:rsidR="007C5593" w14:paraId="3DA62945" w14:textId="77777777">
        <w:trPr>
          <w:cantSplit/>
          <w:tblHeader/>
          <w:jc w:val="center"/>
        </w:trPr>
        <w:tc>
          <w:tcPr>
            <w:tcW w:w="3120" w:type="dxa"/>
            <w:shd w:val="clear" w:color="auto" w:fill="auto"/>
            <w:tcMar>
              <w:top w:w="100" w:type="dxa"/>
              <w:left w:w="100" w:type="dxa"/>
              <w:bottom w:w="100" w:type="dxa"/>
              <w:right w:w="100" w:type="dxa"/>
            </w:tcMar>
          </w:tcPr>
          <w:p w14:paraId="7F2FBD05"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3120" w:type="dxa"/>
            <w:shd w:val="clear" w:color="auto" w:fill="auto"/>
            <w:tcMar>
              <w:top w:w="100" w:type="dxa"/>
              <w:left w:w="100" w:type="dxa"/>
              <w:bottom w:w="100" w:type="dxa"/>
              <w:right w:w="100" w:type="dxa"/>
            </w:tcMar>
          </w:tcPr>
          <w:p w14:paraId="65735D8E"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63.54%</w:t>
            </w:r>
          </w:p>
        </w:tc>
        <w:tc>
          <w:tcPr>
            <w:tcW w:w="3120" w:type="dxa"/>
            <w:shd w:val="clear" w:color="auto" w:fill="auto"/>
            <w:tcMar>
              <w:top w:w="100" w:type="dxa"/>
              <w:left w:w="100" w:type="dxa"/>
              <w:bottom w:w="100" w:type="dxa"/>
              <w:right w:w="100" w:type="dxa"/>
            </w:tcMar>
          </w:tcPr>
          <w:p w14:paraId="15D8EA6E"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61</w:t>
            </w:r>
          </w:p>
        </w:tc>
      </w:tr>
      <w:tr w:rsidR="007C5593" w14:paraId="666B07EA" w14:textId="77777777">
        <w:trPr>
          <w:cantSplit/>
          <w:tblHeader/>
          <w:jc w:val="center"/>
        </w:trPr>
        <w:tc>
          <w:tcPr>
            <w:tcW w:w="3120" w:type="dxa"/>
            <w:shd w:val="clear" w:color="auto" w:fill="auto"/>
            <w:tcMar>
              <w:top w:w="100" w:type="dxa"/>
              <w:left w:w="100" w:type="dxa"/>
              <w:bottom w:w="100" w:type="dxa"/>
              <w:right w:w="100" w:type="dxa"/>
            </w:tcMar>
          </w:tcPr>
          <w:p w14:paraId="2A8A1575"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3120" w:type="dxa"/>
            <w:shd w:val="clear" w:color="auto" w:fill="auto"/>
            <w:tcMar>
              <w:top w:w="100" w:type="dxa"/>
              <w:left w:w="100" w:type="dxa"/>
              <w:bottom w:w="100" w:type="dxa"/>
              <w:right w:w="100" w:type="dxa"/>
            </w:tcMar>
          </w:tcPr>
          <w:p w14:paraId="0E65F7BB"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36.46%</w:t>
            </w:r>
          </w:p>
        </w:tc>
        <w:tc>
          <w:tcPr>
            <w:tcW w:w="3120" w:type="dxa"/>
            <w:shd w:val="clear" w:color="auto" w:fill="auto"/>
            <w:tcMar>
              <w:top w:w="100" w:type="dxa"/>
              <w:left w:w="100" w:type="dxa"/>
              <w:bottom w:w="100" w:type="dxa"/>
              <w:right w:w="100" w:type="dxa"/>
            </w:tcMar>
          </w:tcPr>
          <w:p w14:paraId="78DD8CAF"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w:t>
            </w:r>
          </w:p>
        </w:tc>
      </w:tr>
      <w:tr w:rsidR="007C5593" w14:paraId="40B3FEC2" w14:textId="77777777">
        <w:trPr>
          <w:cantSplit/>
          <w:trHeight w:val="440"/>
          <w:tblHeader/>
          <w:jc w:val="center"/>
        </w:trPr>
        <w:tc>
          <w:tcPr>
            <w:tcW w:w="6240" w:type="dxa"/>
            <w:gridSpan w:val="2"/>
            <w:shd w:val="clear" w:color="auto" w:fill="auto"/>
            <w:tcMar>
              <w:top w:w="100" w:type="dxa"/>
              <w:left w:w="100" w:type="dxa"/>
              <w:bottom w:w="100" w:type="dxa"/>
              <w:right w:w="100" w:type="dxa"/>
            </w:tcMar>
          </w:tcPr>
          <w:p w14:paraId="331B7D0B"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Total </w:t>
            </w:r>
          </w:p>
        </w:tc>
        <w:tc>
          <w:tcPr>
            <w:tcW w:w="3120" w:type="dxa"/>
            <w:shd w:val="clear" w:color="auto" w:fill="auto"/>
            <w:tcMar>
              <w:top w:w="100" w:type="dxa"/>
              <w:left w:w="100" w:type="dxa"/>
              <w:bottom w:w="100" w:type="dxa"/>
              <w:right w:w="100" w:type="dxa"/>
            </w:tcMar>
          </w:tcPr>
          <w:p w14:paraId="4098CB17"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96</w:t>
            </w:r>
          </w:p>
        </w:tc>
      </w:tr>
    </w:tbl>
    <w:p w14:paraId="5441244E" w14:textId="77777777" w:rsidR="007C5593" w:rsidRDefault="000A5866">
      <w:pPr>
        <w:pStyle w:val="Heading5"/>
        <w:rPr>
          <w:color w:val="000000"/>
        </w:rPr>
      </w:pPr>
      <w:bookmarkStart w:id="69" w:name="_heading=h.34g0dwd" w:colFirst="0" w:colLast="0"/>
      <w:bookmarkEnd w:id="69"/>
      <w:r>
        <w:rPr>
          <w:color w:val="000000"/>
        </w:rPr>
        <w:t>Table 4.5: Frequency Table for Live near Wind Turbines Category</w:t>
      </w:r>
    </w:p>
    <w:p w14:paraId="621A9748" w14:textId="77777777" w:rsidR="007C5593" w:rsidRDefault="000A586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24B84787" wp14:editId="4C9CC728">
            <wp:extent cx="4867275" cy="2609850"/>
            <wp:effectExtent l="12700" t="12700" r="12700" b="12700"/>
            <wp:docPr id="99"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2"/>
                    <a:srcRect/>
                    <a:stretch>
                      <a:fillRect/>
                    </a:stretch>
                  </pic:blipFill>
                  <pic:spPr>
                    <a:xfrm>
                      <a:off x="0" y="0"/>
                      <a:ext cx="4867275" cy="2609850"/>
                    </a:xfrm>
                    <a:prstGeom prst="rect">
                      <a:avLst/>
                    </a:prstGeom>
                    <a:ln w="12700">
                      <a:solidFill>
                        <a:srgbClr val="000000"/>
                      </a:solidFill>
                      <a:prstDash val="solid"/>
                    </a:ln>
                  </pic:spPr>
                </pic:pic>
              </a:graphicData>
            </a:graphic>
          </wp:inline>
        </w:drawing>
      </w:r>
    </w:p>
    <w:p w14:paraId="312A81EB" w14:textId="77777777" w:rsidR="007C5593" w:rsidRDefault="000A5866">
      <w:pPr>
        <w:pStyle w:val="Heading4"/>
      </w:pPr>
      <w:bookmarkStart w:id="70" w:name="_heading=h.1jlao46" w:colFirst="0" w:colLast="0"/>
      <w:bookmarkEnd w:id="70"/>
      <w:r>
        <w:t>Figure 4.5: Live near Wind Turbines Category</w:t>
      </w:r>
    </w:p>
    <w:p w14:paraId="46C6E944"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frequency table for live near wind turbines Category</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and Figure</w:t>
      </w:r>
      <w:r>
        <w:rPr>
          <w:rFonts w:ascii="Times New Roman" w:eastAsia="Times New Roman" w:hAnsi="Times New Roman" w:cs="Times New Roman"/>
          <w:i/>
          <w:sz w:val="24"/>
          <w:szCs w:val="24"/>
        </w:rPr>
        <w:t xml:space="preserve"> 4.5</w:t>
      </w:r>
      <w:r>
        <w:rPr>
          <w:rFonts w:ascii="Times New Roman" w:eastAsia="Times New Roman" w:hAnsi="Times New Roman" w:cs="Times New Roman"/>
          <w:sz w:val="24"/>
          <w:szCs w:val="24"/>
        </w:rPr>
        <w:t xml:space="preserve">, 63.54% of the participants opined that they live near wind turbines. Despite that, only 36.46% of the entire survey respondents does not live near wind turbines. </w:t>
      </w:r>
    </w:p>
    <w:p w14:paraId="57EFA7D3" w14:textId="77777777" w:rsidR="007C5593" w:rsidRPr="007132D5" w:rsidRDefault="000A5866">
      <w:pPr>
        <w:pStyle w:val="Heading6"/>
        <w:rPr>
          <w:color w:val="000000" w:themeColor="text1"/>
        </w:rPr>
      </w:pPr>
      <w:bookmarkStart w:id="71" w:name="_heading=h.43ky6rz" w:colFirst="0" w:colLast="0"/>
      <w:bookmarkEnd w:id="71"/>
      <w:r w:rsidRPr="007132D5">
        <w:rPr>
          <w:color w:val="000000" w:themeColor="text1"/>
        </w:rPr>
        <w:t>Question 6: If yes, are you impacted by them in any way?</w:t>
      </w:r>
    </w:p>
    <w:tbl>
      <w:tblPr>
        <w:tblStyle w:val="af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C5593" w14:paraId="6ECCE52B" w14:textId="77777777">
        <w:trPr>
          <w:cantSplit/>
          <w:tblHeader/>
          <w:jc w:val="center"/>
        </w:trPr>
        <w:tc>
          <w:tcPr>
            <w:tcW w:w="3120" w:type="dxa"/>
            <w:shd w:val="clear" w:color="auto" w:fill="auto"/>
            <w:tcMar>
              <w:top w:w="100" w:type="dxa"/>
              <w:left w:w="100" w:type="dxa"/>
              <w:bottom w:w="100" w:type="dxa"/>
              <w:right w:w="100" w:type="dxa"/>
            </w:tcMar>
          </w:tcPr>
          <w:p w14:paraId="2006267E"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Answer Choices</w:t>
            </w:r>
          </w:p>
        </w:tc>
        <w:tc>
          <w:tcPr>
            <w:tcW w:w="3120" w:type="dxa"/>
            <w:shd w:val="clear" w:color="auto" w:fill="auto"/>
            <w:tcMar>
              <w:top w:w="100" w:type="dxa"/>
              <w:left w:w="100" w:type="dxa"/>
              <w:bottom w:w="100" w:type="dxa"/>
              <w:right w:w="100" w:type="dxa"/>
            </w:tcMar>
          </w:tcPr>
          <w:p w14:paraId="26FF6546"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Responses </w:t>
            </w:r>
          </w:p>
        </w:tc>
        <w:tc>
          <w:tcPr>
            <w:tcW w:w="3120" w:type="dxa"/>
            <w:shd w:val="clear" w:color="auto" w:fill="auto"/>
            <w:tcMar>
              <w:top w:w="100" w:type="dxa"/>
              <w:left w:w="100" w:type="dxa"/>
              <w:bottom w:w="100" w:type="dxa"/>
              <w:right w:w="100" w:type="dxa"/>
            </w:tcMar>
          </w:tcPr>
          <w:p w14:paraId="2EDCFC6E"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Participant Number </w:t>
            </w:r>
          </w:p>
        </w:tc>
      </w:tr>
      <w:tr w:rsidR="007C5593" w14:paraId="751E67B4" w14:textId="77777777">
        <w:trPr>
          <w:cantSplit/>
          <w:tblHeader/>
          <w:jc w:val="center"/>
        </w:trPr>
        <w:tc>
          <w:tcPr>
            <w:tcW w:w="3120" w:type="dxa"/>
            <w:shd w:val="clear" w:color="auto" w:fill="auto"/>
            <w:tcMar>
              <w:top w:w="100" w:type="dxa"/>
              <w:left w:w="100" w:type="dxa"/>
              <w:bottom w:w="100" w:type="dxa"/>
              <w:right w:w="100" w:type="dxa"/>
            </w:tcMar>
          </w:tcPr>
          <w:p w14:paraId="4580A153"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3120" w:type="dxa"/>
            <w:shd w:val="clear" w:color="auto" w:fill="auto"/>
            <w:tcMar>
              <w:top w:w="100" w:type="dxa"/>
              <w:left w:w="100" w:type="dxa"/>
              <w:bottom w:w="100" w:type="dxa"/>
              <w:right w:w="100" w:type="dxa"/>
            </w:tcMar>
          </w:tcPr>
          <w:p w14:paraId="72B9CCFC"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40.82%</w:t>
            </w:r>
          </w:p>
        </w:tc>
        <w:tc>
          <w:tcPr>
            <w:tcW w:w="3120" w:type="dxa"/>
            <w:shd w:val="clear" w:color="auto" w:fill="auto"/>
            <w:tcMar>
              <w:top w:w="100" w:type="dxa"/>
              <w:left w:w="100" w:type="dxa"/>
              <w:bottom w:w="100" w:type="dxa"/>
              <w:right w:w="100" w:type="dxa"/>
            </w:tcMar>
          </w:tcPr>
          <w:p w14:paraId="5CF9C59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r>
      <w:tr w:rsidR="007C5593" w14:paraId="7BE665EC" w14:textId="77777777">
        <w:trPr>
          <w:cantSplit/>
          <w:tblHeader/>
          <w:jc w:val="center"/>
        </w:trPr>
        <w:tc>
          <w:tcPr>
            <w:tcW w:w="3120" w:type="dxa"/>
            <w:shd w:val="clear" w:color="auto" w:fill="auto"/>
            <w:tcMar>
              <w:top w:w="100" w:type="dxa"/>
              <w:left w:w="100" w:type="dxa"/>
              <w:bottom w:w="100" w:type="dxa"/>
              <w:right w:w="100" w:type="dxa"/>
            </w:tcMar>
          </w:tcPr>
          <w:p w14:paraId="2A7D5E87"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3120" w:type="dxa"/>
            <w:shd w:val="clear" w:color="auto" w:fill="auto"/>
            <w:tcMar>
              <w:top w:w="100" w:type="dxa"/>
              <w:left w:w="100" w:type="dxa"/>
              <w:bottom w:w="100" w:type="dxa"/>
              <w:right w:w="100" w:type="dxa"/>
            </w:tcMar>
          </w:tcPr>
          <w:p w14:paraId="26A01785"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58.16%</w:t>
            </w:r>
          </w:p>
        </w:tc>
        <w:tc>
          <w:tcPr>
            <w:tcW w:w="3120" w:type="dxa"/>
            <w:shd w:val="clear" w:color="auto" w:fill="auto"/>
            <w:tcMar>
              <w:top w:w="100" w:type="dxa"/>
              <w:left w:w="100" w:type="dxa"/>
              <w:bottom w:w="100" w:type="dxa"/>
              <w:right w:w="100" w:type="dxa"/>
            </w:tcMar>
          </w:tcPr>
          <w:p w14:paraId="66B2FED0"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57</w:t>
            </w:r>
          </w:p>
        </w:tc>
      </w:tr>
      <w:tr w:rsidR="007C5593" w14:paraId="62781F69" w14:textId="77777777">
        <w:trPr>
          <w:cantSplit/>
          <w:tblHeader/>
          <w:jc w:val="center"/>
        </w:trPr>
        <w:tc>
          <w:tcPr>
            <w:tcW w:w="3120" w:type="dxa"/>
            <w:shd w:val="clear" w:color="auto" w:fill="auto"/>
            <w:tcMar>
              <w:top w:w="100" w:type="dxa"/>
              <w:left w:w="100" w:type="dxa"/>
              <w:bottom w:w="100" w:type="dxa"/>
              <w:right w:w="100" w:type="dxa"/>
            </w:tcMar>
          </w:tcPr>
          <w:p w14:paraId="50E1124F"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If yes, please explain</w:t>
            </w:r>
          </w:p>
        </w:tc>
        <w:tc>
          <w:tcPr>
            <w:tcW w:w="3120" w:type="dxa"/>
            <w:shd w:val="clear" w:color="auto" w:fill="auto"/>
            <w:tcMar>
              <w:top w:w="100" w:type="dxa"/>
              <w:left w:w="100" w:type="dxa"/>
              <w:bottom w:w="100" w:type="dxa"/>
              <w:right w:w="100" w:type="dxa"/>
            </w:tcMar>
          </w:tcPr>
          <w:p w14:paraId="6588390A"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1.02%</w:t>
            </w:r>
          </w:p>
        </w:tc>
        <w:tc>
          <w:tcPr>
            <w:tcW w:w="3120" w:type="dxa"/>
            <w:shd w:val="clear" w:color="auto" w:fill="auto"/>
            <w:tcMar>
              <w:top w:w="100" w:type="dxa"/>
              <w:left w:w="100" w:type="dxa"/>
              <w:bottom w:w="100" w:type="dxa"/>
              <w:right w:w="100" w:type="dxa"/>
            </w:tcMar>
          </w:tcPr>
          <w:p w14:paraId="36011464"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r w:rsidR="007C5593" w14:paraId="134644A3" w14:textId="77777777">
        <w:trPr>
          <w:cantSplit/>
          <w:trHeight w:val="440"/>
          <w:tblHeader/>
          <w:jc w:val="center"/>
        </w:trPr>
        <w:tc>
          <w:tcPr>
            <w:tcW w:w="6240" w:type="dxa"/>
            <w:gridSpan w:val="2"/>
            <w:shd w:val="clear" w:color="auto" w:fill="auto"/>
            <w:tcMar>
              <w:top w:w="100" w:type="dxa"/>
              <w:left w:w="100" w:type="dxa"/>
              <w:bottom w:w="100" w:type="dxa"/>
              <w:right w:w="100" w:type="dxa"/>
            </w:tcMar>
          </w:tcPr>
          <w:p w14:paraId="3559EC3E"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Total </w:t>
            </w:r>
          </w:p>
        </w:tc>
        <w:tc>
          <w:tcPr>
            <w:tcW w:w="3120" w:type="dxa"/>
            <w:shd w:val="clear" w:color="auto" w:fill="auto"/>
            <w:tcMar>
              <w:top w:w="100" w:type="dxa"/>
              <w:left w:w="100" w:type="dxa"/>
              <w:bottom w:w="100" w:type="dxa"/>
              <w:right w:w="100" w:type="dxa"/>
            </w:tcMar>
          </w:tcPr>
          <w:p w14:paraId="55C8CBFB"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98</w:t>
            </w:r>
          </w:p>
        </w:tc>
      </w:tr>
    </w:tbl>
    <w:p w14:paraId="09C3DCA3" w14:textId="77777777" w:rsidR="007C5593" w:rsidRDefault="000A5866">
      <w:pPr>
        <w:pStyle w:val="Heading5"/>
        <w:rPr>
          <w:color w:val="000000"/>
        </w:rPr>
      </w:pPr>
      <w:bookmarkStart w:id="72" w:name="_heading=h.2iq8gzs" w:colFirst="0" w:colLast="0"/>
      <w:bookmarkEnd w:id="72"/>
      <w:r>
        <w:rPr>
          <w:color w:val="000000"/>
        </w:rPr>
        <w:t xml:space="preserve">Table 4.6: Frequency Table for Impacted by Wind turbines Category </w:t>
      </w:r>
    </w:p>
    <w:p w14:paraId="39F40E44" w14:textId="77777777" w:rsidR="007C5593" w:rsidRDefault="000A586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35911D74" wp14:editId="1B23AF67">
            <wp:extent cx="5943600" cy="2819400"/>
            <wp:effectExtent l="12700" t="12700" r="12700" b="12700"/>
            <wp:docPr id="100"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3"/>
                    <a:srcRect/>
                    <a:stretch>
                      <a:fillRect/>
                    </a:stretch>
                  </pic:blipFill>
                  <pic:spPr>
                    <a:xfrm>
                      <a:off x="0" y="0"/>
                      <a:ext cx="5943600" cy="2819400"/>
                    </a:xfrm>
                    <a:prstGeom prst="rect">
                      <a:avLst/>
                    </a:prstGeom>
                    <a:ln w="12700">
                      <a:solidFill>
                        <a:srgbClr val="000000"/>
                      </a:solidFill>
                      <a:prstDash val="solid"/>
                    </a:ln>
                  </pic:spPr>
                </pic:pic>
              </a:graphicData>
            </a:graphic>
          </wp:inline>
        </w:drawing>
      </w:r>
    </w:p>
    <w:p w14:paraId="62D41141" w14:textId="77777777" w:rsidR="007C5593" w:rsidRDefault="000A5866">
      <w:pPr>
        <w:pStyle w:val="Heading4"/>
      </w:pPr>
      <w:bookmarkStart w:id="73" w:name="_heading=h.xvir7l" w:colFirst="0" w:colLast="0"/>
      <w:bookmarkEnd w:id="73"/>
      <w:r>
        <w:t xml:space="preserve">Figure 4.6: Impacted by Wind turbines Category </w:t>
      </w:r>
    </w:p>
    <w:p w14:paraId="7CA6E08C"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About 58.16% of the entire participants highlighted that they are not impacted through the wind turbines. However, 40.82% of the entire participants stated that they are impacted through the wind turbines. </w:t>
      </w:r>
    </w:p>
    <w:p w14:paraId="29015751" w14:textId="77777777" w:rsidR="007C5593" w:rsidRPr="007132D5" w:rsidRDefault="000A5866">
      <w:pPr>
        <w:pStyle w:val="Heading6"/>
        <w:rPr>
          <w:color w:val="000000" w:themeColor="text1"/>
        </w:rPr>
      </w:pPr>
      <w:bookmarkStart w:id="74" w:name="_heading=h.3hv69ve" w:colFirst="0" w:colLast="0"/>
      <w:bookmarkEnd w:id="74"/>
      <w:r w:rsidRPr="007132D5">
        <w:rPr>
          <w:color w:val="000000" w:themeColor="text1"/>
        </w:rPr>
        <w:t>Question 7: Which strategies can avoid the challenges in the deployment of wind energy in the UK?</w:t>
      </w:r>
    </w:p>
    <w:tbl>
      <w:tblPr>
        <w:tblStyle w:val="af3"/>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C5593" w14:paraId="47F55683" w14:textId="77777777">
        <w:trPr>
          <w:cantSplit/>
          <w:tblHeader/>
          <w:jc w:val="center"/>
        </w:trPr>
        <w:tc>
          <w:tcPr>
            <w:tcW w:w="3120" w:type="dxa"/>
            <w:shd w:val="clear" w:color="auto" w:fill="auto"/>
            <w:tcMar>
              <w:top w:w="100" w:type="dxa"/>
              <w:left w:w="100" w:type="dxa"/>
              <w:bottom w:w="100" w:type="dxa"/>
              <w:right w:w="100" w:type="dxa"/>
            </w:tcMar>
          </w:tcPr>
          <w:p w14:paraId="337F8D07"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Answer Choices</w:t>
            </w:r>
          </w:p>
        </w:tc>
        <w:tc>
          <w:tcPr>
            <w:tcW w:w="3120" w:type="dxa"/>
            <w:shd w:val="clear" w:color="auto" w:fill="auto"/>
            <w:tcMar>
              <w:top w:w="100" w:type="dxa"/>
              <w:left w:w="100" w:type="dxa"/>
              <w:bottom w:w="100" w:type="dxa"/>
              <w:right w:w="100" w:type="dxa"/>
            </w:tcMar>
          </w:tcPr>
          <w:p w14:paraId="3F520DC6"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Responses </w:t>
            </w:r>
          </w:p>
        </w:tc>
        <w:tc>
          <w:tcPr>
            <w:tcW w:w="3120" w:type="dxa"/>
            <w:shd w:val="clear" w:color="auto" w:fill="auto"/>
            <w:tcMar>
              <w:top w:w="100" w:type="dxa"/>
              <w:left w:w="100" w:type="dxa"/>
              <w:bottom w:w="100" w:type="dxa"/>
              <w:right w:w="100" w:type="dxa"/>
            </w:tcMar>
          </w:tcPr>
          <w:p w14:paraId="49E742AA"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Participant Number </w:t>
            </w:r>
          </w:p>
        </w:tc>
      </w:tr>
      <w:tr w:rsidR="007C5593" w14:paraId="7E355484" w14:textId="77777777">
        <w:trPr>
          <w:cantSplit/>
          <w:tblHeader/>
          <w:jc w:val="center"/>
        </w:trPr>
        <w:tc>
          <w:tcPr>
            <w:tcW w:w="3120" w:type="dxa"/>
            <w:shd w:val="clear" w:color="auto" w:fill="auto"/>
            <w:tcMar>
              <w:top w:w="100" w:type="dxa"/>
              <w:left w:w="100" w:type="dxa"/>
              <w:bottom w:w="100" w:type="dxa"/>
              <w:right w:w="100" w:type="dxa"/>
            </w:tcMar>
          </w:tcPr>
          <w:p w14:paraId="2A04C8DE"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Proper Planning</w:t>
            </w:r>
          </w:p>
        </w:tc>
        <w:tc>
          <w:tcPr>
            <w:tcW w:w="3120" w:type="dxa"/>
            <w:shd w:val="clear" w:color="auto" w:fill="auto"/>
            <w:tcMar>
              <w:top w:w="100" w:type="dxa"/>
              <w:left w:w="100" w:type="dxa"/>
              <w:bottom w:w="100" w:type="dxa"/>
              <w:right w:w="100" w:type="dxa"/>
            </w:tcMar>
          </w:tcPr>
          <w:p w14:paraId="149AA7FF"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17.00%</w:t>
            </w:r>
          </w:p>
        </w:tc>
        <w:tc>
          <w:tcPr>
            <w:tcW w:w="3120" w:type="dxa"/>
            <w:shd w:val="clear" w:color="auto" w:fill="auto"/>
            <w:tcMar>
              <w:top w:w="100" w:type="dxa"/>
              <w:left w:w="100" w:type="dxa"/>
              <w:bottom w:w="100" w:type="dxa"/>
              <w:right w:w="100" w:type="dxa"/>
            </w:tcMar>
          </w:tcPr>
          <w:p w14:paraId="0C2B8FB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r>
      <w:tr w:rsidR="007C5593" w14:paraId="6B6FE57A" w14:textId="77777777">
        <w:trPr>
          <w:cantSplit/>
          <w:tblHeader/>
          <w:jc w:val="center"/>
        </w:trPr>
        <w:tc>
          <w:tcPr>
            <w:tcW w:w="3120" w:type="dxa"/>
            <w:shd w:val="clear" w:color="auto" w:fill="auto"/>
            <w:tcMar>
              <w:top w:w="100" w:type="dxa"/>
              <w:left w:w="100" w:type="dxa"/>
              <w:bottom w:w="100" w:type="dxa"/>
              <w:right w:w="100" w:type="dxa"/>
            </w:tcMar>
          </w:tcPr>
          <w:p w14:paraId="5EF84184"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Deployment of automation in the supply chain</w:t>
            </w:r>
          </w:p>
        </w:tc>
        <w:tc>
          <w:tcPr>
            <w:tcW w:w="3120" w:type="dxa"/>
            <w:shd w:val="clear" w:color="auto" w:fill="auto"/>
            <w:tcMar>
              <w:top w:w="100" w:type="dxa"/>
              <w:left w:w="100" w:type="dxa"/>
              <w:bottom w:w="100" w:type="dxa"/>
              <w:right w:w="100" w:type="dxa"/>
            </w:tcMar>
          </w:tcPr>
          <w:p w14:paraId="74F63EA4"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29.00%</w:t>
            </w:r>
          </w:p>
        </w:tc>
        <w:tc>
          <w:tcPr>
            <w:tcW w:w="3120" w:type="dxa"/>
            <w:shd w:val="clear" w:color="auto" w:fill="auto"/>
            <w:tcMar>
              <w:top w:w="100" w:type="dxa"/>
              <w:left w:w="100" w:type="dxa"/>
              <w:bottom w:w="100" w:type="dxa"/>
              <w:right w:w="100" w:type="dxa"/>
            </w:tcMar>
          </w:tcPr>
          <w:p w14:paraId="25CE03AE"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29</w:t>
            </w:r>
          </w:p>
        </w:tc>
      </w:tr>
      <w:tr w:rsidR="007C5593" w14:paraId="74BE6D8A" w14:textId="77777777">
        <w:trPr>
          <w:cantSplit/>
          <w:tblHeader/>
          <w:jc w:val="center"/>
        </w:trPr>
        <w:tc>
          <w:tcPr>
            <w:tcW w:w="3120" w:type="dxa"/>
            <w:shd w:val="clear" w:color="auto" w:fill="auto"/>
            <w:tcMar>
              <w:top w:w="100" w:type="dxa"/>
              <w:left w:w="100" w:type="dxa"/>
              <w:bottom w:w="100" w:type="dxa"/>
              <w:right w:w="100" w:type="dxa"/>
            </w:tcMar>
          </w:tcPr>
          <w:p w14:paraId="3EC36D2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Innovative approach</w:t>
            </w:r>
          </w:p>
        </w:tc>
        <w:tc>
          <w:tcPr>
            <w:tcW w:w="3120" w:type="dxa"/>
            <w:shd w:val="clear" w:color="auto" w:fill="auto"/>
            <w:tcMar>
              <w:top w:w="100" w:type="dxa"/>
              <w:left w:w="100" w:type="dxa"/>
              <w:bottom w:w="100" w:type="dxa"/>
              <w:right w:w="100" w:type="dxa"/>
            </w:tcMar>
          </w:tcPr>
          <w:p w14:paraId="6A3F90D7"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17.00%</w:t>
            </w:r>
          </w:p>
        </w:tc>
        <w:tc>
          <w:tcPr>
            <w:tcW w:w="3120" w:type="dxa"/>
            <w:shd w:val="clear" w:color="auto" w:fill="auto"/>
            <w:tcMar>
              <w:top w:w="100" w:type="dxa"/>
              <w:left w:w="100" w:type="dxa"/>
              <w:bottom w:w="100" w:type="dxa"/>
              <w:right w:w="100" w:type="dxa"/>
            </w:tcMar>
          </w:tcPr>
          <w:p w14:paraId="23A464DE"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r>
      <w:tr w:rsidR="007C5593" w14:paraId="20888B66" w14:textId="77777777">
        <w:trPr>
          <w:cantSplit/>
          <w:tblHeader/>
          <w:jc w:val="center"/>
        </w:trPr>
        <w:tc>
          <w:tcPr>
            <w:tcW w:w="3120" w:type="dxa"/>
            <w:shd w:val="clear" w:color="auto" w:fill="auto"/>
            <w:tcMar>
              <w:top w:w="100" w:type="dxa"/>
              <w:left w:w="100" w:type="dxa"/>
              <w:bottom w:w="100" w:type="dxa"/>
              <w:right w:w="100" w:type="dxa"/>
            </w:tcMar>
          </w:tcPr>
          <w:p w14:paraId="487D3F9E"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Proper research and evaluation</w:t>
            </w:r>
          </w:p>
        </w:tc>
        <w:tc>
          <w:tcPr>
            <w:tcW w:w="3120" w:type="dxa"/>
            <w:shd w:val="clear" w:color="auto" w:fill="auto"/>
            <w:tcMar>
              <w:top w:w="100" w:type="dxa"/>
              <w:left w:w="100" w:type="dxa"/>
              <w:bottom w:w="100" w:type="dxa"/>
              <w:right w:w="100" w:type="dxa"/>
            </w:tcMar>
          </w:tcPr>
          <w:p w14:paraId="07FE6D3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3120" w:type="dxa"/>
            <w:shd w:val="clear" w:color="auto" w:fill="auto"/>
            <w:tcMar>
              <w:top w:w="100" w:type="dxa"/>
              <w:left w:w="100" w:type="dxa"/>
              <w:bottom w:w="100" w:type="dxa"/>
              <w:right w:w="100" w:type="dxa"/>
            </w:tcMar>
          </w:tcPr>
          <w:p w14:paraId="46B172A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r>
      <w:tr w:rsidR="007C5593" w14:paraId="32EBFE62" w14:textId="77777777">
        <w:trPr>
          <w:cantSplit/>
          <w:tblHeader/>
          <w:jc w:val="center"/>
        </w:trPr>
        <w:tc>
          <w:tcPr>
            <w:tcW w:w="3120" w:type="dxa"/>
            <w:shd w:val="clear" w:color="auto" w:fill="auto"/>
            <w:tcMar>
              <w:top w:w="100" w:type="dxa"/>
              <w:left w:w="100" w:type="dxa"/>
              <w:bottom w:w="100" w:type="dxa"/>
              <w:right w:w="100" w:type="dxa"/>
            </w:tcMar>
          </w:tcPr>
          <w:p w14:paraId="31587EE7"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None of the above</w:t>
            </w:r>
          </w:p>
        </w:tc>
        <w:tc>
          <w:tcPr>
            <w:tcW w:w="3120" w:type="dxa"/>
            <w:shd w:val="clear" w:color="auto" w:fill="auto"/>
            <w:tcMar>
              <w:top w:w="100" w:type="dxa"/>
              <w:left w:w="100" w:type="dxa"/>
              <w:bottom w:w="100" w:type="dxa"/>
              <w:right w:w="100" w:type="dxa"/>
            </w:tcMar>
          </w:tcPr>
          <w:p w14:paraId="2B093C43"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3120" w:type="dxa"/>
            <w:shd w:val="clear" w:color="auto" w:fill="auto"/>
            <w:tcMar>
              <w:top w:w="100" w:type="dxa"/>
              <w:left w:w="100" w:type="dxa"/>
              <w:bottom w:w="100" w:type="dxa"/>
              <w:right w:w="100" w:type="dxa"/>
            </w:tcMar>
          </w:tcPr>
          <w:p w14:paraId="1C598FB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r>
      <w:tr w:rsidR="007C5593" w14:paraId="7212AD19" w14:textId="77777777">
        <w:trPr>
          <w:cantSplit/>
          <w:tblHeader/>
          <w:jc w:val="center"/>
        </w:trPr>
        <w:tc>
          <w:tcPr>
            <w:tcW w:w="3120" w:type="dxa"/>
            <w:shd w:val="clear" w:color="auto" w:fill="auto"/>
            <w:tcMar>
              <w:top w:w="100" w:type="dxa"/>
              <w:left w:w="100" w:type="dxa"/>
              <w:bottom w:w="100" w:type="dxa"/>
              <w:right w:w="100" w:type="dxa"/>
            </w:tcMar>
          </w:tcPr>
          <w:p w14:paraId="228ABC56" w14:textId="7FDF9E93" w:rsidR="007C5593" w:rsidRDefault="008172AE">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All</w:t>
            </w:r>
            <w:r w:rsidR="000A5866">
              <w:rPr>
                <w:rFonts w:ascii="Times New Roman" w:eastAsia="Times New Roman" w:hAnsi="Times New Roman" w:cs="Times New Roman"/>
                <w:sz w:val="24"/>
                <w:szCs w:val="24"/>
              </w:rPr>
              <w:t xml:space="preserve"> the above</w:t>
            </w:r>
          </w:p>
        </w:tc>
        <w:tc>
          <w:tcPr>
            <w:tcW w:w="3120" w:type="dxa"/>
            <w:shd w:val="clear" w:color="auto" w:fill="auto"/>
            <w:tcMar>
              <w:top w:w="100" w:type="dxa"/>
              <w:left w:w="100" w:type="dxa"/>
              <w:bottom w:w="100" w:type="dxa"/>
              <w:right w:w="100" w:type="dxa"/>
            </w:tcMar>
          </w:tcPr>
          <w:p w14:paraId="3F67F4B3"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23.00%</w:t>
            </w:r>
          </w:p>
        </w:tc>
        <w:tc>
          <w:tcPr>
            <w:tcW w:w="3120" w:type="dxa"/>
            <w:shd w:val="clear" w:color="auto" w:fill="auto"/>
            <w:tcMar>
              <w:top w:w="100" w:type="dxa"/>
              <w:left w:w="100" w:type="dxa"/>
              <w:bottom w:w="100" w:type="dxa"/>
              <w:right w:w="100" w:type="dxa"/>
            </w:tcMar>
          </w:tcPr>
          <w:p w14:paraId="12235F7B"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r>
      <w:tr w:rsidR="007C5593" w14:paraId="0BF6B2E6" w14:textId="77777777">
        <w:trPr>
          <w:cantSplit/>
          <w:trHeight w:val="440"/>
          <w:tblHeader/>
          <w:jc w:val="center"/>
        </w:trPr>
        <w:tc>
          <w:tcPr>
            <w:tcW w:w="6240" w:type="dxa"/>
            <w:gridSpan w:val="2"/>
            <w:shd w:val="clear" w:color="auto" w:fill="auto"/>
            <w:tcMar>
              <w:top w:w="100" w:type="dxa"/>
              <w:left w:w="100" w:type="dxa"/>
              <w:bottom w:w="100" w:type="dxa"/>
              <w:right w:w="100" w:type="dxa"/>
            </w:tcMar>
          </w:tcPr>
          <w:p w14:paraId="518799DB"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w:t>
            </w:r>
          </w:p>
        </w:tc>
        <w:tc>
          <w:tcPr>
            <w:tcW w:w="3120" w:type="dxa"/>
            <w:shd w:val="clear" w:color="auto" w:fill="auto"/>
            <w:tcMar>
              <w:top w:w="100" w:type="dxa"/>
              <w:left w:w="100" w:type="dxa"/>
              <w:bottom w:w="100" w:type="dxa"/>
              <w:right w:w="100" w:type="dxa"/>
            </w:tcMar>
          </w:tcPr>
          <w:p w14:paraId="5A26577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r>
    </w:tbl>
    <w:p w14:paraId="1239D14A" w14:textId="77777777" w:rsidR="007C5593" w:rsidRDefault="000A5866">
      <w:pPr>
        <w:pStyle w:val="Heading5"/>
        <w:rPr>
          <w:color w:val="000000"/>
        </w:rPr>
      </w:pPr>
      <w:bookmarkStart w:id="75" w:name="_heading=h.1x0gk37" w:colFirst="0" w:colLast="0"/>
      <w:bookmarkEnd w:id="75"/>
      <w:r>
        <w:rPr>
          <w:color w:val="000000"/>
        </w:rPr>
        <w:t>Table 4.7: Frequency Table for Strategies to avoid Challenges in the Wind Energy Deployment</w:t>
      </w:r>
    </w:p>
    <w:p w14:paraId="4F1EAC0B" w14:textId="77777777" w:rsidR="007C5593" w:rsidRDefault="000A5866">
      <w:pPr>
        <w:spacing w:before="6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430CC81A" wp14:editId="5C656470">
            <wp:extent cx="5386388" cy="3521869"/>
            <wp:effectExtent l="12700" t="12700" r="12700" b="12700"/>
            <wp:docPr id="101"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4"/>
                    <a:srcRect/>
                    <a:stretch>
                      <a:fillRect/>
                    </a:stretch>
                  </pic:blipFill>
                  <pic:spPr>
                    <a:xfrm>
                      <a:off x="0" y="0"/>
                      <a:ext cx="5386388" cy="3521869"/>
                    </a:xfrm>
                    <a:prstGeom prst="rect">
                      <a:avLst/>
                    </a:prstGeom>
                    <a:ln w="12700">
                      <a:solidFill>
                        <a:srgbClr val="000000"/>
                      </a:solidFill>
                      <a:prstDash val="solid"/>
                    </a:ln>
                  </pic:spPr>
                </pic:pic>
              </a:graphicData>
            </a:graphic>
          </wp:inline>
        </w:drawing>
      </w:r>
    </w:p>
    <w:p w14:paraId="66BB099F" w14:textId="77777777" w:rsidR="007C5593" w:rsidRDefault="000A5866">
      <w:pPr>
        <w:pStyle w:val="Heading4"/>
      </w:pPr>
      <w:bookmarkStart w:id="76" w:name="_heading=h.4h042r0" w:colFirst="0" w:colLast="0"/>
      <w:bookmarkEnd w:id="76"/>
      <w:r>
        <w:lastRenderedPageBreak/>
        <w:t>Figure 4.7: Strategies to avoid Challenges in the Wind Energy Deployment</w:t>
      </w:r>
    </w:p>
    <w:p w14:paraId="306CFA9F" w14:textId="77777777" w:rsidR="007C5593" w:rsidRPr="007132D5" w:rsidRDefault="000A5866">
      <w:pPr>
        <w:spacing w:line="48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According to Figure</w:t>
      </w:r>
      <w:r>
        <w:rPr>
          <w:rFonts w:ascii="Times New Roman" w:eastAsia="Times New Roman" w:hAnsi="Times New Roman" w:cs="Times New Roman"/>
          <w:i/>
          <w:sz w:val="24"/>
          <w:szCs w:val="24"/>
        </w:rPr>
        <w:t xml:space="preserve"> 4.7</w:t>
      </w: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Deployment of automation in the supply chain is the most effective strategy to mitigate issues in the deployment of wind energy in the UK. On the other hand, very few of the entire participants (7.00%) stated that Proper research and evaluation is the most effective strategy. </w:t>
      </w:r>
      <w:r w:rsidRPr="007132D5">
        <w:rPr>
          <w:rFonts w:ascii="Times New Roman" w:eastAsia="Times New Roman" w:hAnsi="Times New Roman" w:cs="Times New Roman"/>
          <w:color w:val="000000" w:themeColor="text1"/>
          <w:sz w:val="24"/>
          <w:szCs w:val="24"/>
        </w:rPr>
        <w:t xml:space="preserve">The literature part also indicates that grid infrastructure and streamline planning can help to expand wind energy capacity and reduce issues in wind energy. </w:t>
      </w:r>
    </w:p>
    <w:p w14:paraId="5FD761C7" w14:textId="77777777" w:rsidR="007C5593" w:rsidRPr="007132D5" w:rsidRDefault="000A5866">
      <w:pPr>
        <w:pStyle w:val="Heading6"/>
        <w:widowControl w:val="0"/>
        <w:rPr>
          <w:color w:val="000000" w:themeColor="text1"/>
        </w:rPr>
      </w:pPr>
      <w:bookmarkStart w:id="77" w:name="_heading=h.2w5ecyt" w:colFirst="0" w:colLast="0"/>
      <w:bookmarkEnd w:id="77"/>
      <w:r w:rsidRPr="007132D5">
        <w:rPr>
          <w:color w:val="000000" w:themeColor="text1"/>
        </w:rPr>
        <w:t>Question 8: What do you think are the main challenges in the developing wind energy policies in the UK?</w:t>
      </w:r>
    </w:p>
    <w:tbl>
      <w:tblPr>
        <w:tblStyle w:val="af4"/>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645"/>
        <w:gridCol w:w="2595"/>
        <w:gridCol w:w="3120"/>
      </w:tblGrid>
      <w:tr w:rsidR="007C5593" w14:paraId="75CB9CB6" w14:textId="77777777">
        <w:trPr>
          <w:cantSplit/>
          <w:tblHeader/>
          <w:jc w:val="center"/>
        </w:trPr>
        <w:tc>
          <w:tcPr>
            <w:tcW w:w="3645" w:type="dxa"/>
            <w:shd w:val="clear" w:color="auto" w:fill="auto"/>
            <w:tcMar>
              <w:top w:w="100" w:type="dxa"/>
              <w:left w:w="100" w:type="dxa"/>
              <w:bottom w:w="100" w:type="dxa"/>
              <w:right w:w="100" w:type="dxa"/>
            </w:tcMar>
          </w:tcPr>
          <w:p w14:paraId="64CEFC16"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Answer Choices</w:t>
            </w:r>
          </w:p>
        </w:tc>
        <w:tc>
          <w:tcPr>
            <w:tcW w:w="2595" w:type="dxa"/>
            <w:shd w:val="clear" w:color="auto" w:fill="auto"/>
            <w:tcMar>
              <w:top w:w="100" w:type="dxa"/>
              <w:left w:w="100" w:type="dxa"/>
              <w:bottom w:w="100" w:type="dxa"/>
              <w:right w:w="100" w:type="dxa"/>
            </w:tcMar>
          </w:tcPr>
          <w:p w14:paraId="73A9CE4D"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Responses </w:t>
            </w:r>
          </w:p>
        </w:tc>
        <w:tc>
          <w:tcPr>
            <w:tcW w:w="3120" w:type="dxa"/>
            <w:shd w:val="clear" w:color="auto" w:fill="auto"/>
            <w:tcMar>
              <w:top w:w="100" w:type="dxa"/>
              <w:left w:w="100" w:type="dxa"/>
              <w:bottom w:w="100" w:type="dxa"/>
              <w:right w:w="100" w:type="dxa"/>
            </w:tcMar>
          </w:tcPr>
          <w:p w14:paraId="545C58E8"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Participant Number </w:t>
            </w:r>
          </w:p>
        </w:tc>
      </w:tr>
      <w:tr w:rsidR="007C5593" w14:paraId="14273343" w14:textId="77777777">
        <w:trPr>
          <w:cantSplit/>
          <w:tblHeader/>
          <w:jc w:val="center"/>
        </w:trPr>
        <w:tc>
          <w:tcPr>
            <w:tcW w:w="3645" w:type="dxa"/>
            <w:shd w:val="clear" w:color="auto" w:fill="auto"/>
            <w:tcMar>
              <w:top w:w="100" w:type="dxa"/>
              <w:left w:w="100" w:type="dxa"/>
              <w:bottom w:w="100" w:type="dxa"/>
              <w:right w:w="100" w:type="dxa"/>
            </w:tcMar>
          </w:tcPr>
          <w:p w14:paraId="1F47E98E"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Improper Infrastructure</w:t>
            </w:r>
          </w:p>
        </w:tc>
        <w:tc>
          <w:tcPr>
            <w:tcW w:w="2595" w:type="dxa"/>
            <w:shd w:val="clear" w:color="auto" w:fill="auto"/>
            <w:tcMar>
              <w:top w:w="100" w:type="dxa"/>
              <w:left w:w="100" w:type="dxa"/>
              <w:bottom w:w="100" w:type="dxa"/>
              <w:right w:w="100" w:type="dxa"/>
            </w:tcMar>
          </w:tcPr>
          <w:p w14:paraId="24D7B4BE"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29.29%</w:t>
            </w:r>
          </w:p>
        </w:tc>
        <w:tc>
          <w:tcPr>
            <w:tcW w:w="3120" w:type="dxa"/>
            <w:shd w:val="clear" w:color="auto" w:fill="auto"/>
            <w:tcMar>
              <w:top w:w="100" w:type="dxa"/>
              <w:left w:w="100" w:type="dxa"/>
              <w:bottom w:w="100" w:type="dxa"/>
              <w:right w:w="100" w:type="dxa"/>
            </w:tcMar>
          </w:tcPr>
          <w:p w14:paraId="023DB3CB"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29</w:t>
            </w:r>
          </w:p>
        </w:tc>
      </w:tr>
      <w:tr w:rsidR="007C5593" w14:paraId="500ED0DF" w14:textId="77777777">
        <w:trPr>
          <w:cantSplit/>
          <w:tblHeader/>
          <w:jc w:val="center"/>
        </w:trPr>
        <w:tc>
          <w:tcPr>
            <w:tcW w:w="3645" w:type="dxa"/>
            <w:shd w:val="clear" w:color="auto" w:fill="auto"/>
            <w:tcMar>
              <w:top w:w="100" w:type="dxa"/>
              <w:left w:w="100" w:type="dxa"/>
              <w:bottom w:w="100" w:type="dxa"/>
              <w:right w:w="100" w:type="dxa"/>
            </w:tcMar>
          </w:tcPr>
          <w:p w14:paraId="3EE653E1"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Constraints in the production and management supply chain</w:t>
            </w:r>
          </w:p>
        </w:tc>
        <w:tc>
          <w:tcPr>
            <w:tcW w:w="2595" w:type="dxa"/>
            <w:shd w:val="clear" w:color="auto" w:fill="auto"/>
            <w:tcMar>
              <w:top w:w="100" w:type="dxa"/>
              <w:left w:w="100" w:type="dxa"/>
              <w:bottom w:w="100" w:type="dxa"/>
              <w:right w:w="100" w:type="dxa"/>
            </w:tcMar>
          </w:tcPr>
          <w:p w14:paraId="252CB49C"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25.25%</w:t>
            </w:r>
          </w:p>
        </w:tc>
        <w:tc>
          <w:tcPr>
            <w:tcW w:w="3120" w:type="dxa"/>
            <w:shd w:val="clear" w:color="auto" w:fill="auto"/>
            <w:tcMar>
              <w:top w:w="100" w:type="dxa"/>
              <w:left w:w="100" w:type="dxa"/>
              <w:bottom w:w="100" w:type="dxa"/>
              <w:right w:w="100" w:type="dxa"/>
            </w:tcMar>
          </w:tcPr>
          <w:p w14:paraId="3F197E4B"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r>
      <w:tr w:rsidR="007C5593" w14:paraId="7CC18682" w14:textId="77777777">
        <w:trPr>
          <w:cantSplit/>
          <w:tblHeader/>
          <w:jc w:val="center"/>
        </w:trPr>
        <w:tc>
          <w:tcPr>
            <w:tcW w:w="3645" w:type="dxa"/>
            <w:shd w:val="clear" w:color="auto" w:fill="auto"/>
            <w:tcMar>
              <w:top w:w="100" w:type="dxa"/>
              <w:left w:w="100" w:type="dxa"/>
              <w:bottom w:w="100" w:type="dxa"/>
              <w:right w:w="100" w:type="dxa"/>
            </w:tcMar>
          </w:tcPr>
          <w:p w14:paraId="636FDBBE"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Uncertainty and inconsistent policy adoption</w:t>
            </w:r>
          </w:p>
        </w:tc>
        <w:tc>
          <w:tcPr>
            <w:tcW w:w="2595" w:type="dxa"/>
            <w:shd w:val="clear" w:color="auto" w:fill="auto"/>
            <w:tcMar>
              <w:top w:w="100" w:type="dxa"/>
              <w:left w:w="100" w:type="dxa"/>
              <w:bottom w:w="100" w:type="dxa"/>
              <w:right w:w="100" w:type="dxa"/>
            </w:tcMar>
          </w:tcPr>
          <w:p w14:paraId="554DF4F8"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17.17%</w:t>
            </w:r>
          </w:p>
        </w:tc>
        <w:tc>
          <w:tcPr>
            <w:tcW w:w="3120" w:type="dxa"/>
            <w:shd w:val="clear" w:color="auto" w:fill="auto"/>
            <w:tcMar>
              <w:top w:w="100" w:type="dxa"/>
              <w:left w:w="100" w:type="dxa"/>
              <w:bottom w:w="100" w:type="dxa"/>
              <w:right w:w="100" w:type="dxa"/>
            </w:tcMar>
          </w:tcPr>
          <w:p w14:paraId="2ABBABFB"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r>
      <w:tr w:rsidR="007C5593" w14:paraId="43B4781B" w14:textId="77777777">
        <w:trPr>
          <w:cantSplit/>
          <w:tblHeader/>
          <w:jc w:val="center"/>
        </w:trPr>
        <w:tc>
          <w:tcPr>
            <w:tcW w:w="3645" w:type="dxa"/>
            <w:shd w:val="clear" w:color="auto" w:fill="auto"/>
            <w:tcMar>
              <w:top w:w="100" w:type="dxa"/>
              <w:left w:w="100" w:type="dxa"/>
              <w:bottom w:w="100" w:type="dxa"/>
              <w:right w:w="100" w:type="dxa"/>
            </w:tcMar>
          </w:tcPr>
          <w:p w14:paraId="275230A0" w14:textId="3D50FE23" w:rsidR="007C5593" w:rsidRDefault="007132D5">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All</w:t>
            </w:r>
            <w:r w:rsidR="000A5866">
              <w:rPr>
                <w:rFonts w:ascii="Times New Roman" w:eastAsia="Times New Roman" w:hAnsi="Times New Roman" w:cs="Times New Roman"/>
                <w:sz w:val="24"/>
                <w:szCs w:val="24"/>
              </w:rPr>
              <w:t xml:space="preserve"> the above</w:t>
            </w:r>
          </w:p>
        </w:tc>
        <w:tc>
          <w:tcPr>
            <w:tcW w:w="2595" w:type="dxa"/>
            <w:shd w:val="clear" w:color="auto" w:fill="auto"/>
            <w:tcMar>
              <w:top w:w="100" w:type="dxa"/>
              <w:left w:w="100" w:type="dxa"/>
              <w:bottom w:w="100" w:type="dxa"/>
              <w:right w:w="100" w:type="dxa"/>
            </w:tcMar>
          </w:tcPr>
          <w:p w14:paraId="1720264C"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22.22%</w:t>
            </w:r>
          </w:p>
        </w:tc>
        <w:tc>
          <w:tcPr>
            <w:tcW w:w="3120" w:type="dxa"/>
            <w:shd w:val="clear" w:color="auto" w:fill="auto"/>
            <w:tcMar>
              <w:top w:w="100" w:type="dxa"/>
              <w:left w:w="100" w:type="dxa"/>
              <w:bottom w:w="100" w:type="dxa"/>
              <w:right w:w="100" w:type="dxa"/>
            </w:tcMar>
          </w:tcPr>
          <w:p w14:paraId="4769DF9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r>
      <w:tr w:rsidR="007C5593" w14:paraId="646EFE12" w14:textId="77777777">
        <w:trPr>
          <w:cantSplit/>
          <w:tblHeader/>
          <w:jc w:val="center"/>
        </w:trPr>
        <w:tc>
          <w:tcPr>
            <w:tcW w:w="3645" w:type="dxa"/>
            <w:shd w:val="clear" w:color="auto" w:fill="auto"/>
            <w:tcMar>
              <w:top w:w="100" w:type="dxa"/>
              <w:left w:w="100" w:type="dxa"/>
              <w:bottom w:w="100" w:type="dxa"/>
              <w:right w:w="100" w:type="dxa"/>
            </w:tcMar>
          </w:tcPr>
          <w:p w14:paraId="7D707720"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None of the above</w:t>
            </w:r>
          </w:p>
        </w:tc>
        <w:tc>
          <w:tcPr>
            <w:tcW w:w="2595" w:type="dxa"/>
            <w:shd w:val="clear" w:color="auto" w:fill="auto"/>
            <w:tcMar>
              <w:top w:w="100" w:type="dxa"/>
              <w:left w:w="100" w:type="dxa"/>
              <w:bottom w:w="100" w:type="dxa"/>
              <w:right w:w="100" w:type="dxa"/>
            </w:tcMar>
          </w:tcPr>
          <w:p w14:paraId="5E97063A"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6.06%</w:t>
            </w:r>
          </w:p>
        </w:tc>
        <w:tc>
          <w:tcPr>
            <w:tcW w:w="3120" w:type="dxa"/>
            <w:shd w:val="clear" w:color="auto" w:fill="auto"/>
            <w:tcMar>
              <w:top w:w="100" w:type="dxa"/>
              <w:left w:w="100" w:type="dxa"/>
              <w:bottom w:w="100" w:type="dxa"/>
              <w:right w:w="100" w:type="dxa"/>
            </w:tcMar>
          </w:tcPr>
          <w:p w14:paraId="62D6C5CC"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r>
      <w:tr w:rsidR="007C5593" w14:paraId="13B7B764" w14:textId="77777777">
        <w:trPr>
          <w:cantSplit/>
          <w:trHeight w:val="440"/>
          <w:tblHeader/>
          <w:jc w:val="center"/>
        </w:trPr>
        <w:tc>
          <w:tcPr>
            <w:tcW w:w="6240" w:type="dxa"/>
            <w:gridSpan w:val="2"/>
            <w:shd w:val="clear" w:color="auto" w:fill="auto"/>
            <w:tcMar>
              <w:top w:w="100" w:type="dxa"/>
              <w:left w:w="100" w:type="dxa"/>
              <w:bottom w:w="100" w:type="dxa"/>
              <w:right w:w="100" w:type="dxa"/>
            </w:tcMar>
          </w:tcPr>
          <w:p w14:paraId="1115E603"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w:t>
            </w:r>
          </w:p>
        </w:tc>
        <w:tc>
          <w:tcPr>
            <w:tcW w:w="3120" w:type="dxa"/>
            <w:shd w:val="clear" w:color="auto" w:fill="auto"/>
            <w:tcMar>
              <w:top w:w="100" w:type="dxa"/>
              <w:left w:w="100" w:type="dxa"/>
              <w:bottom w:w="100" w:type="dxa"/>
              <w:right w:w="100" w:type="dxa"/>
            </w:tcMar>
          </w:tcPr>
          <w:p w14:paraId="1025C308"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99</w:t>
            </w:r>
          </w:p>
        </w:tc>
      </w:tr>
    </w:tbl>
    <w:p w14:paraId="0A0334A0" w14:textId="77777777" w:rsidR="007C5593" w:rsidRDefault="000A5866">
      <w:pPr>
        <w:pStyle w:val="Heading5"/>
        <w:rPr>
          <w:color w:val="000000"/>
        </w:rPr>
      </w:pPr>
      <w:bookmarkStart w:id="78" w:name="_heading=h.1baon6m" w:colFirst="0" w:colLast="0"/>
      <w:bookmarkEnd w:id="78"/>
      <w:r>
        <w:rPr>
          <w:color w:val="000000"/>
        </w:rPr>
        <w:lastRenderedPageBreak/>
        <w:t>Table 4.8: Frequency Table for Challenges in the Developing Wind Energy Policies</w:t>
      </w:r>
    </w:p>
    <w:p w14:paraId="38068191" w14:textId="77777777" w:rsidR="007C5593" w:rsidRDefault="000A586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38CAF21B" wp14:editId="5CB6D258">
            <wp:extent cx="5624513" cy="3317020"/>
            <wp:effectExtent l="12700" t="12700" r="12700" b="12700"/>
            <wp:docPr id="102"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5"/>
                    <a:srcRect/>
                    <a:stretch>
                      <a:fillRect/>
                    </a:stretch>
                  </pic:blipFill>
                  <pic:spPr>
                    <a:xfrm>
                      <a:off x="0" y="0"/>
                      <a:ext cx="5624513" cy="3317020"/>
                    </a:xfrm>
                    <a:prstGeom prst="rect">
                      <a:avLst/>
                    </a:prstGeom>
                    <a:ln w="12700">
                      <a:solidFill>
                        <a:srgbClr val="000000"/>
                      </a:solidFill>
                      <a:prstDash val="solid"/>
                    </a:ln>
                  </pic:spPr>
                </pic:pic>
              </a:graphicData>
            </a:graphic>
          </wp:inline>
        </w:drawing>
      </w:r>
    </w:p>
    <w:p w14:paraId="6CA56E4A" w14:textId="77777777" w:rsidR="007C5593" w:rsidRDefault="000A5866">
      <w:pPr>
        <w:pStyle w:val="Heading4"/>
      </w:pPr>
      <w:bookmarkStart w:id="79" w:name="_heading=h.3vac5uf" w:colFirst="0" w:colLast="0"/>
      <w:bookmarkEnd w:id="79"/>
      <w:r>
        <w:t>Figure 4.8: Challenges in the Developing Wind Energy Policies</w:t>
      </w:r>
    </w:p>
    <w:p w14:paraId="21850C30" w14:textId="77777777" w:rsidR="007C5593" w:rsidRPr="007132D5" w:rsidRDefault="000A5866">
      <w:pPr>
        <w:spacing w:line="48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Based on the frequency </w:t>
      </w:r>
      <w:r>
        <w:rPr>
          <w:rFonts w:ascii="Times New Roman" w:eastAsia="Times New Roman" w:hAnsi="Times New Roman" w:cs="Times New Roman"/>
          <w:i/>
          <w:sz w:val="24"/>
          <w:szCs w:val="24"/>
        </w:rPr>
        <w:t>Table 4.8</w:t>
      </w:r>
      <w:r>
        <w:rPr>
          <w:rFonts w:ascii="Times New Roman" w:eastAsia="Times New Roman" w:hAnsi="Times New Roman" w:cs="Times New Roman"/>
          <w:sz w:val="24"/>
          <w:szCs w:val="24"/>
        </w:rPr>
        <w:t xml:space="preserve">, 29.29% of the entire participants stated that improper infrastructure is one of the major issues in the developing wind energy policies in the UK. However, 17.17% of the entire participants voted for uncertainty and inconsistent policy adoption. </w:t>
      </w:r>
      <w:r w:rsidRPr="007132D5">
        <w:rPr>
          <w:rFonts w:ascii="Times New Roman" w:eastAsia="Times New Roman" w:hAnsi="Times New Roman" w:cs="Times New Roman"/>
          <w:color w:val="000000" w:themeColor="text1"/>
          <w:sz w:val="24"/>
          <w:szCs w:val="24"/>
        </w:rPr>
        <w:t xml:space="preserve">These opinions of the participants can be aligned with the discussion in the literature part regarding the challenges in  development of wind energy concerning UK policies. The literature also showcases that lack of policy consistency, grid infrastructure and supply chain constraints are the major issues. </w:t>
      </w:r>
    </w:p>
    <w:p w14:paraId="0831584B" w14:textId="77777777" w:rsidR="007C5593" w:rsidRPr="007132D5" w:rsidRDefault="000A5866">
      <w:pPr>
        <w:pStyle w:val="Heading6"/>
        <w:widowControl w:val="0"/>
        <w:rPr>
          <w:color w:val="000000" w:themeColor="text1"/>
        </w:rPr>
      </w:pPr>
      <w:bookmarkStart w:id="80" w:name="_heading=h.2afmg28" w:colFirst="0" w:colLast="0"/>
      <w:bookmarkEnd w:id="80"/>
      <w:r w:rsidRPr="007132D5">
        <w:rPr>
          <w:color w:val="000000" w:themeColor="text1"/>
        </w:rPr>
        <w:t>Question 9: How effective do you think the UK has been in developing renewable wind energy?</w:t>
      </w:r>
    </w:p>
    <w:tbl>
      <w:tblPr>
        <w:tblStyle w:val="af5"/>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C5593" w14:paraId="37EEEEDD" w14:textId="77777777">
        <w:trPr>
          <w:cantSplit/>
          <w:tblHeader/>
          <w:jc w:val="center"/>
        </w:trPr>
        <w:tc>
          <w:tcPr>
            <w:tcW w:w="3120" w:type="dxa"/>
            <w:shd w:val="clear" w:color="auto" w:fill="auto"/>
            <w:tcMar>
              <w:top w:w="100" w:type="dxa"/>
              <w:left w:w="100" w:type="dxa"/>
              <w:bottom w:w="100" w:type="dxa"/>
              <w:right w:w="100" w:type="dxa"/>
            </w:tcMar>
          </w:tcPr>
          <w:p w14:paraId="6814FA54"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Answer Choices</w:t>
            </w:r>
          </w:p>
        </w:tc>
        <w:tc>
          <w:tcPr>
            <w:tcW w:w="3120" w:type="dxa"/>
            <w:shd w:val="clear" w:color="auto" w:fill="auto"/>
            <w:tcMar>
              <w:top w:w="100" w:type="dxa"/>
              <w:left w:w="100" w:type="dxa"/>
              <w:bottom w:w="100" w:type="dxa"/>
              <w:right w:w="100" w:type="dxa"/>
            </w:tcMar>
          </w:tcPr>
          <w:p w14:paraId="07D4547E"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Responses </w:t>
            </w:r>
          </w:p>
        </w:tc>
        <w:tc>
          <w:tcPr>
            <w:tcW w:w="3120" w:type="dxa"/>
            <w:shd w:val="clear" w:color="auto" w:fill="auto"/>
            <w:tcMar>
              <w:top w:w="100" w:type="dxa"/>
              <w:left w:w="100" w:type="dxa"/>
              <w:bottom w:w="100" w:type="dxa"/>
              <w:right w:w="100" w:type="dxa"/>
            </w:tcMar>
          </w:tcPr>
          <w:p w14:paraId="77BA0F6E"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Participant Number </w:t>
            </w:r>
          </w:p>
        </w:tc>
      </w:tr>
      <w:tr w:rsidR="007C5593" w14:paraId="3FA868B7" w14:textId="77777777">
        <w:trPr>
          <w:cantSplit/>
          <w:tblHeader/>
          <w:jc w:val="center"/>
        </w:trPr>
        <w:tc>
          <w:tcPr>
            <w:tcW w:w="3120" w:type="dxa"/>
            <w:shd w:val="clear" w:color="auto" w:fill="auto"/>
            <w:tcMar>
              <w:top w:w="100" w:type="dxa"/>
              <w:left w:w="100" w:type="dxa"/>
              <w:bottom w:w="100" w:type="dxa"/>
              <w:right w:w="100" w:type="dxa"/>
            </w:tcMar>
          </w:tcPr>
          <w:p w14:paraId="644E7085"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Significantly Effective</w:t>
            </w:r>
          </w:p>
        </w:tc>
        <w:tc>
          <w:tcPr>
            <w:tcW w:w="3120" w:type="dxa"/>
            <w:shd w:val="clear" w:color="auto" w:fill="auto"/>
            <w:tcMar>
              <w:top w:w="100" w:type="dxa"/>
              <w:left w:w="100" w:type="dxa"/>
              <w:bottom w:w="100" w:type="dxa"/>
              <w:right w:w="100" w:type="dxa"/>
            </w:tcMar>
          </w:tcPr>
          <w:p w14:paraId="303F8F2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27.27%</w:t>
            </w:r>
          </w:p>
        </w:tc>
        <w:tc>
          <w:tcPr>
            <w:tcW w:w="3120" w:type="dxa"/>
            <w:shd w:val="clear" w:color="auto" w:fill="auto"/>
            <w:tcMar>
              <w:top w:w="100" w:type="dxa"/>
              <w:left w:w="100" w:type="dxa"/>
              <w:bottom w:w="100" w:type="dxa"/>
              <w:right w:w="100" w:type="dxa"/>
            </w:tcMar>
          </w:tcPr>
          <w:p w14:paraId="1163E081"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w:t>
            </w:r>
          </w:p>
        </w:tc>
      </w:tr>
      <w:tr w:rsidR="007C5593" w14:paraId="5A50B392" w14:textId="77777777">
        <w:trPr>
          <w:cantSplit/>
          <w:tblHeader/>
          <w:jc w:val="center"/>
        </w:trPr>
        <w:tc>
          <w:tcPr>
            <w:tcW w:w="3120" w:type="dxa"/>
            <w:shd w:val="clear" w:color="auto" w:fill="auto"/>
            <w:tcMar>
              <w:top w:w="100" w:type="dxa"/>
              <w:left w:w="100" w:type="dxa"/>
              <w:bottom w:w="100" w:type="dxa"/>
              <w:right w:w="100" w:type="dxa"/>
            </w:tcMar>
          </w:tcPr>
          <w:p w14:paraId="3AC602A2"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Moderately Effective</w:t>
            </w:r>
          </w:p>
        </w:tc>
        <w:tc>
          <w:tcPr>
            <w:tcW w:w="3120" w:type="dxa"/>
            <w:shd w:val="clear" w:color="auto" w:fill="auto"/>
            <w:tcMar>
              <w:top w:w="100" w:type="dxa"/>
              <w:left w:w="100" w:type="dxa"/>
              <w:bottom w:w="100" w:type="dxa"/>
              <w:right w:w="100" w:type="dxa"/>
            </w:tcMar>
          </w:tcPr>
          <w:p w14:paraId="595FC5A2"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52.53%</w:t>
            </w:r>
          </w:p>
        </w:tc>
        <w:tc>
          <w:tcPr>
            <w:tcW w:w="3120" w:type="dxa"/>
            <w:shd w:val="clear" w:color="auto" w:fill="auto"/>
            <w:tcMar>
              <w:top w:w="100" w:type="dxa"/>
              <w:left w:w="100" w:type="dxa"/>
              <w:bottom w:w="100" w:type="dxa"/>
              <w:right w:w="100" w:type="dxa"/>
            </w:tcMar>
          </w:tcPr>
          <w:p w14:paraId="4A2DCE50"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52</w:t>
            </w:r>
          </w:p>
        </w:tc>
      </w:tr>
      <w:tr w:rsidR="007C5593" w14:paraId="580D4821" w14:textId="77777777">
        <w:trPr>
          <w:cantSplit/>
          <w:tblHeader/>
          <w:jc w:val="center"/>
        </w:trPr>
        <w:tc>
          <w:tcPr>
            <w:tcW w:w="3120" w:type="dxa"/>
            <w:shd w:val="clear" w:color="auto" w:fill="auto"/>
            <w:tcMar>
              <w:top w:w="100" w:type="dxa"/>
              <w:left w:w="100" w:type="dxa"/>
              <w:bottom w:w="100" w:type="dxa"/>
              <w:right w:w="100" w:type="dxa"/>
            </w:tcMar>
          </w:tcPr>
          <w:p w14:paraId="6505C014"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Moderately Ineffective</w:t>
            </w:r>
          </w:p>
        </w:tc>
        <w:tc>
          <w:tcPr>
            <w:tcW w:w="3120" w:type="dxa"/>
            <w:shd w:val="clear" w:color="auto" w:fill="auto"/>
            <w:tcMar>
              <w:top w:w="100" w:type="dxa"/>
              <w:left w:w="100" w:type="dxa"/>
              <w:bottom w:w="100" w:type="dxa"/>
              <w:right w:w="100" w:type="dxa"/>
            </w:tcMar>
          </w:tcPr>
          <w:p w14:paraId="28A6A984"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9.09%</w:t>
            </w:r>
          </w:p>
        </w:tc>
        <w:tc>
          <w:tcPr>
            <w:tcW w:w="3120" w:type="dxa"/>
            <w:shd w:val="clear" w:color="auto" w:fill="auto"/>
            <w:tcMar>
              <w:top w:w="100" w:type="dxa"/>
              <w:left w:w="100" w:type="dxa"/>
              <w:bottom w:w="100" w:type="dxa"/>
              <w:right w:w="100" w:type="dxa"/>
            </w:tcMar>
          </w:tcPr>
          <w:p w14:paraId="1CC1F62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r>
      <w:tr w:rsidR="007C5593" w14:paraId="5A454DB5" w14:textId="77777777">
        <w:trPr>
          <w:cantSplit/>
          <w:tblHeader/>
          <w:jc w:val="center"/>
        </w:trPr>
        <w:tc>
          <w:tcPr>
            <w:tcW w:w="3120" w:type="dxa"/>
            <w:shd w:val="clear" w:color="auto" w:fill="auto"/>
            <w:tcMar>
              <w:top w:w="100" w:type="dxa"/>
              <w:left w:w="100" w:type="dxa"/>
              <w:bottom w:w="100" w:type="dxa"/>
              <w:right w:w="100" w:type="dxa"/>
            </w:tcMar>
          </w:tcPr>
          <w:p w14:paraId="1094ED8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Significantly Ineffective</w:t>
            </w:r>
          </w:p>
        </w:tc>
        <w:tc>
          <w:tcPr>
            <w:tcW w:w="3120" w:type="dxa"/>
            <w:shd w:val="clear" w:color="auto" w:fill="auto"/>
            <w:tcMar>
              <w:top w:w="100" w:type="dxa"/>
              <w:left w:w="100" w:type="dxa"/>
              <w:bottom w:w="100" w:type="dxa"/>
              <w:right w:w="100" w:type="dxa"/>
            </w:tcMar>
          </w:tcPr>
          <w:p w14:paraId="3C69688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3.03%</w:t>
            </w:r>
          </w:p>
        </w:tc>
        <w:tc>
          <w:tcPr>
            <w:tcW w:w="3120" w:type="dxa"/>
            <w:shd w:val="clear" w:color="auto" w:fill="auto"/>
            <w:tcMar>
              <w:top w:w="100" w:type="dxa"/>
              <w:left w:w="100" w:type="dxa"/>
              <w:bottom w:w="100" w:type="dxa"/>
              <w:right w:w="100" w:type="dxa"/>
            </w:tcMar>
          </w:tcPr>
          <w:p w14:paraId="32DCC383"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r w:rsidR="007C5593" w14:paraId="6A41DC41" w14:textId="77777777">
        <w:trPr>
          <w:cantSplit/>
          <w:tblHeader/>
          <w:jc w:val="center"/>
        </w:trPr>
        <w:tc>
          <w:tcPr>
            <w:tcW w:w="3120" w:type="dxa"/>
            <w:shd w:val="clear" w:color="auto" w:fill="auto"/>
            <w:tcMar>
              <w:top w:w="100" w:type="dxa"/>
              <w:left w:w="100" w:type="dxa"/>
              <w:bottom w:w="100" w:type="dxa"/>
              <w:right w:w="100" w:type="dxa"/>
            </w:tcMar>
          </w:tcPr>
          <w:p w14:paraId="2FC2FFC8"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 change</w:t>
            </w:r>
          </w:p>
        </w:tc>
        <w:tc>
          <w:tcPr>
            <w:tcW w:w="3120" w:type="dxa"/>
            <w:shd w:val="clear" w:color="auto" w:fill="auto"/>
            <w:tcMar>
              <w:top w:w="100" w:type="dxa"/>
              <w:left w:w="100" w:type="dxa"/>
              <w:bottom w:w="100" w:type="dxa"/>
              <w:right w:w="100" w:type="dxa"/>
            </w:tcMar>
          </w:tcPr>
          <w:p w14:paraId="66DB6C21"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8.08%</w:t>
            </w:r>
          </w:p>
        </w:tc>
        <w:tc>
          <w:tcPr>
            <w:tcW w:w="3120" w:type="dxa"/>
            <w:shd w:val="clear" w:color="auto" w:fill="auto"/>
            <w:tcMar>
              <w:top w:w="100" w:type="dxa"/>
              <w:left w:w="100" w:type="dxa"/>
              <w:bottom w:w="100" w:type="dxa"/>
              <w:right w:w="100" w:type="dxa"/>
            </w:tcMar>
          </w:tcPr>
          <w:p w14:paraId="0AD00AFA"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r>
      <w:tr w:rsidR="007C5593" w14:paraId="0234546D" w14:textId="77777777">
        <w:trPr>
          <w:cantSplit/>
          <w:trHeight w:val="440"/>
          <w:tblHeader/>
          <w:jc w:val="center"/>
        </w:trPr>
        <w:tc>
          <w:tcPr>
            <w:tcW w:w="6240" w:type="dxa"/>
            <w:gridSpan w:val="2"/>
            <w:shd w:val="clear" w:color="auto" w:fill="auto"/>
            <w:tcMar>
              <w:top w:w="100" w:type="dxa"/>
              <w:left w:w="100" w:type="dxa"/>
              <w:bottom w:w="100" w:type="dxa"/>
              <w:right w:w="100" w:type="dxa"/>
            </w:tcMar>
          </w:tcPr>
          <w:p w14:paraId="7BAB95BB"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w:t>
            </w:r>
          </w:p>
        </w:tc>
        <w:tc>
          <w:tcPr>
            <w:tcW w:w="3120" w:type="dxa"/>
            <w:shd w:val="clear" w:color="auto" w:fill="auto"/>
            <w:tcMar>
              <w:top w:w="100" w:type="dxa"/>
              <w:left w:w="100" w:type="dxa"/>
              <w:bottom w:w="100" w:type="dxa"/>
              <w:right w:w="100" w:type="dxa"/>
            </w:tcMar>
          </w:tcPr>
          <w:p w14:paraId="009C2B43"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99</w:t>
            </w:r>
          </w:p>
        </w:tc>
      </w:tr>
    </w:tbl>
    <w:p w14:paraId="2C979E16" w14:textId="77777777" w:rsidR="007C5593" w:rsidRDefault="000A5866">
      <w:pPr>
        <w:pStyle w:val="Heading5"/>
        <w:rPr>
          <w:color w:val="000000"/>
        </w:rPr>
      </w:pPr>
      <w:bookmarkStart w:id="81" w:name="_heading=h.pkwqa1" w:colFirst="0" w:colLast="0"/>
      <w:bookmarkEnd w:id="81"/>
      <w:r>
        <w:rPr>
          <w:color w:val="000000"/>
        </w:rPr>
        <w:t>Table 4.9: Frequency Table for Effectiveness of UK in Developing Renewable Wind Energy</w:t>
      </w:r>
    </w:p>
    <w:p w14:paraId="4F9871B7" w14:textId="77777777" w:rsidR="007C5593" w:rsidRDefault="000A586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6CB06052" wp14:editId="456C0846">
            <wp:extent cx="5324475" cy="3238689"/>
            <wp:effectExtent l="12700" t="12700" r="12700" b="12700"/>
            <wp:docPr id="103"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6"/>
                    <a:srcRect/>
                    <a:stretch>
                      <a:fillRect/>
                    </a:stretch>
                  </pic:blipFill>
                  <pic:spPr>
                    <a:xfrm>
                      <a:off x="0" y="0"/>
                      <a:ext cx="5324475" cy="3238689"/>
                    </a:xfrm>
                    <a:prstGeom prst="rect">
                      <a:avLst/>
                    </a:prstGeom>
                    <a:ln w="12700">
                      <a:solidFill>
                        <a:srgbClr val="000000"/>
                      </a:solidFill>
                      <a:prstDash val="solid"/>
                    </a:ln>
                  </pic:spPr>
                </pic:pic>
              </a:graphicData>
            </a:graphic>
          </wp:inline>
        </w:drawing>
      </w:r>
    </w:p>
    <w:p w14:paraId="264F621F" w14:textId="77777777" w:rsidR="007C5593" w:rsidRDefault="000A5866">
      <w:pPr>
        <w:pStyle w:val="Heading4"/>
      </w:pPr>
      <w:bookmarkStart w:id="82" w:name="_heading=h.39kk8xu" w:colFirst="0" w:colLast="0"/>
      <w:bookmarkEnd w:id="82"/>
      <w:r>
        <w:t>Figure 4.9: Effectiveness of UK in Developing Renewable Wind Energy</w:t>
      </w:r>
    </w:p>
    <w:p w14:paraId="4E73F8F5" w14:textId="77777777" w:rsidR="007C5593" w:rsidRPr="007132D5" w:rsidRDefault="000A5866">
      <w:pPr>
        <w:spacing w:line="48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According to the frequency </w:t>
      </w:r>
      <w:r>
        <w:rPr>
          <w:rFonts w:ascii="Times New Roman" w:eastAsia="Times New Roman" w:hAnsi="Times New Roman" w:cs="Times New Roman"/>
          <w:i/>
          <w:sz w:val="24"/>
          <w:szCs w:val="24"/>
        </w:rPr>
        <w:t>Table 4.9</w:t>
      </w:r>
      <w:r>
        <w:rPr>
          <w:rFonts w:ascii="Times New Roman" w:eastAsia="Times New Roman" w:hAnsi="Times New Roman" w:cs="Times New Roman"/>
          <w:sz w:val="24"/>
          <w:szCs w:val="24"/>
        </w:rPr>
        <w:t xml:space="preserve"> and </w:t>
      </w:r>
      <w:r>
        <w:rPr>
          <w:rFonts w:ascii="Times New Roman" w:eastAsia="Times New Roman" w:hAnsi="Times New Roman" w:cs="Times New Roman"/>
          <w:i/>
          <w:sz w:val="24"/>
          <w:szCs w:val="24"/>
        </w:rPr>
        <w:t>Figure 4.9</w:t>
      </w:r>
      <w:r>
        <w:rPr>
          <w:rFonts w:ascii="Times New Roman" w:eastAsia="Times New Roman" w:hAnsi="Times New Roman" w:cs="Times New Roman"/>
          <w:sz w:val="24"/>
          <w:szCs w:val="24"/>
        </w:rPr>
        <w:t xml:space="preserve"> most of the participants pointed out that the UK has been moderately effective in developing renewable wind energy. Only 3.03% highlighted that the UK has been significantly ineffective in developing renewable wind energy. </w:t>
      </w:r>
      <w:r w:rsidRPr="007132D5">
        <w:rPr>
          <w:rFonts w:ascii="Times New Roman" w:eastAsia="Times New Roman" w:hAnsi="Times New Roman" w:cs="Times New Roman"/>
          <w:color w:val="000000" w:themeColor="text1"/>
          <w:sz w:val="24"/>
          <w:szCs w:val="24"/>
        </w:rPr>
        <w:lastRenderedPageBreak/>
        <w:t xml:space="preserve">The literature part also shows that the wind power capacity of the UK is 13.6 gigawatts with a record creation of 30.4 terawatt-hours. It indicates that the UK has been effective in developing renewable wind energy. </w:t>
      </w:r>
    </w:p>
    <w:p w14:paraId="5222A399" w14:textId="77777777" w:rsidR="007C5593" w:rsidRPr="007132D5" w:rsidRDefault="000A5866">
      <w:pPr>
        <w:pStyle w:val="Heading6"/>
        <w:widowControl w:val="0"/>
        <w:rPr>
          <w:color w:val="000000" w:themeColor="text1"/>
        </w:rPr>
      </w:pPr>
      <w:bookmarkStart w:id="83" w:name="_heading=h.1opuj5n" w:colFirst="0" w:colLast="0"/>
      <w:bookmarkEnd w:id="83"/>
      <w:r w:rsidRPr="007132D5">
        <w:rPr>
          <w:color w:val="000000" w:themeColor="text1"/>
        </w:rPr>
        <w:t>Question 10: To what extent do you think that renewable wind energy policies can help enhance energy efficiency and productivity in the UK?</w:t>
      </w:r>
    </w:p>
    <w:tbl>
      <w:tblPr>
        <w:tblStyle w:val="af6"/>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C5593" w14:paraId="17942B5D" w14:textId="77777777">
        <w:trPr>
          <w:cantSplit/>
          <w:tblHeader/>
          <w:jc w:val="center"/>
        </w:trPr>
        <w:tc>
          <w:tcPr>
            <w:tcW w:w="3120" w:type="dxa"/>
            <w:shd w:val="clear" w:color="auto" w:fill="auto"/>
            <w:tcMar>
              <w:top w:w="100" w:type="dxa"/>
              <w:left w:w="100" w:type="dxa"/>
              <w:bottom w:w="100" w:type="dxa"/>
              <w:right w:w="100" w:type="dxa"/>
            </w:tcMar>
          </w:tcPr>
          <w:p w14:paraId="15EB0132"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Answer Choices</w:t>
            </w:r>
          </w:p>
        </w:tc>
        <w:tc>
          <w:tcPr>
            <w:tcW w:w="3120" w:type="dxa"/>
            <w:shd w:val="clear" w:color="auto" w:fill="auto"/>
            <w:tcMar>
              <w:top w:w="100" w:type="dxa"/>
              <w:left w:w="100" w:type="dxa"/>
              <w:bottom w:w="100" w:type="dxa"/>
              <w:right w:w="100" w:type="dxa"/>
            </w:tcMar>
          </w:tcPr>
          <w:p w14:paraId="7399A21E"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Responses </w:t>
            </w:r>
          </w:p>
        </w:tc>
        <w:tc>
          <w:tcPr>
            <w:tcW w:w="3120" w:type="dxa"/>
            <w:shd w:val="clear" w:color="auto" w:fill="auto"/>
            <w:tcMar>
              <w:top w:w="100" w:type="dxa"/>
              <w:left w:w="100" w:type="dxa"/>
              <w:bottom w:w="100" w:type="dxa"/>
              <w:right w:w="100" w:type="dxa"/>
            </w:tcMar>
          </w:tcPr>
          <w:p w14:paraId="67ED59A0"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Participant Number </w:t>
            </w:r>
          </w:p>
        </w:tc>
      </w:tr>
      <w:tr w:rsidR="007C5593" w14:paraId="13400D29" w14:textId="77777777">
        <w:trPr>
          <w:cantSplit/>
          <w:tblHeader/>
          <w:jc w:val="center"/>
        </w:trPr>
        <w:tc>
          <w:tcPr>
            <w:tcW w:w="3120" w:type="dxa"/>
            <w:shd w:val="clear" w:color="auto" w:fill="auto"/>
            <w:tcMar>
              <w:top w:w="100" w:type="dxa"/>
              <w:left w:w="100" w:type="dxa"/>
              <w:bottom w:w="100" w:type="dxa"/>
              <w:right w:w="100" w:type="dxa"/>
            </w:tcMar>
          </w:tcPr>
          <w:p w14:paraId="2A505944"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 a good extent</w:t>
            </w:r>
          </w:p>
        </w:tc>
        <w:tc>
          <w:tcPr>
            <w:tcW w:w="3120" w:type="dxa"/>
            <w:shd w:val="clear" w:color="auto" w:fill="auto"/>
            <w:tcMar>
              <w:top w:w="100" w:type="dxa"/>
              <w:left w:w="100" w:type="dxa"/>
              <w:bottom w:w="100" w:type="dxa"/>
              <w:right w:w="100" w:type="dxa"/>
            </w:tcMar>
          </w:tcPr>
          <w:p w14:paraId="677D4E4E"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32.32%</w:t>
            </w:r>
          </w:p>
        </w:tc>
        <w:tc>
          <w:tcPr>
            <w:tcW w:w="3120" w:type="dxa"/>
            <w:shd w:val="clear" w:color="auto" w:fill="auto"/>
            <w:tcMar>
              <w:top w:w="100" w:type="dxa"/>
              <w:left w:w="100" w:type="dxa"/>
              <w:bottom w:w="100" w:type="dxa"/>
              <w:right w:w="100" w:type="dxa"/>
            </w:tcMar>
          </w:tcPr>
          <w:p w14:paraId="4D3206EA"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w:t>
            </w:r>
          </w:p>
        </w:tc>
      </w:tr>
      <w:tr w:rsidR="007C5593" w14:paraId="7744A94B" w14:textId="77777777">
        <w:trPr>
          <w:cantSplit/>
          <w:tblHeader/>
          <w:jc w:val="center"/>
        </w:trPr>
        <w:tc>
          <w:tcPr>
            <w:tcW w:w="3120" w:type="dxa"/>
            <w:shd w:val="clear" w:color="auto" w:fill="auto"/>
            <w:tcMar>
              <w:top w:w="100" w:type="dxa"/>
              <w:left w:w="100" w:type="dxa"/>
              <w:bottom w:w="100" w:type="dxa"/>
              <w:right w:w="100" w:type="dxa"/>
            </w:tcMar>
          </w:tcPr>
          <w:p w14:paraId="1B45A2AE"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 a great extent</w:t>
            </w:r>
          </w:p>
        </w:tc>
        <w:tc>
          <w:tcPr>
            <w:tcW w:w="3120" w:type="dxa"/>
            <w:shd w:val="clear" w:color="auto" w:fill="auto"/>
            <w:tcMar>
              <w:top w:w="100" w:type="dxa"/>
              <w:left w:w="100" w:type="dxa"/>
              <w:bottom w:w="100" w:type="dxa"/>
              <w:right w:w="100" w:type="dxa"/>
            </w:tcMar>
          </w:tcPr>
          <w:p w14:paraId="597EBD4F"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38.38%</w:t>
            </w:r>
          </w:p>
        </w:tc>
        <w:tc>
          <w:tcPr>
            <w:tcW w:w="3120" w:type="dxa"/>
            <w:shd w:val="clear" w:color="auto" w:fill="auto"/>
            <w:tcMar>
              <w:top w:w="100" w:type="dxa"/>
              <w:left w:w="100" w:type="dxa"/>
              <w:bottom w:w="100" w:type="dxa"/>
              <w:right w:w="100" w:type="dxa"/>
            </w:tcMar>
          </w:tcPr>
          <w:p w14:paraId="6E316034"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38</w:t>
            </w:r>
          </w:p>
        </w:tc>
      </w:tr>
      <w:tr w:rsidR="007C5593" w14:paraId="21B92EAE" w14:textId="77777777">
        <w:trPr>
          <w:cantSplit/>
          <w:tblHeader/>
          <w:jc w:val="center"/>
        </w:trPr>
        <w:tc>
          <w:tcPr>
            <w:tcW w:w="3120" w:type="dxa"/>
            <w:shd w:val="clear" w:color="auto" w:fill="auto"/>
            <w:tcMar>
              <w:top w:w="100" w:type="dxa"/>
              <w:left w:w="100" w:type="dxa"/>
              <w:bottom w:w="100" w:type="dxa"/>
              <w:right w:w="100" w:type="dxa"/>
            </w:tcMar>
          </w:tcPr>
          <w:p w14:paraId="201F8C92"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 a moderate extent</w:t>
            </w:r>
          </w:p>
        </w:tc>
        <w:tc>
          <w:tcPr>
            <w:tcW w:w="3120" w:type="dxa"/>
            <w:shd w:val="clear" w:color="auto" w:fill="auto"/>
            <w:tcMar>
              <w:top w:w="100" w:type="dxa"/>
              <w:left w:w="100" w:type="dxa"/>
              <w:bottom w:w="100" w:type="dxa"/>
              <w:right w:w="100" w:type="dxa"/>
            </w:tcMar>
          </w:tcPr>
          <w:p w14:paraId="75608D4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17.17%</w:t>
            </w:r>
          </w:p>
        </w:tc>
        <w:tc>
          <w:tcPr>
            <w:tcW w:w="3120" w:type="dxa"/>
            <w:shd w:val="clear" w:color="auto" w:fill="auto"/>
            <w:tcMar>
              <w:top w:w="100" w:type="dxa"/>
              <w:left w:w="100" w:type="dxa"/>
              <w:bottom w:w="100" w:type="dxa"/>
              <w:right w:w="100" w:type="dxa"/>
            </w:tcMar>
          </w:tcPr>
          <w:p w14:paraId="141917F8"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r>
      <w:tr w:rsidR="007C5593" w14:paraId="4E9F2F2F" w14:textId="77777777">
        <w:trPr>
          <w:cantSplit/>
          <w:tblHeader/>
          <w:jc w:val="center"/>
        </w:trPr>
        <w:tc>
          <w:tcPr>
            <w:tcW w:w="3120" w:type="dxa"/>
            <w:shd w:val="clear" w:color="auto" w:fill="auto"/>
            <w:tcMar>
              <w:top w:w="100" w:type="dxa"/>
              <w:left w:w="100" w:type="dxa"/>
              <w:bottom w:w="100" w:type="dxa"/>
              <w:right w:w="100" w:type="dxa"/>
            </w:tcMar>
          </w:tcPr>
          <w:p w14:paraId="58409BC8"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 a slight extent</w:t>
            </w:r>
          </w:p>
        </w:tc>
        <w:tc>
          <w:tcPr>
            <w:tcW w:w="3120" w:type="dxa"/>
            <w:shd w:val="clear" w:color="auto" w:fill="auto"/>
            <w:tcMar>
              <w:top w:w="100" w:type="dxa"/>
              <w:left w:w="100" w:type="dxa"/>
              <w:bottom w:w="100" w:type="dxa"/>
              <w:right w:w="100" w:type="dxa"/>
            </w:tcMar>
          </w:tcPr>
          <w:p w14:paraId="41A527F0"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8.08%</w:t>
            </w:r>
          </w:p>
        </w:tc>
        <w:tc>
          <w:tcPr>
            <w:tcW w:w="3120" w:type="dxa"/>
            <w:shd w:val="clear" w:color="auto" w:fill="auto"/>
            <w:tcMar>
              <w:top w:w="100" w:type="dxa"/>
              <w:left w:w="100" w:type="dxa"/>
              <w:bottom w:w="100" w:type="dxa"/>
              <w:right w:w="100" w:type="dxa"/>
            </w:tcMar>
          </w:tcPr>
          <w:p w14:paraId="77FA0BAF"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r>
      <w:tr w:rsidR="007C5593" w14:paraId="376A5B23" w14:textId="77777777">
        <w:trPr>
          <w:cantSplit/>
          <w:tblHeader/>
          <w:jc w:val="center"/>
        </w:trPr>
        <w:tc>
          <w:tcPr>
            <w:tcW w:w="3120" w:type="dxa"/>
            <w:shd w:val="clear" w:color="auto" w:fill="auto"/>
            <w:tcMar>
              <w:top w:w="100" w:type="dxa"/>
              <w:left w:w="100" w:type="dxa"/>
              <w:bottom w:w="100" w:type="dxa"/>
              <w:right w:w="100" w:type="dxa"/>
            </w:tcMar>
          </w:tcPr>
          <w:p w14:paraId="4BE20C98"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Won’t make any difference</w:t>
            </w:r>
          </w:p>
        </w:tc>
        <w:tc>
          <w:tcPr>
            <w:tcW w:w="3120" w:type="dxa"/>
            <w:shd w:val="clear" w:color="auto" w:fill="auto"/>
            <w:tcMar>
              <w:top w:w="100" w:type="dxa"/>
              <w:left w:w="100" w:type="dxa"/>
              <w:bottom w:w="100" w:type="dxa"/>
              <w:right w:w="100" w:type="dxa"/>
            </w:tcMar>
          </w:tcPr>
          <w:p w14:paraId="3A09F9F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4.04%</w:t>
            </w:r>
          </w:p>
        </w:tc>
        <w:tc>
          <w:tcPr>
            <w:tcW w:w="3120" w:type="dxa"/>
            <w:shd w:val="clear" w:color="auto" w:fill="auto"/>
            <w:tcMar>
              <w:top w:w="100" w:type="dxa"/>
              <w:left w:w="100" w:type="dxa"/>
              <w:bottom w:w="100" w:type="dxa"/>
              <w:right w:w="100" w:type="dxa"/>
            </w:tcMar>
          </w:tcPr>
          <w:p w14:paraId="2BC81F6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r>
      <w:tr w:rsidR="007C5593" w14:paraId="254388BB" w14:textId="77777777">
        <w:trPr>
          <w:cantSplit/>
          <w:trHeight w:val="440"/>
          <w:tblHeader/>
          <w:jc w:val="center"/>
        </w:trPr>
        <w:tc>
          <w:tcPr>
            <w:tcW w:w="6240" w:type="dxa"/>
            <w:gridSpan w:val="2"/>
            <w:shd w:val="clear" w:color="auto" w:fill="auto"/>
            <w:tcMar>
              <w:top w:w="100" w:type="dxa"/>
              <w:left w:w="100" w:type="dxa"/>
              <w:bottom w:w="100" w:type="dxa"/>
              <w:right w:w="100" w:type="dxa"/>
            </w:tcMar>
          </w:tcPr>
          <w:p w14:paraId="06370C95"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w:t>
            </w:r>
          </w:p>
        </w:tc>
        <w:tc>
          <w:tcPr>
            <w:tcW w:w="3120" w:type="dxa"/>
            <w:shd w:val="clear" w:color="auto" w:fill="auto"/>
            <w:tcMar>
              <w:top w:w="100" w:type="dxa"/>
              <w:left w:w="100" w:type="dxa"/>
              <w:bottom w:w="100" w:type="dxa"/>
              <w:right w:w="100" w:type="dxa"/>
            </w:tcMar>
          </w:tcPr>
          <w:p w14:paraId="08EA72D2"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99</w:t>
            </w:r>
          </w:p>
        </w:tc>
      </w:tr>
    </w:tbl>
    <w:p w14:paraId="2AE12861" w14:textId="77777777" w:rsidR="007C5593" w:rsidRDefault="000A5866">
      <w:pPr>
        <w:pStyle w:val="Heading5"/>
        <w:rPr>
          <w:color w:val="000000"/>
        </w:rPr>
      </w:pPr>
      <w:bookmarkStart w:id="84" w:name="_heading=h.48pi1tg" w:colFirst="0" w:colLast="0"/>
      <w:bookmarkEnd w:id="84"/>
      <w:r>
        <w:rPr>
          <w:color w:val="000000"/>
        </w:rPr>
        <w:lastRenderedPageBreak/>
        <w:t>Table 4.10: Frequency Table for Renewable Wind Energy Policies to Enhance Energy Efficiency and Productivity</w:t>
      </w:r>
    </w:p>
    <w:p w14:paraId="1AD6DECB" w14:textId="77777777" w:rsidR="007C5593" w:rsidRDefault="000A586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5C864137" wp14:editId="2580C861">
            <wp:extent cx="5472113" cy="3113141"/>
            <wp:effectExtent l="12700" t="12700" r="12700" b="12700"/>
            <wp:docPr id="7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7"/>
                    <a:srcRect/>
                    <a:stretch>
                      <a:fillRect/>
                    </a:stretch>
                  </pic:blipFill>
                  <pic:spPr>
                    <a:xfrm>
                      <a:off x="0" y="0"/>
                      <a:ext cx="5472113" cy="3113141"/>
                    </a:xfrm>
                    <a:prstGeom prst="rect">
                      <a:avLst/>
                    </a:prstGeom>
                    <a:ln w="12700">
                      <a:solidFill>
                        <a:srgbClr val="000000"/>
                      </a:solidFill>
                      <a:prstDash val="solid"/>
                    </a:ln>
                  </pic:spPr>
                </pic:pic>
              </a:graphicData>
            </a:graphic>
          </wp:inline>
        </w:drawing>
      </w:r>
    </w:p>
    <w:p w14:paraId="402DC526" w14:textId="77777777" w:rsidR="007C5593" w:rsidRDefault="000A5866">
      <w:pPr>
        <w:pStyle w:val="Heading4"/>
      </w:pPr>
      <w:bookmarkStart w:id="85" w:name="_heading=h.2nusc19" w:colFirst="0" w:colLast="0"/>
      <w:bookmarkEnd w:id="85"/>
      <w:r>
        <w:t>Figure 4.10: Renewable Wind Energy Policies to Enhance Energy Efficiency and Productivity</w:t>
      </w:r>
    </w:p>
    <w:p w14:paraId="36F10D82" w14:textId="77777777" w:rsidR="007C5593" w:rsidRPr="007132D5" w:rsidRDefault="000A5866">
      <w:pPr>
        <w:spacing w:line="48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Nearly 38.38% of the respondents opined that renewable wind energy policies have great significance for enhancing productivity and energy efficiency. 4.04% of the participants pointed out that it would not make any difference. </w:t>
      </w:r>
      <w:r w:rsidRPr="007132D5">
        <w:rPr>
          <w:rFonts w:ascii="Times New Roman" w:eastAsia="Times New Roman" w:hAnsi="Times New Roman" w:cs="Times New Roman"/>
          <w:color w:val="000000" w:themeColor="text1"/>
          <w:sz w:val="24"/>
          <w:szCs w:val="24"/>
        </w:rPr>
        <w:t xml:space="preserve">It supports the literature part as the theoretical implications (MLG Framework) showed that renewable energy policies include stakeholders in respect of enhancing productivity. </w:t>
      </w:r>
    </w:p>
    <w:p w14:paraId="58A011BC" w14:textId="77777777" w:rsidR="007C5593" w:rsidRPr="007132D5" w:rsidRDefault="000A5866">
      <w:pPr>
        <w:pStyle w:val="Heading6"/>
        <w:widowControl w:val="0"/>
        <w:rPr>
          <w:color w:val="000000" w:themeColor="text1"/>
        </w:rPr>
      </w:pPr>
      <w:bookmarkStart w:id="86" w:name="_heading=h.1302m92" w:colFirst="0" w:colLast="0"/>
      <w:bookmarkEnd w:id="86"/>
      <w:r w:rsidRPr="007132D5">
        <w:rPr>
          <w:color w:val="000000" w:themeColor="text1"/>
        </w:rPr>
        <w:t>Question 11: Do you think technological advancements, such as improving wind turbines and better energy storage can help make wind energy policies more effective in the UK?</w:t>
      </w:r>
    </w:p>
    <w:tbl>
      <w:tblPr>
        <w:tblStyle w:val="af7"/>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C5593" w14:paraId="0811DAA9" w14:textId="77777777">
        <w:trPr>
          <w:cantSplit/>
          <w:tblHeader/>
          <w:jc w:val="center"/>
        </w:trPr>
        <w:tc>
          <w:tcPr>
            <w:tcW w:w="3120" w:type="dxa"/>
            <w:shd w:val="clear" w:color="auto" w:fill="auto"/>
            <w:tcMar>
              <w:top w:w="100" w:type="dxa"/>
              <w:left w:w="100" w:type="dxa"/>
              <w:bottom w:w="100" w:type="dxa"/>
              <w:right w:w="100" w:type="dxa"/>
            </w:tcMar>
          </w:tcPr>
          <w:p w14:paraId="0FD54D84"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Answer Choices</w:t>
            </w:r>
          </w:p>
        </w:tc>
        <w:tc>
          <w:tcPr>
            <w:tcW w:w="3120" w:type="dxa"/>
            <w:shd w:val="clear" w:color="auto" w:fill="auto"/>
            <w:tcMar>
              <w:top w:w="100" w:type="dxa"/>
              <w:left w:w="100" w:type="dxa"/>
              <w:bottom w:w="100" w:type="dxa"/>
              <w:right w:w="100" w:type="dxa"/>
            </w:tcMar>
          </w:tcPr>
          <w:p w14:paraId="050B69DE"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Responses </w:t>
            </w:r>
          </w:p>
        </w:tc>
        <w:tc>
          <w:tcPr>
            <w:tcW w:w="3120" w:type="dxa"/>
            <w:shd w:val="clear" w:color="auto" w:fill="auto"/>
            <w:tcMar>
              <w:top w:w="100" w:type="dxa"/>
              <w:left w:w="100" w:type="dxa"/>
              <w:bottom w:w="100" w:type="dxa"/>
              <w:right w:w="100" w:type="dxa"/>
            </w:tcMar>
          </w:tcPr>
          <w:p w14:paraId="21E923DF"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Participant Number </w:t>
            </w:r>
          </w:p>
        </w:tc>
      </w:tr>
      <w:tr w:rsidR="007C5593" w14:paraId="5342F135" w14:textId="77777777">
        <w:trPr>
          <w:cantSplit/>
          <w:tblHeader/>
          <w:jc w:val="center"/>
        </w:trPr>
        <w:tc>
          <w:tcPr>
            <w:tcW w:w="3120" w:type="dxa"/>
            <w:shd w:val="clear" w:color="auto" w:fill="auto"/>
            <w:tcMar>
              <w:top w:w="100" w:type="dxa"/>
              <w:left w:w="100" w:type="dxa"/>
              <w:bottom w:w="100" w:type="dxa"/>
              <w:right w:w="100" w:type="dxa"/>
            </w:tcMar>
          </w:tcPr>
          <w:p w14:paraId="2FFE452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Very Positively</w:t>
            </w:r>
          </w:p>
        </w:tc>
        <w:tc>
          <w:tcPr>
            <w:tcW w:w="3120" w:type="dxa"/>
            <w:shd w:val="clear" w:color="auto" w:fill="auto"/>
            <w:tcMar>
              <w:top w:w="100" w:type="dxa"/>
              <w:left w:w="100" w:type="dxa"/>
              <w:bottom w:w="100" w:type="dxa"/>
              <w:right w:w="100" w:type="dxa"/>
            </w:tcMar>
          </w:tcPr>
          <w:p w14:paraId="48AFFF7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31.31%</w:t>
            </w:r>
          </w:p>
        </w:tc>
        <w:tc>
          <w:tcPr>
            <w:tcW w:w="3120" w:type="dxa"/>
            <w:shd w:val="clear" w:color="auto" w:fill="auto"/>
            <w:tcMar>
              <w:top w:w="100" w:type="dxa"/>
              <w:left w:w="100" w:type="dxa"/>
              <w:bottom w:w="100" w:type="dxa"/>
              <w:right w:w="100" w:type="dxa"/>
            </w:tcMar>
          </w:tcPr>
          <w:p w14:paraId="22E8AD0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31</w:t>
            </w:r>
          </w:p>
        </w:tc>
      </w:tr>
      <w:tr w:rsidR="007C5593" w14:paraId="79E27016" w14:textId="77777777">
        <w:trPr>
          <w:cantSplit/>
          <w:tblHeader/>
          <w:jc w:val="center"/>
        </w:trPr>
        <w:tc>
          <w:tcPr>
            <w:tcW w:w="3120" w:type="dxa"/>
            <w:shd w:val="clear" w:color="auto" w:fill="auto"/>
            <w:tcMar>
              <w:top w:w="100" w:type="dxa"/>
              <w:left w:w="100" w:type="dxa"/>
              <w:bottom w:w="100" w:type="dxa"/>
              <w:right w:w="100" w:type="dxa"/>
            </w:tcMar>
          </w:tcPr>
          <w:p w14:paraId="4A2C6E45"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Positively</w:t>
            </w:r>
          </w:p>
        </w:tc>
        <w:tc>
          <w:tcPr>
            <w:tcW w:w="3120" w:type="dxa"/>
            <w:shd w:val="clear" w:color="auto" w:fill="auto"/>
            <w:tcMar>
              <w:top w:w="100" w:type="dxa"/>
              <w:left w:w="100" w:type="dxa"/>
              <w:bottom w:w="100" w:type="dxa"/>
              <w:right w:w="100" w:type="dxa"/>
            </w:tcMar>
          </w:tcPr>
          <w:p w14:paraId="258F3C1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40.40%</w:t>
            </w:r>
          </w:p>
        </w:tc>
        <w:tc>
          <w:tcPr>
            <w:tcW w:w="3120" w:type="dxa"/>
            <w:shd w:val="clear" w:color="auto" w:fill="auto"/>
            <w:tcMar>
              <w:top w:w="100" w:type="dxa"/>
              <w:left w:w="100" w:type="dxa"/>
              <w:bottom w:w="100" w:type="dxa"/>
              <w:right w:w="100" w:type="dxa"/>
            </w:tcMar>
          </w:tcPr>
          <w:p w14:paraId="0301DF5C"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r>
      <w:tr w:rsidR="007C5593" w14:paraId="0B569CEC" w14:textId="77777777">
        <w:trPr>
          <w:cantSplit/>
          <w:tblHeader/>
          <w:jc w:val="center"/>
        </w:trPr>
        <w:tc>
          <w:tcPr>
            <w:tcW w:w="3120" w:type="dxa"/>
            <w:shd w:val="clear" w:color="auto" w:fill="auto"/>
            <w:tcMar>
              <w:top w:w="100" w:type="dxa"/>
              <w:left w:w="100" w:type="dxa"/>
              <w:bottom w:w="100" w:type="dxa"/>
              <w:right w:w="100" w:type="dxa"/>
            </w:tcMar>
          </w:tcPr>
          <w:p w14:paraId="7EF2E783"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Negatively</w:t>
            </w:r>
          </w:p>
        </w:tc>
        <w:tc>
          <w:tcPr>
            <w:tcW w:w="3120" w:type="dxa"/>
            <w:shd w:val="clear" w:color="auto" w:fill="auto"/>
            <w:tcMar>
              <w:top w:w="100" w:type="dxa"/>
              <w:left w:w="100" w:type="dxa"/>
              <w:bottom w:w="100" w:type="dxa"/>
              <w:right w:w="100" w:type="dxa"/>
            </w:tcMar>
          </w:tcPr>
          <w:p w14:paraId="47A89688"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12.12%</w:t>
            </w:r>
          </w:p>
        </w:tc>
        <w:tc>
          <w:tcPr>
            <w:tcW w:w="3120" w:type="dxa"/>
            <w:shd w:val="clear" w:color="auto" w:fill="auto"/>
            <w:tcMar>
              <w:top w:w="100" w:type="dxa"/>
              <w:left w:w="100" w:type="dxa"/>
              <w:bottom w:w="100" w:type="dxa"/>
              <w:right w:w="100" w:type="dxa"/>
            </w:tcMar>
          </w:tcPr>
          <w:p w14:paraId="29A3C8AF"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r>
      <w:tr w:rsidR="007C5593" w14:paraId="50148F0E" w14:textId="77777777">
        <w:trPr>
          <w:cantSplit/>
          <w:tblHeader/>
          <w:jc w:val="center"/>
        </w:trPr>
        <w:tc>
          <w:tcPr>
            <w:tcW w:w="3120" w:type="dxa"/>
            <w:shd w:val="clear" w:color="auto" w:fill="auto"/>
            <w:tcMar>
              <w:top w:w="100" w:type="dxa"/>
              <w:left w:w="100" w:type="dxa"/>
              <w:bottom w:w="100" w:type="dxa"/>
              <w:right w:w="100" w:type="dxa"/>
            </w:tcMar>
          </w:tcPr>
          <w:p w14:paraId="14CEB7D1"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Very Negatively</w:t>
            </w:r>
          </w:p>
        </w:tc>
        <w:tc>
          <w:tcPr>
            <w:tcW w:w="3120" w:type="dxa"/>
            <w:shd w:val="clear" w:color="auto" w:fill="auto"/>
            <w:tcMar>
              <w:top w:w="100" w:type="dxa"/>
              <w:left w:w="100" w:type="dxa"/>
              <w:bottom w:w="100" w:type="dxa"/>
              <w:right w:w="100" w:type="dxa"/>
            </w:tcMar>
          </w:tcPr>
          <w:p w14:paraId="596E9B9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5.05%</w:t>
            </w:r>
          </w:p>
        </w:tc>
        <w:tc>
          <w:tcPr>
            <w:tcW w:w="3120" w:type="dxa"/>
            <w:shd w:val="clear" w:color="auto" w:fill="auto"/>
            <w:tcMar>
              <w:top w:w="100" w:type="dxa"/>
              <w:left w:w="100" w:type="dxa"/>
              <w:bottom w:w="100" w:type="dxa"/>
              <w:right w:w="100" w:type="dxa"/>
            </w:tcMar>
          </w:tcPr>
          <w:p w14:paraId="03543226"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r w:rsidR="007C5593" w14:paraId="3E51B6CE" w14:textId="77777777">
        <w:trPr>
          <w:cantSplit/>
          <w:tblHeader/>
          <w:jc w:val="center"/>
        </w:trPr>
        <w:tc>
          <w:tcPr>
            <w:tcW w:w="3120" w:type="dxa"/>
            <w:shd w:val="clear" w:color="auto" w:fill="auto"/>
            <w:tcMar>
              <w:top w:w="100" w:type="dxa"/>
              <w:left w:w="100" w:type="dxa"/>
              <w:bottom w:w="100" w:type="dxa"/>
              <w:right w:w="100" w:type="dxa"/>
            </w:tcMar>
          </w:tcPr>
          <w:p w14:paraId="3FC0EF38"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 Impact</w:t>
            </w:r>
          </w:p>
        </w:tc>
        <w:tc>
          <w:tcPr>
            <w:tcW w:w="3120" w:type="dxa"/>
            <w:shd w:val="clear" w:color="auto" w:fill="auto"/>
            <w:tcMar>
              <w:top w:w="100" w:type="dxa"/>
              <w:left w:w="100" w:type="dxa"/>
              <w:bottom w:w="100" w:type="dxa"/>
              <w:right w:w="100" w:type="dxa"/>
            </w:tcMar>
          </w:tcPr>
          <w:p w14:paraId="67A60DBC"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11.11%</w:t>
            </w:r>
          </w:p>
        </w:tc>
        <w:tc>
          <w:tcPr>
            <w:tcW w:w="3120" w:type="dxa"/>
            <w:shd w:val="clear" w:color="auto" w:fill="auto"/>
            <w:tcMar>
              <w:top w:w="100" w:type="dxa"/>
              <w:left w:w="100" w:type="dxa"/>
              <w:bottom w:w="100" w:type="dxa"/>
              <w:right w:w="100" w:type="dxa"/>
            </w:tcMar>
          </w:tcPr>
          <w:p w14:paraId="6869CFB1"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r>
      <w:tr w:rsidR="007C5593" w14:paraId="614A5BD2" w14:textId="77777777">
        <w:trPr>
          <w:cantSplit/>
          <w:trHeight w:val="440"/>
          <w:tblHeader/>
          <w:jc w:val="center"/>
        </w:trPr>
        <w:tc>
          <w:tcPr>
            <w:tcW w:w="6240" w:type="dxa"/>
            <w:gridSpan w:val="2"/>
            <w:shd w:val="clear" w:color="auto" w:fill="auto"/>
            <w:tcMar>
              <w:top w:w="100" w:type="dxa"/>
              <w:left w:w="100" w:type="dxa"/>
              <w:bottom w:w="100" w:type="dxa"/>
              <w:right w:w="100" w:type="dxa"/>
            </w:tcMar>
          </w:tcPr>
          <w:p w14:paraId="5FDEE030"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w:t>
            </w:r>
          </w:p>
        </w:tc>
        <w:tc>
          <w:tcPr>
            <w:tcW w:w="3120" w:type="dxa"/>
            <w:shd w:val="clear" w:color="auto" w:fill="auto"/>
            <w:tcMar>
              <w:top w:w="100" w:type="dxa"/>
              <w:left w:w="100" w:type="dxa"/>
              <w:bottom w:w="100" w:type="dxa"/>
              <w:right w:w="100" w:type="dxa"/>
            </w:tcMar>
          </w:tcPr>
          <w:p w14:paraId="044B8C1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99</w:t>
            </w:r>
          </w:p>
        </w:tc>
      </w:tr>
    </w:tbl>
    <w:p w14:paraId="7CB15EBA" w14:textId="77777777" w:rsidR="007C5593" w:rsidRDefault="000A5866">
      <w:pPr>
        <w:pStyle w:val="Heading5"/>
        <w:rPr>
          <w:color w:val="000000"/>
        </w:rPr>
      </w:pPr>
      <w:bookmarkStart w:id="87" w:name="_heading=h.3mzq4wv" w:colFirst="0" w:colLast="0"/>
      <w:bookmarkEnd w:id="87"/>
      <w:r>
        <w:rPr>
          <w:color w:val="000000"/>
        </w:rPr>
        <w:t>Table 4.11: Frequency Table for Technological Advancements Category</w:t>
      </w:r>
    </w:p>
    <w:p w14:paraId="3B8C04CD" w14:textId="77777777" w:rsidR="007C5593" w:rsidRDefault="000A586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5893EC35" wp14:editId="3DD98538">
            <wp:extent cx="5414286" cy="3184364"/>
            <wp:effectExtent l="12700" t="12700" r="12700" b="12700"/>
            <wp:docPr id="7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8"/>
                    <a:srcRect/>
                    <a:stretch>
                      <a:fillRect/>
                    </a:stretch>
                  </pic:blipFill>
                  <pic:spPr>
                    <a:xfrm>
                      <a:off x="0" y="0"/>
                      <a:ext cx="5414286" cy="3184364"/>
                    </a:xfrm>
                    <a:prstGeom prst="rect">
                      <a:avLst/>
                    </a:prstGeom>
                    <a:ln w="12700">
                      <a:solidFill>
                        <a:srgbClr val="000000"/>
                      </a:solidFill>
                      <a:prstDash val="solid"/>
                    </a:ln>
                  </pic:spPr>
                </pic:pic>
              </a:graphicData>
            </a:graphic>
          </wp:inline>
        </w:drawing>
      </w:r>
    </w:p>
    <w:p w14:paraId="05A0F070" w14:textId="77777777" w:rsidR="007C5593" w:rsidRDefault="000A5866">
      <w:pPr>
        <w:pStyle w:val="Heading4"/>
      </w:pPr>
      <w:bookmarkStart w:id="88" w:name="_heading=h.2250f4o" w:colFirst="0" w:colLast="0"/>
      <w:bookmarkEnd w:id="88"/>
      <w:r>
        <w:t>Figure 4.11: Technological Advancements Category</w:t>
      </w:r>
    </w:p>
    <w:p w14:paraId="0A34A280" w14:textId="77777777" w:rsidR="007C5593" w:rsidRPr="007132D5" w:rsidRDefault="000A5866">
      <w:pPr>
        <w:spacing w:line="48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Around 40.40% of the respondents highlighted that technological advancements like developing wind turbines and better energy storage may assist to generate wind energy policies more effective in the UK. Only 5.05% of the participants argued that technological advancements like </w:t>
      </w:r>
      <w:r>
        <w:rPr>
          <w:rFonts w:ascii="Times New Roman" w:eastAsia="Times New Roman" w:hAnsi="Times New Roman" w:cs="Times New Roman"/>
          <w:sz w:val="24"/>
          <w:szCs w:val="24"/>
        </w:rPr>
        <w:lastRenderedPageBreak/>
        <w:t xml:space="preserve">developing wind turbines and better energy storage may assist to generate wind energy policies very  ineffective in the UK. </w:t>
      </w:r>
      <w:r w:rsidRPr="007132D5">
        <w:rPr>
          <w:rFonts w:ascii="Times New Roman" w:eastAsia="Times New Roman" w:hAnsi="Times New Roman" w:cs="Times New Roman"/>
          <w:color w:val="000000" w:themeColor="text1"/>
          <w:sz w:val="24"/>
          <w:szCs w:val="24"/>
        </w:rPr>
        <w:t xml:space="preserve">These replies encourage the literature part as the theoretical implications showed that technology advancement assists to develop the renewable energy by which UK wind energy policies can be more effective. </w:t>
      </w:r>
    </w:p>
    <w:p w14:paraId="204AC99D" w14:textId="77777777" w:rsidR="007C5593" w:rsidRPr="007132D5" w:rsidRDefault="000A5866">
      <w:pPr>
        <w:pStyle w:val="Heading6"/>
        <w:widowControl w:val="0"/>
        <w:rPr>
          <w:color w:val="000000" w:themeColor="text1"/>
        </w:rPr>
      </w:pPr>
      <w:bookmarkStart w:id="89" w:name="_heading=h.haapch" w:colFirst="0" w:colLast="0"/>
      <w:bookmarkEnd w:id="89"/>
      <w:r w:rsidRPr="007132D5">
        <w:rPr>
          <w:color w:val="000000" w:themeColor="text1"/>
        </w:rPr>
        <w:t>Question 12: What role do you think community engagement plays in the success of renewable wind energy projects in the UK?</w:t>
      </w:r>
    </w:p>
    <w:tbl>
      <w:tblPr>
        <w:tblStyle w:val="af8"/>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C5593" w14:paraId="319558D4" w14:textId="77777777">
        <w:trPr>
          <w:cantSplit/>
          <w:tblHeader/>
          <w:jc w:val="center"/>
        </w:trPr>
        <w:tc>
          <w:tcPr>
            <w:tcW w:w="3120" w:type="dxa"/>
            <w:shd w:val="clear" w:color="auto" w:fill="auto"/>
            <w:tcMar>
              <w:top w:w="100" w:type="dxa"/>
              <w:left w:w="100" w:type="dxa"/>
              <w:bottom w:w="100" w:type="dxa"/>
              <w:right w:w="100" w:type="dxa"/>
            </w:tcMar>
          </w:tcPr>
          <w:p w14:paraId="70255FF4"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Answer Choices</w:t>
            </w:r>
          </w:p>
        </w:tc>
        <w:tc>
          <w:tcPr>
            <w:tcW w:w="3120" w:type="dxa"/>
            <w:shd w:val="clear" w:color="auto" w:fill="auto"/>
            <w:tcMar>
              <w:top w:w="100" w:type="dxa"/>
              <w:left w:w="100" w:type="dxa"/>
              <w:bottom w:w="100" w:type="dxa"/>
              <w:right w:w="100" w:type="dxa"/>
            </w:tcMar>
          </w:tcPr>
          <w:p w14:paraId="64DEFE43"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Responses </w:t>
            </w:r>
          </w:p>
        </w:tc>
        <w:tc>
          <w:tcPr>
            <w:tcW w:w="3120" w:type="dxa"/>
            <w:shd w:val="clear" w:color="auto" w:fill="auto"/>
            <w:tcMar>
              <w:top w:w="100" w:type="dxa"/>
              <w:left w:w="100" w:type="dxa"/>
              <w:bottom w:w="100" w:type="dxa"/>
              <w:right w:w="100" w:type="dxa"/>
            </w:tcMar>
          </w:tcPr>
          <w:p w14:paraId="59CD3C76"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Participant Number </w:t>
            </w:r>
          </w:p>
        </w:tc>
      </w:tr>
      <w:tr w:rsidR="007C5593" w14:paraId="06018ED7" w14:textId="77777777">
        <w:trPr>
          <w:cantSplit/>
          <w:tblHeader/>
          <w:jc w:val="center"/>
        </w:trPr>
        <w:tc>
          <w:tcPr>
            <w:tcW w:w="3120" w:type="dxa"/>
            <w:shd w:val="clear" w:color="auto" w:fill="auto"/>
            <w:tcMar>
              <w:top w:w="100" w:type="dxa"/>
              <w:left w:w="100" w:type="dxa"/>
              <w:bottom w:w="100" w:type="dxa"/>
              <w:right w:w="100" w:type="dxa"/>
            </w:tcMar>
          </w:tcPr>
          <w:p w14:paraId="497D8E50"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Extremely Important</w:t>
            </w:r>
          </w:p>
        </w:tc>
        <w:tc>
          <w:tcPr>
            <w:tcW w:w="3120" w:type="dxa"/>
            <w:shd w:val="clear" w:color="auto" w:fill="auto"/>
            <w:tcMar>
              <w:top w:w="100" w:type="dxa"/>
              <w:left w:w="100" w:type="dxa"/>
              <w:bottom w:w="100" w:type="dxa"/>
              <w:right w:w="100" w:type="dxa"/>
            </w:tcMar>
          </w:tcPr>
          <w:p w14:paraId="70C96FF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31.31%</w:t>
            </w:r>
          </w:p>
        </w:tc>
        <w:tc>
          <w:tcPr>
            <w:tcW w:w="3120" w:type="dxa"/>
            <w:shd w:val="clear" w:color="auto" w:fill="auto"/>
            <w:tcMar>
              <w:top w:w="100" w:type="dxa"/>
              <w:left w:w="100" w:type="dxa"/>
              <w:bottom w:w="100" w:type="dxa"/>
              <w:right w:w="100" w:type="dxa"/>
            </w:tcMar>
          </w:tcPr>
          <w:p w14:paraId="7AD9864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31</w:t>
            </w:r>
          </w:p>
        </w:tc>
      </w:tr>
      <w:tr w:rsidR="007C5593" w14:paraId="403D48C9" w14:textId="77777777">
        <w:trPr>
          <w:cantSplit/>
          <w:tblHeader/>
          <w:jc w:val="center"/>
        </w:trPr>
        <w:tc>
          <w:tcPr>
            <w:tcW w:w="3120" w:type="dxa"/>
            <w:shd w:val="clear" w:color="auto" w:fill="auto"/>
            <w:tcMar>
              <w:top w:w="100" w:type="dxa"/>
              <w:left w:w="100" w:type="dxa"/>
              <w:bottom w:w="100" w:type="dxa"/>
              <w:right w:w="100" w:type="dxa"/>
            </w:tcMar>
          </w:tcPr>
          <w:p w14:paraId="04D18C60"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Very Important</w:t>
            </w:r>
          </w:p>
        </w:tc>
        <w:tc>
          <w:tcPr>
            <w:tcW w:w="3120" w:type="dxa"/>
            <w:shd w:val="clear" w:color="auto" w:fill="auto"/>
            <w:tcMar>
              <w:top w:w="100" w:type="dxa"/>
              <w:left w:w="100" w:type="dxa"/>
              <w:bottom w:w="100" w:type="dxa"/>
              <w:right w:w="100" w:type="dxa"/>
            </w:tcMar>
          </w:tcPr>
          <w:p w14:paraId="7602F02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42.42%</w:t>
            </w:r>
          </w:p>
        </w:tc>
        <w:tc>
          <w:tcPr>
            <w:tcW w:w="3120" w:type="dxa"/>
            <w:shd w:val="clear" w:color="auto" w:fill="auto"/>
            <w:tcMar>
              <w:top w:w="100" w:type="dxa"/>
              <w:left w:w="100" w:type="dxa"/>
              <w:bottom w:w="100" w:type="dxa"/>
              <w:right w:w="100" w:type="dxa"/>
            </w:tcMar>
          </w:tcPr>
          <w:p w14:paraId="69C4DC1E"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42</w:t>
            </w:r>
          </w:p>
        </w:tc>
      </w:tr>
      <w:tr w:rsidR="007C5593" w14:paraId="4D0EE5ED" w14:textId="77777777">
        <w:trPr>
          <w:cantSplit/>
          <w:tblHeader/>
          <w:jc w:val="center"/>
        </w:trPr>
        <w:tc>
          <w:tcPr>
            <w:tcW w:w="3120" w:type="dxa"/>
            <w:shd w:val="clear" w:color="auto" w:fill="auto"/>
            <w:tcMar>
              <w:top w:w="100" w:type="dxa"/>
              <w:left w:w="100" w:type="dxa"/>
              <w:bottom w:w="100" w:type="dxa"/>
              <w:right w:w="100" w:type="dxa"/>
            </w:tcMar>
          </w:tcPr>
          <w:p w14:paraId="0A1E115A"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tc>
        <w:tc>
          <w:tcPr>
            <w:tcW w:w="3120" w:type="dxa"/>
            <w:shd w:val="clear" w:color="auto" w:fill="auto"/>
            <w:tcMar>
              <w:top w:w="100" w:type="dxa"/>
              <w:left w:w="100" w:type="dxa"/>
              <w:bottom w:w="100" w:type="dxa"/>
              <w:right w:w="100" w:type="dxa"/>
            </w:tcMar>
          </w:tcPr>
          <w:p w14:paraId="3E8C645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19.19%</w:t>
            </w:r>
          </w:p>
        </w:tc>
        <w:tc>
          <w:tcPr>
            <w:tcW w:w="3120" w:type="dxa"/>
            <w:shd w:val="clear" w:color="auto" w:fill="auto"/>
            <w:tcMar>
              <w:top w:w="100" w:type="dxa"/>
              <w:left w:w="100" w:type="dxa"/>
              <w:bottom w:w="100" w:type="dxa"/>
              <w:right w:w="100" w:type="dxa"/>
            </w:tcMar>
          </w:tcPr>
          <w:p w14:paraId="2AF3263E"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r>
      <w:tr w:rsidR="007C5593" w14:paraId="72DFF05F" w14:textId="77777777">
        <w:trPr>
          <w:cantSplit/>
          <w:tblHeader/>
          <w:jc w:val="center"/>
        </w:trPr>
        <w:tc>
          <w:tcPr>
            <w:tcW w:w="3120" w:type="dxa"/>
            <w:shd w:val="clear" w:color="auto" w:fill="auto"/>
            <w:tcMar>
              <w:top w:w="100" w:type="dxa"/>
              <w:left w:w="100" w:type="dxa"/>
              <w:bottom w:w="100" w:type="dxa"/>
              <w:right w:w="100" w:type="dxa"/>
            </w:tcMar>
          </w:tcPr>
          <w:p w14:paraId="4F9780E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Not Important</w:t>
            </w:r>
          </w:p>
        </w:tc>
        <w:tc>
          <w:tcPr>
            <w:tcW w:w="3120" w:type="dxa"/>
            <w:shd w:val="clear" w:color="auto" w:fill="auto"/>
            <w:tcMar>
              <w:top w:w="100" w:type="dxa"/>
              <w:left w:w="100" w:type="dxa"/>
              <w:bottom w:w="100" w:type="dxa"/>
              <w:right w:w="100" w:type="dxa"/>
            </w:tcMar>
          </w:tcPr>
          <w:p w14:paraId="0239D70C"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5.05%</w:t>
            </w:r>
          </w:p>
        </w:tc>
        <w:tc>
          <w:tcPr>
            <w:tcW w:w="3120" w:type="dxa"/>
            <w:shd w:val="clear" w:color="auto" w:fill="auto"/>
            <w:tcMar>
              <w:top w:w="100" w:type="dxa"/>
              <w:left w:w="100" w:type="dxa"/>
              <w:bottom w:w="100" w:type="dxa"/>
              <w:right w:w="100" w:type="dxa"/>
            </w:tcMar>
          </w:tcPr>
          <w:p w14:paraId="7FFB9DC1"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r w:rsidR="007C5593" w14:paraId="1CD23E9E" w14:textId="77777777">
        <w:trPr>
          <w:cantSplit/>
          <w:tblHeader/>
          <w:jc w:val="center"/>
        </w:trPr>
        <w:tc>
          <w:tcPr>
            <w:tcW w:w="3120" w:type="dxa"/>
            <w:shd w:val="clear" w:color="auto" w:fill="auto"/>
            <w:tcMar>
              <w:top w:w="100" w:type="dxa"/>
              <w:left w:w="100" w:type="dxa"/>
              <w:bottom w:w="100" w:type="dxa"/>
              <w:right w:w="100" w:type="dxa"/>
            </w:tcMar>
          </w:tcPr>
          <w:p w14:paraId="141555A4"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Not at all Important</w:t>
            </w:r>
          </w:p>
        </w:tc>
        <w:tc>
          <w:tcPr>
            <w:tcW w:w="3120" w:type="dxa"/>
            <w:shd w:val="clear" w:color="auto" w:fill="auto"/>
            <w:tcMar>
              <w:top w:w="100" w:type="dxa"/>
              <w:left w:w="100" w:type="dxa"/>
              <w:bottom w:w="100" w:type="dxa"/>
              <w:right w:w="100" w:type="dxa"/>
            </w:tcMar>
          </w:tcPr>
          <w:p w14:paraId="11832210"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w:t>
            </w:r>
          </w:p>
        </w:tc>
        <w:tc>
          <w:tcPr>
            <w:tcW w:w="3120" w:type="dxa"/>
            <w:shd w:val="clear" w:color="auto" w:fill="auto"/>
            <w:tcMar>
              <w:top w:w="100" w:type="dxa"/>
              <w:left w:w="100" w:type="dxa"/>
              <w:bottom w:w="100" w:type="dxa"/>
              <w:right w:w="100" w:type="dxa"/>
            </w:tcMar>
          </w:tcPr>
          <w:p w14:paraId="6EBE7D1A"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7C5593" w14:paraId="7B07D356" w14:textId="77777777">
        <w:trPr>
          <w:cantSplit/>
          <w:trHeight w:val="440"/>
          <w:tblHeader/>
          <w:jc w:val="center"/>
        </w:trPr>
        <w:tc>
          <w:tcPr>
            <w:tcW w:w="6240" w:type="dxa"/>
            <w:gridSpan w:val="2"/>
            <w:shd w:val="clear" w:color="auto" w:fill="auto"/>
            <w:tcMar>
              <w:top w:w="100" w:type="dxa"/>
              <w:left w:w="100" w:type="dxa"/>
              <w:bottom w:w="100" w:type="dxa"/>
              <w:right w:w="100" w:type="dxa"/>
            </w:tcMar>
          </w:tcPr>
          <w:p w14:paraId="48B8E3BA"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w:t>
            </w:r>
          </w:p>
        </w:tc>
        <w:tc>
          <w:tcPr>
            <w:tcW w:w="3120" w:type="dxa"/>
            <w:shd w:val="clear" w:color="auto" w:fill="auto"/>
            <w:tcMar>
              <w:top w:w="100" w:type="dxa"/>
              <w:left w:w="100" w:type="dxa"/>
              <w:bottom w:w="100" w:type="dxa"/>
              <w:right w:w="100" w:type="dxa"/>
            </w:tcMar>
          </w:tcPr>
          <w:p w14:paraId="7805367A"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99</w:t>
            </w:r>
          </w:p>
        </w:tc>
      </w:tr>
    </w:tbl>
    <w:p w14:paraId="76439588" w14:textId="77777777" w:rsidR="007C5593" w:rsidRDefault="000A5866">
      <w:pPr>
        <w:pStyle w:val="Heading5"/>
        <w:rPr>
          <w:color w:val="000000"/>
        </w:rPr>
      </w:pPr>
      <w:bookmarkStart w:id="90" w:name="_heading=h.319y80a" w:colFirst="0" w:colLast="0"/>
      <w:bookmarkEnd w:id="90"/>
      <w:r>
        <w:rPr>
          <w:color w:val="000000"/>
        </w:rPr>
        <w:lastRenderedPageBreak/>
        <w:t>Table 4.12: Frequency Table for Importance of Community Engagement Category</w:t>
      </w:r>
    </w:p>
    <w:p w14:paraId="19CC7606" w14:textId="77777777" w:rsidR="007C5593" w:rsidRDefault="000A586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5CD8989F" wp14:editId="7C63FF73">
            <wp:extent cx="5696550" cy="3532956"/>
            <wp:effectExtent l="12700" t="12700" r="12700" b="12700"/>
            <wp:docPr id="7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9"/>
                    <a:srcRect/>
                    <a:stretch>
                      <a:fillRect/>
                    </a:stretch>
                  </pic:blipFill>
                  <pic:spPr>
                    <a:xfrm>
                      <a:off x="0" y="0"/>
                      <a:ext cx="5696550" cy="3532956"/>
                    </a:xfrm>
                    <a:prstGeom prst="rect">
                      <a:avLst/>
                    </a:prstGeom>
                    <a:ln w="12700">
                      <a:solidFill>
                        <a:srgbClr val="000000"/>
                      </a:solidFill>
                      <a:prstDash val="solid"/>
                    </a:ln>
                  </pic:spPr>
                </pic:pic>
              </a:graphicData>
            </a:graphic>
          </wp:inline>
        </w:drawing>
      </w:r>
    </w:p>
    <w:p w14:paraId="53D88225" w14:textId="77777777" w:rsidR="007C5593" w:rsidRDefault="000A5866">
      <w:pPr>
        <w:pStyle w:val="Heading4"/>
      </w:pPr>
      <w:bookmarkStart w:id="91" w:name="_heading=h.1gf8i83" w:colFirst="0" w:colLast="0"/>
      <w:bookmarkEnd w:id="91"/>
      <w:r>
        <w:t>Figure 4.12: Importance of Community Engagement Category</w:t>
      </w:r>
    </w:p>
    <w:p w14:paraId="3405A799"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Around 42.42% of participants informed that community engagement is crucial to bring success to UK renewable wind energy projects whereas 2.02% stated it is not that much important. </w:t>
      </w:r>
    </w:p>
    <w:p w14:paraId="57FB7079" w14:textId="77777777" w:rsidR="007C5593" w:rsidRPr="007132D5" w:rsidRDefault="000A5866">
      <w:pPr>
        <w:pStyle w:val="Heading6"/>
        <w:widowControl w:val="0"/>
        <w:rPr>
          <w:color w:val="000000" w:themeColor="text1"/>
        </w:rPr>
      </w:pPr>
      <w:bookmarkStart w:id="92" w:name="_heading=h.40ew0vw" w:colFirst="0" w:colLast="0"/>
      <w:bookmarkEnd w:id="92"/>
      <w:r w:rsidRPr="007132D5">
        <w:rPr>
          <w:color w:val="000000" w:themeColor="text1"/>
        </w:rPr>
        <w:t>Question 13: To what extent, do you think that the use of renewable wind energy policies in the UK can provide a stable energy supply?</w:t>
      </w:r>
    </w:p>
    <w:tbl>
      <w:tblPr>
        <w:tblStyle w:val="af9"/>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C5593" w14:paraId="16D04D47" w14:textId="77777777">
        <w:trPr>
          <w:cantSplit/>
          <w:tblHeader/>
          <w:jc w:val="center"/>
        </w:trPr>
        <w:tc>
          <w:tcPr>
            <w:tcW w:w="3120" w:type="dxa"/>
            <w:shd w:val="clear" w:color="auto" w:fill="auto"/>
            <w:tcMar>
              <w:top w:w="100" w:type="dxa"/>
              <w:left w:w="100" w:type="dxa"/>
              <w:bottom w:w="100" w:type="dxa"/>
              <w:right w:w="100" w:type="dxa"/>
            </w:tcMar>
          </w:tcPr>
          <w:p w14:paraId="6416AE44"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Answer Choices</w:t>
            </w:r>
          </w:p>
        </w:tc>
        <w:tc>
          <w:tcPr>
            <w:tcW w:w="3120" w:type="dxa"/>
            <w:shd w:val="clear" w:color="auto" w:fill="auto"/>
            <w:tcMar>
              <w:top w:w="100" w:type="dxa"/>
              <w:left w:w="100" w:type="dxa"/>
              <w:bottom w:w="100" w:type="dxa"/>
              <w:right w:w="100" w:type="dxa"/>
            </w:tcMar>
          </w:tcPr>
          <w:p w14:paraId="55285E83"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Responses </w:t>
            </w:r>
          </w:p>
        </w:tc>
        <w:tc>
          <w:tcPr>
            <w:tcW w:w="3120" w:type="dxa"/>
            <w:shd w:val="clear" w:color="auto" w:fill="auto"/>
            <w:tcMar>
              <w:top w:w="100" w:type="dxa"/>
              <w:left w:w="100" w:type="dxa"/>
              <w:bottom w:w="100" w:type="dxa"/>
              <w:right w:w="100" w:type="dxa"/>
            </w:tcMar>
          </w:tcPr>
          <w:p w14:paraId="08BEB271"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Participant Number </w:t>
            </w:r>
          </w:p>
        </w:tc>
      </w:tr>
      <w:tr w:rsidR="007C5593" w14:paraId="4DD5839A" w14:textId="77777777">
        <w:trPr>
          <w:cantSplit/>
          <w:tblHeader/>
          <w:jc w:val="center"/>
        </w:trPr>
        <w:tc>
          <w:tcPr>
            <w:tcW w:w="3120" w:type="dxa"/>
            <w:shd w:val="clear" w:color="auto" w:fill="auto"/>
            <w:tcMar>
              <w:top w:w="100" w:type="dxa"/>
              <w:left w:w="100" w:type="dxa"/>
              <w:bottom w:w="100" w:type="dxa"/>
              <w:right w:w="100" w:type="dxa"/>
            </w:tcMar>
          </w:tcPr>
          <w:p w14:paraId="5031676C"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Highly Effective</w:t>
            </w:r>
          </w:p>
        </w:tc>
        <w:tc>
          <w:tcPr>
            <w:tcW w:w="3120" w:type="dxa"/>
            <w:shd w:val="clear" w:color="auto" w:fill="auto"/>
            <w:tcMar>
              <w:top w:w="100" w:type="dxa"/>
              <w:left w:w="100" w:type="dxa"/>
              <w:bottom w:w="100" w:type="dxa"/>
              <w:right w:w="100" w:type="dxa"/>
            </w:tcMar>
          </w:tcPr>
          <w:p w14:paraId="125970C8"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27.27%</w:t>
            </w:r>
          </w:p>
        </w:tc>
        <w:tc>
          <w:tcPr>
            <w:tcW w:w="3120" w:type="dxa"/>
            <w:shd w:val="clear" w:color="auto" w:fill="auto"/>
            <w:tcMar>
              <w:top w:w="100" w:type="dxa"/>
              <w:left w:w="100" w:type="dxa"/>
              <w:bottom w:w="100" w:type="dxa"/>
              <w:right w:w="100" w:type="dxa"/>
            </w:tcMar>
          </w:tcPr>
          <w:p w14:paraId="0C485445"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w:t>
            </w:r>
          </w:p>
        </w:tc>
      </w:tr>
      <w:tr w:rsidR="007C5593" w14:paraId="6F2CC74D" w14:textId="77777777">
        <w:trPr>
          <w:cantSplit/>
          <w:tblHeader/>
          <w:jc w:val="center"/>
        </w:trPr>
        <w:tc>
          <w:tcPr>
            <w:tcW w:w="3120" w:type="dxa"/>
            <w:shd w:val="clear" w:color="auto" w:fill="auto"/>
            <w:tcMar>
              <w:top w:w="100" w:type="dxa"/>
              <w:left w:w="100" w:type="dxa"/>
              <w:bottom w:w="100" w:type="dxa"/>
              <w:right w:w="100" w:type="dxa"/>
            </w:tcMar>
          </w:tcPr>
          <w:p w14:paraId="13268F0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w:t>
            </w:r>
          </w:p>
        </w:tc>
        <w:tc>
          <w:tcPr>
            <w:tcW w:w="3120" w:type="dxa"/>
            <w:shd w:val="clear" w:color="auto" w:fill="auto"/>
            <w:tcMar>
              <w:top w:w="100" w:type="dxa"/>
              <w:left w:w="100" w:type="dxa"/>
              <w:bottom w:w="100" w:type="dxa"/>
              <w:right w:w="100" w:type="dxa"/>
            </w:tcMar>
          </w:tcPr>
          <w:p w14:paraId="494AB2F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48.48%</w:t>
            </w:r>
          </w:p>
        </w:tc>
        <w:tc>
          <w:tcPr>
            <w:tcW w:w="3120" w:type="dxa"/>
            <w:shd w:val="clear" w:color="auto" w:fill="auto"/>
            <w:tcMar>
              <w:top w:w="100" w:type="dxa"/>
              <w:left w:w="100" w:type="dxa"/>
              <w:bottom w:w="100" w:type="dxa"/>
              <w:right w:w="100" w:type="dxa"/>
            </w:tcMar>
          </w:tcPr>
          <w:p w14:paraId="51C0DEB6"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48</w:t>
            </w:r>
          </w:p>
        </w:tc>
      </w:tr>
      <w:tr w:rsidR="007C5593" w14:paraId="0FF6A35D" w14:textId="77777777">
        <w:trPr>
          <w:cantSplit/>
          <w:tblHeader/>
          <w:jc w:val="center"/>
        </w:trPr>
        <w:tc>
          <w:tcPr>
            <w:tcW w:w="3120" w:type="dxa"/>
            <w:shd w:val="clear" w:color="auto" w:fill="auto"/>
            <w:tcMar>
              <w:top w:w="100" w:type="dxa"/>
              <w:left w:w="100" w:type="dxa"/>
              <w:bottom w:w="100" w:type="dxa"/>
              <w:right w:w="100" w:type="dxa"/>
            </w:tcMar>
          </w:tcPr>
          <w:p w14:paraId="23E6D75A"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Ineffective</w:t>
            </w:r>
          </w:p>
        </w:tc>
        <w:tc>
          <w:tcPr>
            <w:tcW w:w="3120" w:type="dxa"/>
            <w:shd w:val="clear" w:color="auto" w:fill="auto"/>
            <w:tcMar>
              <w:top w:w="100" w:type="dxa"/>
              <w:left w:w="100" w:type="dxa"/>
              <w:bottom w:w="100" w:type="dxa"/>
              <w:right w:w="100" w:type="dxa"/>
            </w:tcMar>
          </w:tcPr>
          <w:p w14:paraId="69E04D44"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14.14%</w:t>
            </w:r>
          </w:p>
        </w:tc>
        <w:tc>
          <w:tcPr>
            <w:tcW w:w="3120" w:type="dxa"/>
            <w:shd w:val="clear" w:color="auto" w:fill="auto"/>
            <w:tcMar>
              <w:top w:w="100" w:type="dxa"/>
              <w:left w:w="100" w:type="dxa"/>
              <w:bottom w:w="100" w:type="dxa"/>
              <w:right w:w="100" w:type="dxa"/>
            </w:tcMar>
          </w:tcPr>
          <w:p w14:paraId="5D01250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r>
      <w:tr w:rsidR="007C5593" w14:paraId="53EF23DE" w14:textId="77777777">
        <w:trPr>
          <w:cantSplit/>
          <w:tblHeader/>
          <w:jc w:val="center"/>
        </w:trPr>
        <w:tc>
          <w:tcPr>
            <w:tcW w:w="3120" w:type="dxa"/>
            <w:shd w:val="clear" w:color="auto" w:fill="auto"/>
            <w:tcMar>
              <w:top w:w="100" w:type="dxa"/>
              <w:left w:w="100" w:type="dxa"/>
              <w:bottom w:w="100" w:type="dxa"/>
              <w:right w:w="100" w:type="dxa"/>
            </w:tcMar>
          </w:tcPr>
          <w:p w14:paraId="03E5D924"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Highly Ineffective</w:t>
            </w:r>
          </w:p>
        </w:tc>
        <w:tc>
          <w:tcPr>
            <w:tcW w:w="3120" w:type="dxa"/>
            <w:shd w:val="clear" w:color="auto" w:fill="auto"/>
            <w:tcMar>
              <w:top w:w="100" w:type="dxa"/>
              <w:left w:w="100" w:type="dxa"/>
              <w:bottom w:w="100" w:type="dxa"/>
              <w:right w:w="100" w:type="dxa"/>
            </w:tcMar>
          </w:tcPr>
          <w:p w14:paraId="23C7EFF4"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6.06%</w:t>
            </w:r>
          </w:p>
        </w:tc>
        <w:tc>
          <w:tcPr>
            <w:tcW w:w="3120" w:type="dxa"/>
            <w:shd w:val="clear" w:color="auto" w:fill="auto"/>
            <w:tcMar>
              <w:top w:w="100" w:type="dxa"/>
              <w:left w:w="100" w:type="dxa"/>
              <w:bottom w:w="100" w:type="dxa"/>
              <w:right w:w="100" w:type="dxa"/>
            </w:tcMar>
          </w:tcPr>
          <w:p w14:paraId="484D2E1F"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r>
      <w:tr w:rsidR="007C5593" w14:paraId="10BAA00F" w14:textId="77777777">
        <w:trPr>
          <w:cantSplit/>
          <w:tblHeader/>
          <w:jc w:val="center"/>
        </w:trPr>
        <w:tc>
          <w:tcPr>
            <w:tcW w:w="3120" w:type="dxa"/>
            <w:shd w:val="clear" w:color="auto" w:fill="auto"/>
            <w:tcMar>
              <w:top w:w="100" w:type="dxa"/>
              <w:left w:w="100" w:type="dxa"/>
              <w:bottom w:w="100" w:type="dxa"/>
              <w:right w:w="100" w:type="dxa"/>
            </w:tcMar>
          </w:tcPr>
          <w:p w14:paraId="183FD5D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tc>
        <w:tc>
          <w:tcPr>
            <w:tcW w:w="3120" w:type="dxa"/>
            <w:shd w:val="clear" w:color="auto" w:fill="auto"/>
            <w:tcMar>
              <w:top w:w="100" w:type="dxa"/>
              <w:left w:w="100" w:type="dxa"/>
              <w:bottom w:w="100" w:type="dxa"/>
              <w:right w:w="100" w:type="dxa"/>
            </w:tcMar>
          </w:tcPr>
          <w:p w14:paraId="63FC4D6F"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4.04%</w:t>
            </w:r>
          </w:p>
        </w:tc>
        <w:tc>
          <w:tcPr>
            <w:tcW w:w="3120" w:type="dxa"/>
            <w:shd w:val="clear" w:color="auto" w:fill="auto"/>
            <w:tcMar>
              <w:top w:w="100" w:type="dxa"/>
              <w:left w:w="100" w:type="dxa"/>
              <w:bottom w:w="100" w:type="dxa"/>
              <w:right w:w="100" w:type="dxa"/>
            </w:tcMar>
          </w:tcPr>
          <w:p w14:paraId="61338678"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r>
      <w:tr w:rsidR="007C5593" w14:paraId="54DD3239" w14:textId="77777777">
        <w:trPr>
          <w:cantSplit/>
          <w:trHeight w:val="440"/>
          <w:tblHeader/>
          <w:jc w:val="center"/>
        </w:trPr>
        <w:tc>
          <w:tcPr>
            <w:tcW w:w="6240" w:type="dxa"/>
            <w:gridSpan w:val="2"/>
            <w:shd w:val="clear" w:color="auto" w:fill="auto"/>
            <w:tcMar>
              <w:top w:w="100" w:type="dxa"/>
              <w:left w:w="100" w:type="dxa"/>
              <w:bottom w:w="100" w:type="dxa"/>
              <w:right w:w="100" w:type="dxa"/>
            </w:tcMar>
          </w:tcPr>
          <w:p w14:paraId="629B1997"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w:t>
            </w:r>
          </w:p>
        </w:tc>
        <w:tc>
          <w:tcPr>
            <w:tcW w:w="3120" w:type="dxa"/>
            <w:shd w:val="clear" w:color="auto" w:fill="auto"/>
            <w:tcMar>
              <w:top w:w="100" w:type="dxa"/>
              <w:left w:w="100" w:type="dxa"/>
              <w:bottom w:w="100" w:type="dxa"/>
              <w:right w:w="100" w:type="dxa"/>
            </w:tcMar>
          </w:tcPr>
          <w:p w14:paraId="7331B442"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99</w:t>
            </w:r>
          </w:p>
        </w:tc>
      </w:tr>
    </w:tbl>
    <w:p w14:paraId="44DCA46D" w14:textId="77777777" w:rsidR="007C5593" w:rsidRDefault="000A5866">
      <w:pPr>
        <w:pStyle w:val="Heading5"/>
        <w:rPr>
          <w:color w:val="000000"/>
        </w:rPr>
      </w:pPr>
      <w:bookmarkStart w:id="93" w:name="_heading=h.2fk6b3p" w:colFirst="0" w:colLast="0"/>
      <w:bookmarkEnd w:id="93"/>
      <w:r>
        <w:rPr>
          <w:color w:val="000000"/>
        </w:rPr>
        <w:t>Table 4.13: Frequency Table for Effectiveness of Renewable Wind Energy Policies</w:t>
      </w:r>
    </w:p>
    <w:p w14:paraId="5F9CBCC4" w14:textId="77777777" w:rsidR="007C5593" w:rsidRDefault="000A586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234BCA00" wp14:editId="2D913925">
            <wp:extent cx="5481638" cy="3434808"/>
            <wp:effectExtent l="12700" t="12700" r="12700" b="12700"/>
            <wp:docPr id="7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0"/>
                    <a:srcRect/>
                    <a:stretch>
                      <a:fillRect/>
                    </a:stretch>
                  </pic:blipFill>
                  <pic:spPr>
                    <a:xfrm>
                      <a:off x="0" y="0"/>
                      <a:ext cx="5481638" cy="3434808"/>
                    </a:xfrm>
                    <a:prstGeom prst="rect">
                      <a:avLst/>
                    </a:prstGeom>
                    <a:ln w="12700">
                      <a:solidFill>
                        <a:srgbClr val="000000"/>
                      </a:solidFill>
                      <a:prstDash val="solid"/>
                    </a:ln>
                  </pic:spPr>
                </pic:pic>
              </a:graphicData>
            </a:graphic>
          </wp:inline>
        </w:drawing>
      </w:r>
    </w:p>
    <w:p w14:paraId="1B029CDF" w14:textId="77777777" w:rsidR="007C5593" w:rsidRDefault="000A5866">
      <w:pPr>
        <w:pStyle w:val="Heading4"/>
      </w:pPr>
      <w:bookmarkStart w:id="94" w:name="_heading=h.upglbi" w:colFirst="0" w:colLast="0"/>
      <w:bookmarkEnd w:id="94"/>
      <w:r>
        <w:t>Figure 4.13: Effectiveness of Renewable Wind Energy Policies</w:t>
      </w:r>
    </w:p>
    <w:p w14:paraId="4E48DF8B" w14:textId="77777777" w:rsidR="007C5593" w:rsidRDefault="000A5866">
      <w:pPr>
        <w:spacing w:line="48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Based on the frequency </w:t>
      </w:r>
      <w:r>
        <w:rPr>
          <w:rFonts w:ascii="Times New Roman" w:eastAsia="Times New Roman" w:hAnsi="Times New Roman" w:cs="Times New Roman"/>
          <w:i/>
          <w:sz w:val="24"/>
          <w:szCs w:val="24"/>
        </w:rPr>
        <w:t>Table 4.13</w:t>
      </w:r>
      <w:r>
        <w:rPr>
          <w:rFonts w:ascii="Times New Roman" w:eastAsia="Times New Roman" w:hAnsi="Times New Roman" w:cs="Times New Roman"/>
          <w:sz w:val="24"/>
          <w:szCs w:val="24"/>
        </w:rPr>
        <w:t xml:space="preserve"> and </w:t>
      </w:r>
      <w:r>
        <w:rPr>
          <w:rFonts w:ascii="Times New Roman" w:eastAsia="Times New Roman" w:hAnsi="Times New Roman" w:cs="Times New Roman"/>
          <w:i/>
          <w:sz w:val="24"/>
          <w:szCs w:val="24"/>
        </w:rPr>
        <w:t>Figure 4.13</w:t>
      </w:r>
      <w:r>
        <w:rPr>
          <w:rFonts w:ascii="Times New Roman" w:eastAsia="Times New Roman" w:hAnsi="Times New Roman" w:cs="Times New Roman"/>
          <w:sz w:val="24"/>
          <w:szCs w:val="24"/>
        </w:rPr>
        <w:t xml:space="preserve">, majority of the survey participants stated that policies regarding renewable wind energy are effective to offer a stable energy supply. </w:t>
      </w:r>
      <w:r w:rsidRPr="007132D5">
        <w:rPr>
          <w:rFonts w:ascii="Times New Roman" w:eastAsia="Times New Roman" w:hAnsi="Times New Roman" w:cs="Times New Roman"/>
          <w:color w:val="000000" w:themeColor="text1"/>
          <w:sz w:val="24"/>
          <w:szCs w:val="24"/>
        </w:rPr>
        <w:t>These replies can be aligned with the literature regarding the role of UK policies on cost competitiveness, investment growth and capacity expansion. The literature also showed that UK wind energy policies played a pivotal role in supplying cost-effective sources regarding electricity and providing a decent amount of energy supply.</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 xml:space="preserve">However, 14.14% of the </w:t>
      </w:r>
      <w:r>
        <w:rPr>
          <w:rFonts w:ascii="Times New Roman" w:eastAsia="Times New Roman" w:hAnsi="Times New Roman" w:cs="Times New Roman"/>
          <w:sz w:val="24"/>
          <w:szCs w:val="24"/>
        </w:rPr>
        <w:lastRenderedPageBreak/>
        <w:t xml:space="preserve">participants stated that policies regarding renewable wind energy are ineffective to offer a stable energy supply. </w:t>
      </w:r>
    </w:p>
    <w:p w14:paraId="5CB4AABD" w14:textId="77777777" w:rsidR="007C5593" w:rsidRPr="007132D5" w:rsidRDefault="000A5866">
      <w:pPr>
        <w:pStyle w:val="Heading6"/>
        <w:widowControl w:val="0"/>
        <w:rPr>
          <w:color w:val="000000" w:themeColor="text1"/>
        </w:rPr>
      </w:pPr>
      <w:bookmarkStart w:id="95" w:name="_heading=h.3ep43zb" w:colFirst="0" w:colLast="0"/>
      <w:bookmarkEnd w:id="95"/>
      <w:r w:rsidRPr="007132D5">
        <w:rPr>
          <w:color w:val="000000" w:themeColor="text1"/>
        </w:rPr>
        <w:t>Question 14: A sustainable environment refers to the meaning of fulfilling the current needs without causing harm to the resources for future generations. Do you agree that wind energy policies in the UK can reduce air pollution and help to nurture a sustainable environment?</w:t>
      </w:r>
    </w:p>
    <w:tbl>
      <w:tblPr>
        <w:tblStyle w:val="af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C5593" w14:paraId="21A8A770" w14:textId="77777777">
        <w:trPr>
          <w:cantSplit/>
          <w:tblHeader/>
          <w:jc w:val="center"/>
        </w:trPr>
        <w:tc>
          <w:tcPr>
            <w:tcW w:w="3120" w:type="dxa"/>
            <w:shd w:val="clear" w:color="auto" w:fill="auto"/>
            <w:tcMar>
              <w:top w:w="100" w:type="dxa"/>
              <w:left w:w="100" w:type="dxa"/>
              <w:bottom w:w="100" w:type="dxa"/>
              <w:right w:w="100" w:type="dxa"/>
            </w:tcMar>
          </w:tcPr>
          <w:p w14:paraId="1A070D4C"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Answer Choices</w:t>
            </w:r>
          </w:p>
        </w:tc>
        <w:tc>
          <w:tcPr>
            <w:tcW w:w="3120" w:type="dxa"/>
            <w:shd w:val="clear" w:color="auto" w:fill="auto"/>
            <w:tcMar>
              <w:top w:w="100" w:type="dxa"/>
              <w:left w:w="100" w:type="dxa"/>
              <w:bottom w:w="100" w:type="dxa"/>
              <w:right w:w="100" w:type="dxa"/>
            </w:tcMar>
          </w:tcPr>
          <w:p w14:paraId="1B95E105"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Responses </w:t>
            </w:r>
          </w:p>
        </w:tc>
        <w:tc>
          <w:tcPr>
            <w:tcW w:w="3120" w:type="dxa"/>
            <w:shd w:val="clear" w:color="auto" w:fill="auto"/>
            <w:tcMar>
              <w:top w:w="100" w:type="dxa"/>
              <w:left w:w="100" w:type="dxa"/>
              <w:bottom w:w="100" w:type="dxa"/>
              <w:right w:w="100" w:type="dxa"/>
            </w:tcMar>
          </w:tcPr>
          <w:p w14:paraId="5FE6506F"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Participant Number </w:t>
            </w:r>
          </w:p>
        </w:tc>
      </w:tr>
      <w:tr w:rsidR="007C5593" w14:paraId="6245DD4D" w14:textId="77777777">
        <w:trPr>
          <w:cantSplit/>
          <w:tblHeader/>
          <w:jc w:val="center"/>
        </w:trPr>
        <w:tc>
          <w:tcPr>
            <w:tcW w:w="3120" w:type="dxa"/>
            <w:shd w:val="clear" w:color="auto" w:fill="auto"/>
            <w:tcMar>
              <w:top w:w="100" w:type="dxa"/>
              <w:left w:w="100" w:type="dxa"/>
              <w:bottom w:w="100" w:type="dxa"/>
              <w:right w:w="100" w:type="dxa"/>
            </w:tcMar>
          </w:tcPr>
          <w:p w14:paraId="5E2C49DB"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Very Positively</w:t>
            </w:r>
          </w:p>
        </w:tc>
        <w:tc>
          <w:tcPr>
            <w:tcW w:w="3120" w:type="dxa"/>
            <w:shd w:val="clear" w:color="auto" w:fill="auto"/>
            <w:tcMar>
              <w:top w:w="100" w:type="dxa"/>
              <w:left w:w="100" w:type="dxa"/>
              <w:bottom w:w="100" w:type="dxa"/>
              <w:right w:w="100" w:type="dxa"/>
            </w:tcMar>
          </w:tcPr>
          <w:p w14:paraId="641A2C0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43.88%</w:t>
            </w:r>
          </w:p>
        </w:tc>
        <w:tc>
          <w:tcPr>
            <w:tcW w:w="3120" w:type="dxa"/>
            <w:shd w:val="clear" w:color="auto" w:fill="auto"/>
            <w:tcMar>
              <w:top w:w="100" w:type="dxa"/>
              <w:left w:w="100" w:type="dxa"/>
              <w:bottom w:w="100" w:type="dxa"/>
              <w:right w:w="100" w:type="dxa"/>
            </w:tcMar>
          </w:tcPr>
          <w:p w14:paraId="5B18D23A"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w:t>
            </w:r>
          </w:p>
        </w:tc>
      </w:tr>
      <w:tr w:rsidR="007C5593" w14:paraId="43FF1940" w14:textId="77777777">
        <w:trPr>
          <w:cantSplit/>
          <w:tblHeader/>
          <w:jc w:val="center"/>
        </w:trPr>
        <w:tc>
          <w:tcPr>
            <w:tcW w:w="3120" w:type="dxa"/>
            <w:shd w:val="clear" w:color="auto" w:fill="auto"/>
            <w:tcMar>
              <w:top w:w="100" w:type="dxa"/>
              <w:left w:w="100" w:type="dxa"/>
              <w:bottom w:w="100" w:type="dxa"/>
              <w:right w:w="100" w:type="dxa"/>
            </w:tcMar>
          </w:tcPr>
          <w:p w14:paraId="2D47B1D5"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Positive</w:t>
            </w:r>
          </w:p>
        </w:tc>
        <w:tc>
          <w:tcPr>
            <w:tcW w:w="3120" w:type="dxa"/>
            <w:shd w:val="clear" w:color="auto" w:fill="auto"/>
            <w:tcMar>
              <w:top w:w="100" w:type="dxa"/>
              <w:left w:w="100" w:type="dxa"/>
              <w:bottom w:w="100" w:type="dxa"/>
              <w:right w:w="100" w:type="dxa"/>
            </w:tcMar>
          </w:tcPr>
          <w:p w14:paraId="327E1092"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44.90%</w:t>
            </w:r>
          </w:p>
        </w:tc>
        <w:tc>
          <w:tcPr>
            <w:tcW w:w="3120" w:type="dxa"/>
            <w:shd w:val="clear" w:color="auto" w:fill="auto"/>
            <w:tcMar>
              <w:top w:w="100" w:type="dxa"/>
              <w:left w:w="100" w:type="dxa"/>
              <w:bottom w:w="100" w:type="dxa"/>
              <w:right w:w="100" w:type="dxa"/>
            </w:tcMar>
          </w:tcPr>
          <w:p w14:paraId="294E82D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44</w:t>
            </w:r>
          </w:p>
        </w:tc>
      </w:tr>
      <w:tr w:rsidR="007C5593" w14:paraId="0C3FCC52" w14:textId="77777777">
        <w:trPr>
          <w:cantSplit/>
          <w:tblHeader/>
          <w:jc w:val="center"/>
        </w:trPr>
        <w:tc>
          <w:tcPr>
            <w:tcW w:w="3120" w:type="dxa"/>
            <w:shd w:val="clear" w:color="auto" w:fill="auto"/>
            <w:tcMar>
              <w:top w:w="100" w:type="dxa"/>
              <w:left w:w="100" w:type="dxa"/>
              <w:bottom w:w="100" w:type="dxa"/>
              <w:right w:w="100" w:type="dxa"/>
            </w:tcMar>
          </w:tcPr>
          <w:p w14:paraId="2C78723C"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Negatively</w:t>
            </w:r>
          </w:p>
        </w:tc>
        <w:tc>
          <w:tcPr>
            <w:tcW w:w="3120" w:type="dxa"/>
            <w:shd w:val="clear" w:color="auto" w:fill="auto"/>
            <w:tcMar>
              <w:top w:w="100" w:type="dxa"/>
              <w:left w:w="100" w:type="dxa"/>
              <w:bottom w:w="100" w:type="dxa"/>
              <w:right w:w="100" w:type="dxa"/>
            </w:tcMar>
          </w:tcPr>
          <w:p w14:paraId="23C3344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7.14%</w:t>
            </w:r>
          </w:p>
        </w:tc>
        <w:tc>
          <w:tcPr>
            <w:tcW w:w="3120" w:type="dxa"/>
            <w:shd w:val="clear" w:color="auto" w:fill="auto"/>
            <w:tcMar>
              <w:top w:w="100" w:type="dxa"/>
              <w:left w:w="100" w:type="dxa"/>
              <w:bottom w:w="100" w:type="dxa"/>
              <w:right w:w="100" w:type="dxa"/>
            </w:tcMar>
          </w:tcPr>
          <w:p w14:paraId="12BA32E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r>
      <w:tr w:rsidR="007C5593" w14:paraId="387A45AC" w14:textId="77777777">
        <w:trPr>
          <w:cantSplit/>
          <w:tblHeader/>
          <w:jc w:val="center"/>
        </w:trPr>
        <w:tc>
          <w:tcPr>
            <w:tcW w:w="3120" w:type="dxa"/>
            <w:shd w:val="clear" w:color="auto" w:fill="auto"/>
            <w:tcMar>
              <w:top w:w="100" w:type="dxa"/>
              <w:left w:w="100" w:type="dxa"/>
              <w:bottom w:w="100" w:type="dxa"/>
              <w:right w:w="100" w:type="dxa"/>
            </w:tcMar>
          </w:tcPr>
          <w:p w14:paraId="068E17B2"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Very Negatively</w:t>
            </w:r>
          </w:p>
        </w:tc>
        <w:tc>
          <w:tcPr>
            <w:tcW w:w="3120" w:type="dxa"/>
            <w:shd w:val="clear" w:color="auto" w:fill="auto"/>
            <w:tcMar>
              <w:top w:w="100" w:type="dxa"/>
              <w:left w:w="100" w:type="dxa"/>
              <w:bottom w:w="100" w:type="dxa"/>
              <w:right w:w="100" w:type="dxa"/>
            </w:tcMar>
          </w:tcPr>
          <w:p w14:paraId="142FBA18"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4.08%</w:t>
            </w:r>
          </w:p>
        </w:tc>
        <w:tc>
          <w:tcPr>
            <w:tcW w:w="3120" w:type="dxa"/>
            <w:shd w:val="clear" w:color="auto" w:fill="auto"/>
            <w:tcMar>
              <w:top w:w="100" w:type="dxa"/>
              <w:left w:w="100" w:type="dxa"/>
              <w:bottom w:w="100" w:type="dxa"/>
              <w:right w:w="100" w:type="dxa"/>
            </w:tcMar>
          </w:tcPr>
          <w:p w14:paraId="0602E790"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r>
      <w:tr w:rsidR="007C5593" w14:paraId="7BDAFCA4" w14:textId="77777777">
        <w:trPr>
          <w:cantSplit/>
          <w:trHeight w:val="440"/>
          <w:tblHeader/>
          <w:jc w:val="center"/>
        </w:trPr>
        <w:tc>
          <w:tcPr>
            <w:tcW w:w="6240" w:type="dxa"/>
            <w:gridSpan w:val="2"/>
            <w:shd w:val="clear" w:color="auto" w:fill="auto"/>
            <w:tcMar>
              <w:top w:w="100" w:type="dxa"/>
              <w:left w:w="100" w:type="dxa"/>
              <w:bottom w:w="100" w:type="dxa"/>
              <w:right w:w="100" w:type="dxa"/>
            </w:tcMar>
          </w:tcPr>
          <w:p w14:paraId="45CFA077" w14:textId="77777777" w:rsidR="007C5593" w:rsidRDefault="000A586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w:t>
            </w:r>
          </w:p>
        </w:tc>
        <w:tc>
          <w:tcPr>
            <w:tcW w:w="3120" w:type="dxa"/>
            <w:shd w:val="clear" w:color="auto" w:fill="auto"/>
            <w:tcMar>
              <w:top w:w="100" w:type="dxa"/>
              <w:left w:w="100" w:type="dxa"/>
              <w:bottom w:w="100" w:type="dxa"/>
              <w:right w:w="100" w:type="dxa"/>
            </w:tcMar>
          </w:tcPr>
          <w:p w14:paraId="494BCBEC"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98</w:t>
            </w:r>
          </w:p>
        </w:tc>
      </w:tr>
    </w:tbl>
    <w:p w14:paraId="1B1B0C9A" w14:textId="77777777" w:rsidR="007C5593" w:rsidRDefault="000A5866">
      <w:pPr>
        <w:pStyle w:val="Heading5"/>
        <w:rPr>
          <w:color w:val="000000"/>
        </w:rPr>
      </w:pPr>
      <w:bookmarkStart w:id="96" w:name="_heading=h.1tuee74" w:colFirst="0" w:colLast="0"/>
      <w:bookmarkEnd w:id="96"/>
      <w:r>
        <w:rPr>
          <w:color w:val="000000"/>
        </w:rPr>
        <w:lastRenderedPageBreak/>
        <w:t>Table 4.14: Frequency Table for Sustainability Category</w:t>
      </w:r>
    </w:p>
    <w:p w14:paraId="77BF2E82" w14:textId="77777777" w:rsidR="007C5593" w:rsidRDefault="000A586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3749FD6F" wp14:editId="2C8C5F9F">
            <wp:extent cx="4967288" cy="3080673"/>
            <wp:effectExtent l="12700" t="12700" r="12700" b="12700"/>
            <wp:docPr id="8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1"/>
                    <a:srcRect/>
                    <a:stretch>
                      <a:fillRect/>
                    </a:stretch>
                  </pic:blipFill>
                  <pic:spPr>
                    <a:xfrm>
                      <a:off x="0" y="0"/>
                      <a:ext cx="4967288" cy="3080673"/>
                    </a:xfrm>
                    <a:prstGeom prst="rect">
                      <a:avLst/>
                    </a:prstGeom>
                    <a:ln w="12700">
                      <a:solidFill>
                        <a:srgbClr val="000000"/>
                      </a:solidFill>
                      <a:prstDash val="solid"/>
                    </a:ln>
                  </pic:spPr>
                </pic:pic>
              </a:graphicData>
            </a:graphic>
          </wp:inline>
        </w:drawing>
      </w:r>
    </w:p>
    <w:p w14:paraId="7C6824C3" w14:textId="77777777" w:rsidR="007C5593" w:rsidRDefault="000A5866">
      <w:pPr>
        <w:pStyle w:val="Heading4"/>
      </w:pPr>
      <w:bookmarkStart w:id="97" w:name="_heading=h.4du1wux" w:colFirst="0" w:colLast="0"/>
      <w:bookmarkEnd w:id="97"/>
      <w:r>
        <w:t xml:space="preserve">Figure 4.14:  Sustainability Category </w:t>
      </w:r>
    </w:p>
    <w:p w14:paraId="425750A4" w14:textId="77777777" w:rsidR="007C5593" w:rsidRPr="007132D5" w:rsidRDefault="000A5866">
      <w:pPr>
        <w:spacing w:line="48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44.90% of the entire participants stated that policies regarding wind energy in the UK can mitigate air pollution very positively. Despite that, 7.14% of the entire participants stated that policies regarding wind energy in the UK can mitigate air pollution negatively. </w:t>
      </w:r>
      <w:r w:rsidRPr="007132D5">
        <w:rPr>
          <w:rFonts w:ascii="Times New Roman" w:eastAsia="Times New Roman" w:hAnsi="Times New Roman" w:cs="Times New Roman"/>
          <w:color w:val="000000" w:themeColor="text1"/>
          <w:sz w:val="24"/>
          <w:szCs w:val="24"/>
        </w:rPr>
        <w:t xml:space="preserve">In the literature, it is discussed that implementation of sustainable wind energy can help to reduce the amount of carbon emission. Therefore, through reducing carbon emission, UK wind policies can successfully reduce air pollution rate as well. </w:t>
      </w:r>
    </w:p>
    <w:p w14:paraId="2ABD6A89" w14:textId="77777777" w:rsidR="007C5593" w:rsidRDefault="000A5866">
      <w:pPr>
        <w:pStyle w:val="Heading2"/>
        <w:spacing w:line="360" w:lineRule="auto"/>
      </w:pPr>
      <w:bookmarkStart w:id="98" w:name="_heading=h.2szc72q" w:colFirst="0" w:colLast="0"/>
      <w:bookmarkEnd w:id="98"/>
      <w:r>
        <w:lastRenderedPageBreak/>
        <w:t>4.3 Analysis</w:t>
      </w:r>
    </w:p>
    <w:p w14:paraId="3FACE422"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203D1781" wp14:editId="62BB60F1">
            <wp:extent cx="5508788" cy="2047875"/>
            <wp:effectExtent l="12700" t="12700" r="12700" b="12700"/>
            <wp:docPr id="8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2"/>
                    <a:srcRect l="1473"/>
                    <a:stretch>
                      <a:fillRect/>
                    </a:stretch>
                  </pic:blipFill>
                  <pic:spPr>
                    <a:xfrm>
                      <a:off x="0" y="0"/>
                      <a:ext cx="5508788" cy="2047875"/>
                    </a:xfrm>
                    <a:prstGeom prst="rect">
                      <a:avLst/>
                    </a:prstGeom>
                    <a:ln w="12700">
                      <a:solidFill>
                        <a:srgbClr val="000000"/>
                      </a:solidFill>
                      <a:prstDash val="solid"/>
                    </a:ln>
                  </pic:spPr>
                </pic:pic>
              </a:graphicData>
            </a:graphic>
          </wp:inline>
        </w:drawing>
      </w:r>
    </w:p>
    <w:p w14:paraId="66B8C870" w14:textId="77777777" w:rsidR="007C5593" w:rsidRDefault="000A5866">
      <w:pPr>
        <w:pStyle w:val="Heading4"/>
      </w:pPr>
      <w:bookmarkStart w:id="99" w:name="_heading=h.184mhaj" w:colFirst="0" w:colLast="0"/>
      <w:bookmarkEnd w:id="99"/>
      <w:r>
        <w:t>Figure 4.15: Frequency Table for Question 4</w:t>
      </w:r>
    </w:p>
    <w:p w14:paraId="59EE5397"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IBM SPSS)</w:t>
      </w:r>
    </w:p>
    <w:p w14:paraId="2709BF11" w14:textId="77777777" w:rsidR="007C5593" w:rsidRDefault="000A5866">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i/>
          <w:sz w:val="24"/>
          <w:szCs w:val="24"/>
        </w:rPr>
        <w:t xml:space="preserve">Figure 4.15, </w:t>
      </w:r>
      <w:r>
        <w:rPr>
          <w:rFonts w:ascii="Times New Roman" w:eastAsia="Times New Roman" w:hAnsi="Times New Roman" w:cs="Times New Roman"/>
          <w:sz w:val="24"/>
          <w:szCs w:val="24"/>
        </w:rPr>
        <w:t xml:space="preserve">the SPSS analysis has discovered the wind energy awareness among the research participants throughout the UK. The frequency analysis of the responses to Question 4 has discovered that around 81.63% of research respondents answered </w:t>
      </w:r>
      <w:r>
        <w:rPr>
          <w:rFonts w:ascii="Times New Roman" w:eastAsia="Times New Roman" w:hAnsi="Times New Roman" w:cs="Times New Roman"/>
          <w:i/>
          <w:sz w:val="24"/>
          <w:szCs w:val="24"/>
        </w:rPr>
        <w:t xml:space="preserve">‘Yes’, </w:t>
      </w:r>
      <w:r>
        <w:rPr>
          <w:rFonts w:ascii="Times New Roman" w:eastAsia="Times New Roman" w:hAnsi="Times New Roman" w:cs="Times New Roman"/>
          <w:sz w:val="24"/>
          <w:szCs w:val="24"/>
        </w:rPr>
        <w:t>and another 18.37% stated ‘</w:t>
      </w:r>
      <w:r>
        <w:rPr>
          <w:rFonts w:ascii="Times New Roman" w:eastAsia="Times New Roman" w:hAnsi="Times New Roman" w:cs="Times New Roman"/>
          <w:i/>
          <w:sz w:val="24"/>
          <w:szCs w:val="24"/>
        </w:rPr>
        <w:t>No</w:t>
      </w:r>
      <w:r>
        <w:rPr>
          <w:rFonts w:ascii="Times New Roman" w:eastAsia="Times New Roman" w:hAnsi="Times New Roman" w:cs="Times New Roman"/>
          <w:sz w:val="24"/>
          <w:szCs w:val="24"/>
        </w:rPr>
        <w:t xml:space="preserve">’, which has demonstrated a robust majority of awareness. The mean awareness level is approximately 0.816, which has illustrated an extensively average insight among research participants. The most frequent or mode response level is </w:t>
      </w:r>
      <w:r>
        <w:rPr>
          <w:rFonts w:ascii="Times New Roman" w:eastAsia="Times New Roman" w:hAnsi="Times New Roman" w:cs="Times New Roman"/>
          <w:i/>
          <w:sz w:val="24"/>
          <w:szCs w:val="24"/>
        </w:rPr>
        <w:t xml:space="preserve">Yes, </w:t>
      </w:r>
      <w:r>
        <w:rPr>
          <w:rFonts w:ascii="Times New Roman" w:eastAsia="Times New Roman" w:hAnsi="Times New Roman" w:cs="Times New Roman"/>
          <w:sz w:val="24"/>
          <w:szCs w:val="24"/>
        </w:rPr>
        <w:t xml:space="preserve">which focuses on predominant awareness range. </w:t>
      </w:r>
    </w:p>
    <w:p w14:paraId="3BF3C8A4" w14:textId="77777777" w:rsidR="007C5593" w:rsidRDefault="000A5866">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the median response was similarly aligned with </w:t>
      </w:r>
      <w:r>
        <w:rPr>
          <w:rFonts w:ascii="Times New Roman" w:eastAsia="Times New Roman" w:hAnsi="Times New Roman" w:cs="Times New Roman"/>
          <w:i/>
          <w:sz w:val="24"/>
          <w:szCs w:val="24"/>
        </w:rPr>
        <w:t xml:space="preserve">Yes, </w:t>
      </w:r>
      <w:r>
        <w:rPr>
          <w:rFonts w:ascii="Times New Roman" w:eastAsia="Times New Roman" w:hAnsi="Times New Roman" w:cs="Times New Roman"/>
          <w:sz w:val="24"/>
          <w:szCs w:val="24"/>
        </w:rPr>
        <w:t xml:space="preserve">which confirmed that around more than 50% participants are concerned regarding wind power within the UK.  The Standard Deviation is 0.39, which demonstrates low variability and suggests a constant level of awareness throughout the overall sampling. Thus, the findings have highlighted the efficacies of renewable energy regulations in facilitating awareness and similarly demonstrate a requirement for targeted measures to be involved in the remaining 18.37% who are not aware of wind energy contributions. </w:t>
      </w:r>
    </w:p>
    <w:p w14:paraId="126510C6"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4982D66A" wp14:editId="3B688AAF">
            <wp:extent cx="5489738" cy="1876425"/>
            <wp:effectExtent l="12700" t="12700" r="12700" b="12700"/>
            <wp:docPr id="8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3"/>
                    <a:srcRect l="800"/>
                    <a:stretch>
                      <a:fillRect/>
                    </a:stretch>
                  </pic:blipFill>
                  <pic:spPr>
                    <a:xfrm>
                      <a:off x="0" y="0"/>
                      <a:ext cx="5489738" cy="1876425"/>
                    </a:xfrm>
                    <a:prstGeom prst="rect">
                      <a:avLst/>
                    </a:prstGeom>
                    <a:ln w="12700">
                      <a:solidFill>
                        <a:srgbClr val="000000"/>
                      </a:solidFill>
                      <a:prstDash val="solid"/>
                    </a:ln>
                  </pic:spPr>
                </pic:pic>
              </a:graphicData>
            </a:graphic>
          </wp:inline>
        </w:drawing>
      </w:r>
    </w:p>
    <w:p w14:paraId="4A414390" w14:textId="77777777" w:rsidR="007C5593" w:rsidRDefault="000A5866">
      <w:pPr>
        <w:pStyle w:val="Heading4"/>
      </w:pPr>
      <w:bookmarkStart w:id="100" w:name="_heading=h.3s49zyc" w:colFirst="0" w:colLast="0"/>
      <w:bookmarkEnd w:id="100"/>
      <w:r>
        <w:t>Figure 4.16: Frequency Table for Question 5</w:t>
      </w:r>
    </w:p>
    <w:p w14:paraId="44C9B7AA"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IBM SPSS)</w:t>
      </w:r>
    </w:p>
    <w:p w14:paraId="0997D21F" w14:textId="77777777" w:rsidR="007C5593" w:rsidRDefault="000A5866">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forthcoming dataset, approximately 98% of research participants offered valid and significant responses. Among the following research participants, around 1.2% have been selected ‘</w:t>
      </w:r>
      <w:r>
        <w:rPr>
          <w:rFonts w:ascii="Times New Roman" w:eastAsia="Times New Roman" w:hAnsi="Times New Roman" w:cs="Times New Roman"/>
          <w:i/>
          <w:sz w:val="24"/>
          <w:szCs w:val="24"/>
        </w:rPr>
        <w:t xml:space="preserve">Yes’ </w:t>
      </w:r>
      <w:r>
        <w:rPr>
          <w:rFonts w:ascii="Times New Roman" w:eastAsia="Times New Roman" w:hAnsi="Times New Roman" w:cs="Times New Roman"/>
          <w:sz w:val="24"/>
          <w:szCs w:val="24"/>
        </w:rPr>
        <w:t>and</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other respondents have stated </w:t>
      </w:r>
      <w:r>
        <w:rPr>
          <w:rFonts w:ascii="Times New Roman" w:eastAsia="Times New Roman" w:hAnsi="Times New Roman" w:cs="Times New Roman"/>
          <w:i/>
          <w:sz w:val="24"/>
          <w:szCs w:val="24"/>
        </w:rPr>
        <w:t xml:space="preserve">No </w:t>
      </w:r>
      <w:r>
        <w:rPr>
          <w:rFonts w:ascii="Times New Roman" w:eastAsia="Times New Roman" w:hAnsi="Times New Roman" w:cs="Times New Roman"/>
          <w:sz w:val="24"/>
          <w:szCs w:val="24"/>
        </w:rPr>
        <w:t xml:space="preserve">with the cumulative respondents of 96. In the subsequent order, among 61 participants along with 63.54% highlighted </w:t>
      </w:r>
      <w:r>
        <w:rPr>
          <w:rFonts w:ascii="Times New Roman" w:eastAsia="Times New Roman" w:hAnsi="Times New Roman" w:cs="Times New Roman"/>
          <w:i/>
          <w:sz w:val="24"/>
          <w:szCs w:val="24"/>
        </w:rPr>
        <w:t xml:space="preserve">Yes </w:t>
      </w:r>
      <w:r>
        <w:rPr>
          <w:rFonts w:ascii="Times New Roman" w:eastAsia="Times New Roman" w:hAnsi="Times New Roman" w:cs="Times New Roman"/>
          <w:sz w:val="24"/>
          <w:szCs w:val="24"/>
        </w:rPr>
        <w:t xml:space="preserve">to living near wind turbines, while another 36.46% or other 35 participants chose </w:t>
      </w:r>
      <w:r>
        <w:rPr>
          <w:rFonts w:ascii="Times New Roman" w:eastAsia="Times New Roman" w:hAnsi="Times New Roman" w:cs="Times New Roman"/>
          <w:i/>
          <w:sz w:val="24"/>
          <w:szCs w:val="24"/>
        </w:rPr>
        <w:t>No</w:t>
      </w:r>
      <w:r>
        <w:rPr>
          <w:rFonts w:ascii="Times New Roman" w:eastAsia="Times New Roman" w:hAnsi="Times New Roman" w:cs="Times New Roman"/>
          <w:sz w:val="24"/>
          <w:szCs w:val="24"/>
        </w:rPr>
        <w:t xml:space="preserve">. The mean value is around 0.635, which indicates that a significant number of participants lived near wind turbines across the UK. </w:t>
      </w:r>
    </w:p>
    <w:p w14:paraId="2064AF2E" w14:textId="77777777" w:rsidR="007C5593" w:rsidRDefault="000A5866">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 response is </w:t>
      </w:r>
      <w:r>
        <w:rPr>
          <w:rFonts w:ascii="Times New Roman" w:eastAsia="Times New Roman" w:hAnsi="Times New Roman" w:cs="Times New Roman"/>
          <w:i/>
          <w:sz w:val="24"/>
          <w:szCs w:val="24"/>
        </w:rPr>
        <w:t xml:space="preserve">Yes, </w:t>
      </w:r>
      <w:r>
        <w:rPr>
          <w:rFonts w:ascii="Times New Roman" w:eastAsia="Times New Roman" w:hAnsi="Times New Roman" w:cs="Times New Roman"/>
          <w:sz w:val="24"/>
          <w:szCs w:val="24"/>
        </w:rPr>
        <w:t>as it has been considered one of the most frequent responses. The standard deviation of the following question is around 0.48, which illustrates moderate variability within the research responses. Through the following responses of ‘</w:t>
      </w:r>
      <w:r>
        <w:rPr>
          <w:rFonts w:ascii="Times New Roman" w:eastAsia="Times New Roman" w:hAnsi="Times New Roman" w:cs="Times New Roman"/>
          <w:i/>
          <w:sz w:val="24"/>
          <w:szCs w:val="24"/>
        </w:rPr>
        <w:t>Yes</w:t>
      </w:r>
      <w:r>
        <w:rPr>
          <w:rFonts w:ascii="Times New Roman" w:eastAsia="Times New Roman" w:hAnsi="Times New Roman" w:cs="Times New Roman"/>
          <w:sz w:val="24"/>
          <w:szCs w:val="24"/>
        </w:rPr>
        <w:t xml:space="preserve">’, the study highlights that most of participants are living near wind turbines. On this note, these SPSS findings have offered understanding of the research participants to wind turbines, which is associated with assessing renewable energy guidelines. An extensive percentage of research participants living surrounding turbines highlights possibilities of enhanced acceptance and awareness of wind energy projects, through variability illustrates diversity in community experience. </w:t>
      </w:r>
    </w:p>
    <w:p w14:paraId="51A128D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349D1DD0" wp14:editId="0A8D7DEC">
            <wp:extent cx="5476875" cy="1743075"/>
            <wp:effectExtent l="12700" t="12700" r="12700" b="12700"/>
            <wp:docPr id="8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4"/>
                    <a:srcRect t="14485"/>
                    <a:stretch>
                      <a:fillRect/>
                    </a:stretch>
                  </pic:blipFill>
                  <pic:spPr>
                    <a:xfrm>
                      <a:off x="0" y="0"/>
                      <a:ext cx="5476875" cy="1743075"/>
                    </a:xfrm>
                    <a:prstGeom prst="rect">
                      <a:avLst/>
                    </a:prstGeom>
                    <a:ln w="12700">
                      <a:solidFill>
                        <a:srgbClr val="000000"/>
                      </a:solidFill>
                      <a:prstDash val="solid"/>
                    </a:ln>
                  </pic:spPr>
                </pic:pic>
              </a:graphicData>
            </a:graphic>
          </wp:inline>
        </w:drawing>
      </w:r>
    </w:p>
    <w:p w14:paraId="2EA9861F" w14:textId="77777777" w:rsidR="007C5593" w:rsidRDefault="000A5866">
      <w:pPr>
        <w:pStyle w:val="Heading4"/>
      </w:pPr>
      <w:bookmarkStart w:id="101" w:name="_heading=h.279ka65" w:colFirst="0" w:colLast="0"/>
      <w:bookmarkEnd w:id="101"/>
      <w:r>
        <w:t>Figure 4.17: Frequency Table for Question 6</w:t>
      </w:r>
    </w:p>
    <w:p w14:paraId="388B12F4"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IBM SPSS)</w:t>
      </w:r>
    </w:p>
    <w:p w14:paraId="4A62DD40" w14:textId="77777777" w:rsidR="007C5593" w:rsidRDefault="000A5866">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findings according to </w:t>
      </w:r>
      <w:r>
        <w:rPr>
          <w:rFonts w:ascii="Times New Roman" w:eastAsia="Times New Roman" w:hAnsi="Times New Roman" w:cs="Times New Roman"/>
          <w:i/>
          <w:sz w:val="24"/>
          <w:szCs w:val="24"/>
        </w:rPr>
        <w:t xml:space="preserve">Figure 4.17, </w:t>
      </w:r>
      <w:r>
        <w:rPr>
          <w:rFonts w:ascii="Times New Roman" w:eastAsia="Times New Roman" w:hAnsi="Times New Roman" w:cs="Times New Roman"/>
          <w:sz w:val="24"/>
          <w:szCs w:val="24"/>
        </w:rPr>
        <w:t xml:space="preserve">the analysis illustrates that 40.82% of research participants reported being affected by wind turbines, while 58.16% claimed that they were not influenced. In addition to this, around 1.02% offered further discoveries regarding their experience. On this note, the mean value is 0.048, which highlights that a minority of research participants feel influenced by wind turbines. The mode is </w:t>
      </w:r>
      <w:r>
        <w:rPr>
          <w:rFonts w:ascii="Times New Roman" w:eastAsia="Times New Roman" w:hAnsi="Times New Roman" w:cs="Times New Roman"/>
          <w:i/>
          <w:sz w:val="24"/>
          <w:szCs w:val="24"/>
        </w:rPr>
        <w:t xml:space="preserve">No, </w:t>
      </w:r>
      <w:r>
        <w:rPr>
          <w:rFonts w:ascii="Times New Roman" w:eastAsia="Times New Roman" w:hAnsi="Times New Roman" w:cs="Times New Roman"/>
          <w:sz w:val="24"/>
          <w:szCs w:val="24"/>
        </w:rPr>
        <w:t xml:space="preserve">as it is the most frequent response, which reflects the majority opinions. </w:t>
      </w:r>
    </w:p>
    <w:p w14:paraId="4DCECC72" w14:textId="77777777" w:rsidR="007C5593" w:rsidRDefault="000A5866">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standard deviation is around 0.49, which illustrates moderate variability in the research responses. The frequency analysis tailors to the study context of assessing the efficacies of renewable wind energy regulations. The findings recommend that while wind turbines do not influence the majority, an essential proportion does report being impacted. This illustrated the significance of determining community awareness and assuring that the operations and placement of turbines decrease adverse impacts while continuing to facilitate renewable energy solutions. </w:t>
      </w:r>
    </w:p>
    <w:p w14:paraId="11861658"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7124738A" wp14:editId="1E7166CD">
            <wp:extent cx="5486400" cy="3152775"/>
            <wp:effectExtent l="12700" t="12700" r="12700" b="12700"/>
            <wp:docPr id="8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5"/>
                    <a:srcRect/>
                    <a:stretch>
                      <a:fillRect/>
                    </a:stretch>
                  </pic:blipFill>
                  <pic:spPr>
                    <a:xfrm>
                      <a:off x="0" y="0"/>
                      <a:ext cx="5486400" cy="3152775"/>
                    </a:xfrm>
                    <a:prstGeom prst="rect">
                      <a:avLst/>
                    </a:prstGeom>
                    <a:ln w="12700">
                      <a:solidFill>
                        <a:srgbClr val="000000"/>
                      </a:solidFill>
                      <a:prstDash val="solid"/>
                    </a:ln>
                  </pic:spPr>
                </pic:pic>
              </a:graphicData>
            </a:graphic>
          </wp:inline>
        </w:drawing>
      </w:r>
    </w:p>
    <w:p w14:paraId="6013FB25" w14:textId="77777777" w:rsidR="007C5593" w:rsidRDefault="000A5866">
      <w:pPr>
        <w:pStyle w:val="Heading4"/>
      </w:pPr>
      <w:bookmarkStart w:id="102" w:name="_heading=h.meukdy" w:colFirst="0" w:colLast="0"/>
      <w:bookmarkEnd w:id="102"/>
      <w:r>
        <w:t>Figure 4.18: Frequency Table for Question 7</w:t>
      </w:r>
    </w:p>
    <w:p w14:paraId="799697B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IBM SPSS)</w:t>
      </w:r>
    </w:p>
    <w:p w14:paraId="214799E2" w14:textId="77777777" w:rsidR="007C5593" w:rsidRDefault="000A5866">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SPSS analysis has discovered varied research responses to approaches to determine issues in wind energy development throughout the UK. Automation deployment across the supply chain was the most frequently selected approach, with around 29% of research participants choosing this option. Innovative approaches and proper planning each estimated for around 17% of participants, while proper research and evaluation and none of the above were selected by 7% each. Significantly, around 23% of the research participants claimed that all the strategies might significantly resolve issues. </w:t>
      </w:r>
    </w:p>
    <w:p w14:paraId="52E72860" w14:textId="77777777" w:rsidR="007C5593" w:rsidRDefault="000A5866">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mean value of the response is around 3.09, which highlights a moderate need for extensive strategies. The mode is </w:t>
      </w:r>
      <w:r>
        <w:rPr>
          <w:rFonts w:ascii="Times New Roman" w:eastAsia="Times New Roman" w:hAnsi="Times New Roman" w:cs="Times New Roman"/>
          <w:i/>
          <w:sz w:val="24"/>
          <w:szCs w:val="24"/>
        </w:rPr>
        <w:t xml:space="preserve">‘Deployment of automation in the supply chain’, </w:t>
      </w:r>
      <w:r>
        <w:rPr>
          <w:rFonts w:ascii="Times New Roman" w:eastAsia="Times New Roman" w:hAnsi="Times New Roman" w:cs="Times New Roman"/>
          <w:sz w:val="24"/>
          <w:szCs w:val="24"/>
        </w:rPr>
        <w:t xml:space="preserve">which presents its popularity among research participants. The standard deviation is around 1.48, which recommends moderate validity in strategic preferences of the research participants. These findings have aligned with the study context by illustrating the significance of integrated and </w:t>
      </w:r>
      <w:r>
        <w:rPr>
          <w:rFonts w:ascii="Times New Roman" w:eastAsia="Times New Roman" w:hAnsi="Times New Roman" w:cs="Times New Roman"/>
          <w:sz w:val="24"/>
          <w:szCs w:val="24"/>
        </w:rPr>
        <w:lastRenderedPageBreak/>
        <w:t xml:space="preserve">diverse approaches, which incorporates automation, innovation and planning. Apart from that. the findings align with research question 1 and objective 1 by highlighting public agreement on wind energy policies' potential to reduce pollution and promote sustainability, reflecting the evolution of effective policy instruments like CfD and ROCs. Therefore, the study findings have addressed wind energy issues and ensured sustainable development throughout the UK. </w:t>
      </w:r>
    </w:p>
    <w:p w14:paraId="0904CA56"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F818F13" wp14:editId="285ACC7B">
            <wp:extent cx="5553075" cy="2672655"/>
            <wp:effectExtent l="12700" t="12700" r="12700" b="12700"/>
            <wp:docPr id="8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6"/>
                    <a:srcRect t="3576"/>
                    <a:stretch>
                      <a:fillRect/>
                    </a:stretch>
                  </pic:blipFill>
                  <pic:spPr>
                    <a:xfrm>
                      <a:off x="0" y="0"/>
                      <a:ext cx="5553075" cy="2672655"/>
                    </a:xfrm>
                    <a:prstGeom prst="rect">
                      <a:avLst/>
                    </a:prstGeom>
                    <a:ln w="12700">
                      <a:solidFill>
                        <a:srgbClr val="000000"/>
                      </a:solidFill>
                      <a:prstDash val="solid"/>
                    </a:ln>
                  </pic:spPr>
                </pic:pic>
              </a:graphicData>
            </a:graphic>
          </wp:inline>
        </w:drawing>
      </w:r>
    </w:p>
    <w:p w14:paraId="17D30875" w14:textId="77777777" w:rsidR="007C5593" w:rsidRDefault="000A5866">
      <w:pPr>
        <w:pStyle w:val="Heading4"/>
      </w:pPr>
      <w:bookmarkStart w:id="103" w:name="_heading=h.36ei31r" w:colFirst="0" w:colLast="0"/>
      <w:bookmarkEnd w:id="103"/>
      <w:r>
        <w:t>Figure 4.19: Frequency Table for Question 8</w:t>
      </w:r>
    </w:p>
    <w:p w14:paraId="15F8215C"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IBM SPSS)</w:t>
      </w:r>
    </w:p>
    <w:p w14:paraId="6B248A61" w14:textId="483CEACF" w:rsidR="007C5593" w:rsidRDefault="000A5866">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SPSS analysis has addressed improper infrastructure as one of the crucial issues, selected by around 29.29% of respondents. Subsequently, around 25.25% people highlighted constraints in the supply chain and approximately 17.17% illustrated uncertainty in policy adoption. In addition to this, around 22.22% of the research participants highlighted that all the challenges can be occurred during the development of wind energy policies, which focused on </w:t>
      </w:r>
      <w:r w:rsidR="007132D5">
        <w:rPr>
          <w:rFonts w:ascii="Times New Roman" w:eastAsia="Times New Roman" w:hAnsi="Times New Roman" w:cs="Times New Roman"/>
          <w:sz w:val="24"/>
          <w:szCs w:val="24"/>
        </w:rPr>
        <w:t>multi-layered</w:t>
      </w:r>
      <w:r>
        <w:rPr>
          <w:rFonts w:ascii="Times New Roman" w:eastAsia="Times New Roman" w:hAnsi="Times New Roman" w:cs="Times New Roman"/>
          <w:sz w:val="24"/>
          <w:szCs w:val="24"/>
        </w:rPr>
        <w:t xml:space="preserve"> challenges. Another around 6.06% perceived none of the above issues can be effective in this context. </w:t>
      </w:r>
    </w:p>
    <w:p w14:paraId="73DDA1C6" w14:textId="77777777" w:rsidR="007C5593" w:rsidRDefault="000A5866">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mean response value is considered 2.41, which illustrates a leaning toward supply chain and </w:t>
      </w:r>
      <w:r>
        <w:rPr>
          <w:rFonts w:ascii="Times New Roman" w:eastAsia="Times New Roman" w:hAnsi="Times New Roman" w:cs="Times New Roman"/>
          <w:sz w:val="24"/>
          <w:szCs w:val="24"/>
        </w:rPr>
        <w:lastRenderedPageBreak/>
        <w:t xml:space="preserve">infrastructure challenges. The mode is improper infrastructure and conjuring this, the standard deviation is 1.38, which illustrates moderate variability. These findings demonstrate the requirement for extensive strategies to resolve interconnected issues in devising wind energy policy. </w:t>
      </w:r>
    </w:p>
    <w:p w14:paraId="1894108F"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3E6358D6" wp14:editId="0453CE88">
            <wp:extent cx="5534025" cy="2050926"/>
            <wp:effectExtent l="12700" t="12700" r="12700" b="12700"/>
            <wp:docPr id="6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7"/>
                    <a:srcRect t="11024"/>
                    <a:stretch>
                      <a:fillRect/>
                    </a:stretch>
                  </pic:blipFill>
                  <pic:spPr>
                    <a:xfrm>
                      <a:off x="0" y="0"/>
                      <a:ext cx="5534025" cy="2050926"/>
                    </a:xfrm>
                    <a:prstGeom prst="rect">
                      <a:avLst/>
                    </a:prstGeom>
                    <a:ln w="12700">
                      <a:solidFill>
                        <a:srgbClr val="000000"/>
                      </a:solidFill>
                      <a:prstDash val="solid"/>
                    </a:ln>
                  </pic:spPr>
                </pic:pic>
              </a:graphicData>
            </a:graphic>
          </wp:inline>
        </w:drawing>
      </w:r>
    </w:p>
    <w:p w14:paraId="034BF985" w14:textId="77777777" w:rsidR="007C5593" w:rsidRDefault="000A5866">
      <w:pPr>
        <w:pStyle w:val="Heading4"/>
      </w:pPr>
      <w:bookmarkStart w:id="104" w:name="_heading=h.1ljsd9k" w:colFirst="0" w:colLast="0"/>
      <w:bookmarkEnd w:id="104"/>
      <w:r>
        <w:t>Figure 4.20: Frequency Table for Question 9</w:t>
      </w:r>
    </w:p>
    <w:p w14:paraId="14B0264E"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IBM SPSS)</w:t>
      </w:r>
    </w:p>
    <w:p w14:paraId="44BA40A6" w14:textId="77777777" w:rsidR="007C5593" w:rsidRDefault="000A5866">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case of the development of renewable energy, the responses have demonstrated that the majority 52.53% of research participants have perceived the UK as moderately effective in, followed by significantly effective along with 27.27%. A smaller proportion has viewed the measures as moderately ineffective along with 9.09% or significantly ineffective with 3.03%. Additionally, around 8.08% thought that there has been no change. The mean response is 2.24, which recommends a generally favourable perception. The mode is moderately effective, and the standard deviation is approximately 1.03, which represents moderate variability in opinions of the UK’s efficacy in developing wind energy. These findings align with the second research objective as public perception of the UK's moderate effectiveness reflects the impacts of policy frameworks like CfD and ROCs on driving wind energy capacity expansion and investment growth.</w:t>
      </w:r>
    </w:p>
    <w:p w14:paraId="384F07A2"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1E26E125" wp14:editId="54980296">
            <wp:extent cx="5524500" cy="2619375"/>
            <wp:effectExtent l="12700" t="12700" r="12700" b="12700"/>
            <wp:docPr id="7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8"/>
                    <a:srcRect t="2135"/>
                    <a:stretch>
                      <a:fillRect/>
                    </a:stretch>
                  </pic:blipFill>
                  <pic:spPr>
                    <a:xfrm>
                      <a:off x="0" y="0"/>
                      <a:ext cx="5524500" cy="2619375"/>
                    </a:xfrm>
                    <a:prstGeom prst="rect">
                      <a:avLst/>
                    </a:prstGeom>
                    <a:ln w="12700">
                      <a:solidFill>
                        <a:srgbClr val="000000"/>
                      </a:solidFill>
                      <a:prstDash val="solid"/>
                    </a:ln>
                  </pic:spPr>
                </pic:pic>
              </a:graphicData>
            </a:graphic>
          </wp:inline>
        </w:drawing>
      </w:r>
    </w:p>
    <w:p w14:paraId="4AE497D6" w14:textId="77777777" w:rsidR="007C5593" w:rsidRDefault="000A5866">
      <w:pPr>
        <w:pStyle w:val="Heading4"/>
      </w:pPr>
      <w:bookmarkStart w:id="105" w:name="_heading=h.45jfvxd" w:colFirst="0" w:colLast="0"/>
      <w:bookmarkEnd w:id="105"/>
      <w:r>
        <w:t>Figure 4.21: Frequency Table for Question 10</w:t>
      </w:r>
    </w:p>
    <w:p w14:paraId="3EA1B93F"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IBM SPSS)</w:t>
      </w:r>
    </w:p>
    <w:p w14:paraId="5D4C6AD2" w14:textId="77777777" w:rsidR="007C5593" w:rsidRDefault="000A5866">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response has highlighted that around 38.38% of research respondents have thought that renewable energy policies will improve productivity and energy proficiency to a great extent. On the other hand, smaller percentages along with 17.17% have viewed the impact as moderate or slight with 8.08%, with 4.04% considering it would not make any change. The mean value is 2.07, which illustrated a favourable outlook. The mode is identified as “to a great extent,” with a standard deviation of 0.88, indicating moderate variability in opinions. This underscores confidence in wind energy policies' potential to enhance efficiency in the UK.</w:t>
      </w:r>
    </w:p>
    <w:p w14:paraId="57AAD853"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66A80C88" wp14:editId="57F5A7A7">
            <wp:extent cx="5486400" cy="2033141"/>
            <wp:effectExtent l="12700" t="12700" r="12700" b="12700"/>
            <wp:docPr id="7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9"/>
                    <a:srcRect t="3849"/>
                    <a:stretch>
                      <a:fillRect/>
                    </a:stretch>
                  </pic:blipFill>
                  <pic:spPr>
                    <a:xfrm>
                      <a:off x="0" y="0"/>
                      <a:ext cx="5486400" cy="2033141"/>
                    </a:xfrm>
                    <a:prstGeom prst="rect">
                      <a:avLst/>
                    </a:prstGeom>
                    <a:ln w="12700">
                      <a:solidFill>
                        <a:srgbClr val="000000"/>
                      </a:solidFill>
                      <a:prstDash val="solid"/>
                    </a:ln>
                  </pic:spPr>
                </pic:pic>
              </a:graphicData>
            </a:graphic>
          </wp:inline>
        </w:drawing>
      </w:r>
    </w:p>
    <w:p w14:paraId="5039C06B" w14:textId="77777777" w:rsidR="007C5593" w:rsidRDefault="000A5866">
      <w:pPr>
        <w:pStyle w:val="Heading4"/>
      </w:pPr>
      <w:bookmarkStart w:id="106" w:name="_heading=h.2koq656" w:colFirst="0" w:colLast="0"/>
      <w:bookmarkEnd w:id="106"/>
      <w:r>
        <w:lastRenderedPageBreak/>
        <w:t>Figure 4.22: Frequency Table for Question 11</w:t>
      </w:r>
    </w:p>
    <w:p w14:paraId="5297A1A9"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IBM SPSS)</w:t>
      </w:r>
    </w:p>
    <w:p w14:paraId="1E21B39A" w14:textId="154B36EB" w:rsidR="007C5593" w:rsidRDefault="000A5866">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i/>
          <w:sz w:val="24"/>
          <w:szCs w:val="24"/>
        </w:rPr>
        <w:t xml:space="preserve">Figure 4.22, </w:t>
      </w:r>
      <w:r>
        <w:rPr>
          <w:rFonts w:ascii="Times New Roman" w:eastAsia="Times New Roman" w:hAnsi="Times New Roman" w:cs="Times New Roman"/>
          <w:sz w:val="24"/>
          <w:szCs w:val="24"/>
        </w:rPr>
        <w:t xml:space="preserve">around 31.31% of the research respondents have considered technological enhancements like better energy storage and enhanced wind turbines, will influence wind energy policies very positively. The mean value of the response is considered 1.31, which highlighted an optimistic view. The mode is very </w:t>
      </w:r>
      <w:r w:rsidR="008172AE">
        <w:rPr>
          <w:rFonts w:ascii="Times New Roman" w:eastAsia="Times New Roman" w:hAnsi="Times New Roman" w:cs="Times New Roman"/>
          <w:sz w:val="24"/>
          <w:szCs w:val="24"/>
        </w:rPr>
        <w:t>positive,</w:t>
      </w:r>
      <w:r>
        <w:rPr>
          <w:rFonts w:ascii="Times New Roman" w:eastAsia="Times New Roman" w:hAnsi="Times New Roman" w:cs="Times New Roman"/>
          <w:sz w:val="24"/>
          <w:szCs w:val="24"/>
        </w:rPr>
        <w:t xml:space="preserve"> and the standard deviation is 0.46, which presents moderate consensus on the significance of innovation in improving policy efficacies. </w:t>
      </w:r>
    </w:p>
    <w:p w14:paraId="0DF3E14E" w14:textId="77777777" w:rsidR="007C5593" w:rsidRDefault="007C5593">
      <w:pPr>
        <w:widowControl w:val="0"/>
        <w:spacing w:line="480" w:lineRule="auto"/>
        <w:rPr>
          <w:rFonts w:ascii="Times New Roman" w:eastAsia="Times New Roman" w:hAnsi="Times New Roman" w:cs="Times New Roman"/>
          <w:sz w:val="24"/>
          <w:szCs w:val="24"/>
        </w:rPr>
      </w:pPr>
    </w:p>
    <w:p w14:paraId="60173651" w14:textId="77777777" w:rsidR="007C5593" w:rsidRDefault="007C5593">
      <w:pPr>
        <w:widowControl w:val="0"/>
        <w:spacing w:line="480" w:lineRule="auto"/>
        <w:rPr>
          <w:rFonts w:ascii="Times New Roman" w:eastAsia="Times New Roman" w:hAnsi="Times New Roman" w:cs="Times New Roman"/>
          <w:sz w:val="24"/>
          <w:szCs w:val="24"/>
        </w:rPr>
      </w:pPr>
    </w:p>
    <w:p w14:paraId="758B981D"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062DA13D" wp14:editId="1F8F6665">
            <wp:extent cx="5562600" cy="2733675"/>
            <wp:effectExtent l="12700" t="12700" r="12700" b="12700"/>
            <wp:docPr id="7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40"/>
                    <a:srcRect/>
                    <a:stretch>
                      <a:fillRect/>
                    </a:stretch>
                  </pic:blipFill>
                  <pic:spPr>
                    <a:xfrm>
                      <a:off x="0" y="0"/>
                      <a:ext cx="5562600" cy="2733675"/>
                    </a:xfrm>
                    <a:prstGeom prst="rect">
                      <a:avLst/>
                    </a:prstGeom>
                    <a:ln w="12700">
                      <a:solidFill>
                        <a:srgbClr val="000000"/>
                      </a:solidFill>
                      <a:prstDash val="solid"/>
                    </a:ln>
                  </pic:spPr>
                </pic:pic>
              </a:graphicData>
            </a:graphic>
          </wp:inline>
        </w:drawing>
      </w:r>
    </w:p>
    <w:p w14:paraId="075796CF" w14:textId="77777777" w:rsidR="007C5593" w:rsidRDefault="000A5866">
      <w:pPr>
        <w:pStyle w:val="Heading4"/>
      </w:pPr>
      <w:bookmarkStart w:id="107" w:name="_heading=h.zu0gcz" w:colFirst="0" w:colLast="0"/>
      <w:bookmarkEnd w:id="107"/>
      <w:r>
        <w:t>Figure 4.23: Frequency Table for Question 12</w:t>
      </w:r>
    </w:p>
    <w:p w14:paraId="464149DB"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IBM SPSS)</w:t>
      </w:r>
    </w:p>
    <w:p w14:paraId="51BB3B69" w14:textId="77777777" w:rsidR="007C5593" w:rsidRDefault="000A5866">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Around 42.42% of research participants have perceived </w:t>
      </w:r>
      <w:r>
        <w:rPr>
          <w:rFonts w:ascii="Times New Roman" w:eastAsia="Times New Roman" w:hAnsi="Times New Roman" w:cs="Times New Roman"/>
          <w:i/>
          <w:sz w:val="24"/>
          <w:szCs w:val="24"/>
        </w:rPr>
        <w:t xml:space="preserve">community engagement </w:t>
      </w:r>
      <w:r>
        <w:rPr>
          <w:rFonts w:ascii="Times New Roman" w:eastAsia="Times New Roman" w:hAnsi="Times New Roman" w:cs="Times New Roman"/>
          <w:sz w:val="24"/>
          <w:szCs w:val="24"/>
        </w:rPr>
        <w:t xml:space="preserve">as very important, while other 31.31% have considered it </w:t>
      </w:r>
      <w:r>
        <w:rPr>
          <w:rFonts w:ascii="Times New Roman" w:eastAsia="Times New Roman" w:hAnsi="Times New Roman" w:cs="Times New Roman"/>
          <w:i/>
          <w:sz w:val="24"/>
          <w:szCs w:val="24"/>
        </w:rPr>
        <w:t xml:space="preserve">extremely important. </w:t>
      </w:r>
      <w:r>
        <w:rPr>
          <w:rFonts w:ascii="Times New Roman" w:eastAsia="Times New Roman" w:hAnsi="Times New Roman" w:cs="Times New Roman"/>
          <w:sz w:val="24"/>
          <w:szCs w:val="24"/>
        </w:rPr>
        <w:t>The mean value is 2.18, mode is ‘</w:t>
      </w:r>
      <w:r>
        <w:rPr>
          <w:rFonts w:ascii="Times New Roman" w:eastAsia="Times New Roman" w:hAnsi="Times New Roman" w:cs="Times New Roman"/>
          <w:i/>
          <w:sz w:val="24"/>
          <w:szCs w:val="24"/>
        </w:rPr>
        <w:t>very important</w:t>
      </w:r>
      <w:r>
        <w:rPr>
          <w:rFonts w:ascii="Times New Roman" w:eastAsia="Times New Roman" w:hAnsi="Times New Roman" w:cs="Times New Roman"/>
          <w:sz w:val="24"/>
          <w:szCs w:val="24"/>
        </w:rPr>
        <w:t xml:space="preserve">’ and standard deviation is 0.92, which presents its importance. The </w:t>
      </w:r>
      <w:r>
        <w:rPr>
          <w:rFonts w:ascii="Times New Roman" w:eastAsia="Times New Roman" w:hAnsi="Times New Roman" w:cs="Times New Roman"/>
          <w:sz w:val="24"/>
          <w:szCs w:val="24"/>
        </w:rPr>
        <w:lastRenderedPageBreak/>
        <w:t>findings have been linked with the research objective 3, as it focuses on the crucial role in shaping perceptions of wind energy effectiveness in the UK.</w:t>
      </w:r>
    </w:p>
    <w:p w14:paraId="16E317B8"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5B58043C" wp14:editId="5AA75FF1">
            <wp:extent cx="5484975" cy="2647950"/>
            <wp:effectExtent l="12700" t="12700" r="12700" b="12700"/>
            <wp:docPr id="7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1"/>
                    <a:srcRect l="1056" t="2638"/>
                    <a:stretch>
                      <a:fillRect/>
                    </a:stretch>
                  </pic:blipFill>
                  <pic:spPr>
                    <a:xfrm>
                      <a:off x="0" y="0"/>
                      <a:ext cx="5484975" cy="2647950"/>
                    </a:xfrm>
                    <a:prstGeom prst="rect">
                      <a:avLst/>
                    </a:prstGeom>
                    <a:ln w="12700">
                      <a:solidFill>
                        <a:srgbClr val="000000"/>
                      </a:solidFill>
                      <a:prstDash val="solid"/>
                    </a:ln>
                  </pic:spPr>
                </pic:pic>
              </a:graphicData>
            </a:graphic>
          </wp:inline>
        </w:drawing>
      </w:r>
    </w:p>
    <w:p w14:paraId="2111A8E4" w14:textId="77777777" w:rsidR="007C5593" w:rsidRDefault="000A5866">
      <w:pPr>
        <w:pStyle w:val="Heading4"/>
      </w:pPr>
      <w:bookmarkStart w:id="108" w:name="_heading=h.3jtnz0s" w:colFirst="0" w:colLast="0"/>
      <w:bookmarkEnd w:id="108"/>
      <w:r>
        <w:t>Figure 4.24: Frequency Table for Question 13</w:t>
      </w:r>
    </w:p>
    <w:p w14:paraId="3D88EB66"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IBM SPSS)</w:t>
      </w:r>
    </w:p>
    <w:p w14:paraId="48BB8737" w14:textId="77777777" w:rsidR="007C5593" w:rsidRDefault="000A5866">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Approximately 43.88% perceived wind energy policies as very positive to decrease pollution and facilitate sustainability, along with a mean of 1.72, mode of ‘</w:t>
      </w:r>
      <w:r>
        <w:rPr>
          <w:rFonts w:ascii="Times New Roman" w:eastAsia="Times New Roman" w:hAnsi="Times New Roman" w:cs="Times New Roman"/>
          <w:i/>
          <w:sz w:val="24"/>
          <w:szCs w:val="24"/>
        </w:rPr>
        <w:t>positive</w:t>
      </w:r>
      <w:r>
        <w:rPr>
          <w:rFonts w:ascii="Times New Roman" w:eastAsia="Times New Roman" w:hAnsi="Times New Roman" w:cs="Times New Roman"/>
          <w:sz w:val="24"/>
          <w:szCs w:val="24"/>
        </w:rPr>
        <w:t>’. The standard deviation of 0.94 has demonstrated overall participant agreement. The fourth research objective has been met through the response of frequency table 4.24, as it represents the favorable attitudes toward the environmental benefits of wind energy initiatives and government policies in the UK.</w:t>
      </w:r>
    </w:p>
    <w:p w14:paraId="5D3F16AE"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62187AD6" wp14:editId="602D5F39">
            <wp:extent cx="5527838" cy="2543175"/>
            <wp:effectExtent l="12700" t="12700" r="12700" b="12700"/>
            <wp:docPr id="7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42"/>
                    <a:srcRect l="1132" t="3956"/>
                    <a:stretch>
                      <a:fillRect/>
                    </a:stretch>
                  </pic:blipFill>
                  <pic:spPr>
                    <a:xfrm>
                      <a:off x="0" y="0"/>
                      <a:ext cx="5527838" cy="2543175"/>
                    </a:xfrm>
                    <a:prstGeom prst="rect">
                      <a:avLst/>
                    </a:prstGeom>
                    <a:ln w="12700">
                      <a:solidFill>
                        <a:srgbClr val="000000"/>
                      </a:solidFill>
                      <a:prstDash val="solid"/>
                    </a:ln>
                  </pic:spPr>
                </pic:pic>
              </a:graphicData>
            </a:graphic>
          </wp:inline>
        </w:drawing>
      </w:r>
    </w:p>
    <w:p w14:paraId="5855F8E9" w14:textId="77777777" w:rsidR="007C5593" w:rsidRDefault="000A5866">
      <w:pPr>
        <w:pStyle w:val="Heading4"/>
      </w:pPr>
      <w:bookmarkStart w:id="109" w:name="_heading=h.1yyy98l" w:colFirst="0" w:colLast="0"/>
      <w:bookmarkEnd w:id="109"/>
      <w:r>
        <w:t>Figure 4.25: Frequency Table for Question 14</w:t>
      </w:r>
    </w:p>
    <w:p w14:paraId="753AEB77" w14:textId="77777777" w:rsidR="007C5593" w:rsidRDefault="000A5866">
      <w:pPr>
        <w:widowControl w:val="0"/>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IBM SPSS)</w:t>
      </w:r>
    </w:p>
    <w:p w14:paraId="706838DA" w14:textId="77777777" w:rsidR="007C5593" w:rsidRDefault="000A5866">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Approximately 43.88% of research participants have perceived wind energy policies as </w:t>
      </w:r>
      <w:r>
        <w:rPr>
          <w:rFonts w:ascii="Times New Roman" w:eastAsia="Times New Roman" w:hAnsi="Times New Roman" w:cs="Times New Roman"/>
          <w:i/>
          <w:sz w:val="24"/>
          <w:szCs w:val="24"/>
        </w:rPr>
        <w:t>very positive</w:t>
      </w:r>
      <w:r>
        <w:rPr>
          <w:rFonts w:ascii="Times New Roman" w:eastAsia="Times New Roman" w:hAnsi="Times New Roman" w:cs="Times New Roman"/>
          <w:sz w:val="24"/>
          <w:szCs w:val="24"/>
        </w:rPr>
        <w:t xml:space="preserve"> for sustainability approaches. On the other hand, another 44.90% of participants have considered a sustainable atmosphere and ethical resources </w:t>
      </w:r>
      <w:r>
        <w:rPr>
          <w:rFonts w:ascii="Times New Roman" w:eastAsia="Times New Roman" w:hAnsi="Times New Roman" w:cs="Times New Roman"/>
          <w:i/>
          <w:sz w:val="24"/>
          <w:szCs w:val="24"/>
        </w:rPr>
        <w:t xml:space="preserve">positive </w:t>
      </w:r>
      <w:r>
        <w:rPr>
          <w:rFonts w:ascii="Times New Roman" w:eastAsia="Times New Roman" w:hAnsi="Times New Roman" w:cs="Times New Roman"/>
          <w:sz w:val="24"/>
          <w:szCs w:val="24"/>
        </w:rPr>
        <w:t xml:space="preserve">to decrease pollution and boost sustainability. The mean is 1.74, mode is positive and standard deviation 0.91, which presents robust agreement on the ecological advantages. Linking with research objective 5, the findings highlight the outcomes of wind energy policies in fostering sustainability and reducing pollution, with 43.88% perceiving them as very positive. A mean of 1.72, mode of “positive,” and standard deviation of 0.94 underline public agreement, emphasizing the effectiveness of these policies in achieving environmental goals. </w:t>
      </w:r>
    </w:p>
    <w:p w14:paraId="6959F083" w14:textId="77777777" w:rsidR="007C5593" w:rsidRDefault="000A5866">
      <w:pPr>
        <w:pStyle w:val="Heading2"/>
      </w:pPr>
      <w:bookmarkStart w:id="110" w:name="_heading=h.4iylrwe" w:colFirst="0" w:colLast="0"/>
      <w:bookmarkEnd w:id="110"/>
      <w:r>
        <w:t>4.4 Chapter Summary</w:t>
      </w:r>
    </w:p>
    <w:p w14:paraId="3A6CD264" w14:textId="48DC9A16"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chapter, it can be concluded that </w:t>
      </w:r>
      <w:r w:rsidR="008172AE">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develops a brief understanding on the importance of renewable energy </w:t>
      </w:r>
      <w:r w:rsidR="008172AE">
        <w:rPr>
          <w:rFonts w:ascii="Times New Roman" w:eastAsia="Times New Roman" w:hAnsi="Times New Roman" w:cs="Times New Roman"/>
          <w:sz w:val="24"/>
          <w:szCs w:val="24"/>
        </w:rPr>
        <w:t>sources and</w:t>
      </w:r>
      <w:r>
        <w:rPr>
          <w:rFonts w:ascii="Times New Roman" w:eastAsia="Times New Roman" w:hAnsi="Times New Roman" w:cs="Times New Roman"/>
          <w:sz w:val="24"/>
          <w:szCs w:val="24"/>
        </w:rPr>
        <w:t xml:space="preserve"> impacts on energy requirements of the UK population. This is effectively done through primary quantitative data collection evaluating the </w:t>
      </w:r>
      <w:r>
        <w:rPr>
          <w:rFonts w:ascii="Times New Roman" w:eastAsia="Times New Roman" w:hAnsi="Times New Roman" w:cs="Times New Roman"/>
          <w:sz w:val="24"/>
          <w:szCs w:val="24"/>
        </w:rPr>
        <w:lastRenderedPageBreak/>
        <w:t xml:space="preserve">effectiveness of the policies. The demographic findings clearly highlight that most of the participants are between the age group of 25 and 45 years old. Apart from this, it has been underlined through the non-demographic findings that policies regarding wind turbine energy can help to mitigate air pollution issues. Therefore, coordinated efforts between the government and industry </w:t>
      </w:r>
      <w:r w:rsidR="007132D5">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ensure a stable policy environment and robust supply chain during developing wind energy in the UK. </w:t>
      </w:r>
      <w:r>
        <w:br w:type="page"/>
      </w:r>
    </w:p>
    <w:p w14:paraId="7BD02961" w14:textId="77777777" w:rsidR="007C5593" w:rsidRPr="007132D5" w:rsidRDefault="000A5866">
      <w:pPr>
        <w:pStyle w:val="Heading1"/>
        <w:rPr>
          <w:sz w:val="32"/>
          <w:szCs w:val="32"/>
          <w:highlight w:val="white"/>
        </w:rPr>
      </w:pPr>
      <w:bookmarkStart w:id="111" w:name="_heading=h.2y3w247" w:colFirst="0" w:colLast="0"/>
      <w:bookmarkEnd w:id="111"/>
      <w:r w:rsidRPr="007132D5">
        <w:rPr>
          <w:sz w:val="32"/>
          <w:szCs w:val="32"/>
          <w:highlight w:val="white"/>
        </w:rPr>
        <w:lastRenderedPageBreak/>
        <w:t xml:space="preserve">Chapter 5: Discussion, Conclusions and Recommendations </w:t>
      </w:r>
    </w:p>
    <w:p w14:paraId="7BD07362" w14:textId="77777777" w:rsidR="007C5593" w:rsidRDefault="000A5866">
      <w:pPr>
        <w:pStyle w:val="Heading2"/>
      </w:pPr>
      <w:bookmarkStart w:id="112" w:name="_heading=h.1d96cc0" w:colFirst="0" w:colLast="0"/>
      <w:bookmarkEnd w:id="112"/>
      <w:r>
        <w:t>5.1 Chapter Introduction</w:t>
      </w:r>
    </w:p>
    <w:p w14:paraId="06E76E44" w14:textId="1264B745"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chapter delves into discussing the outcomes of the findings along with summarising the data collection. It also focuses on drawing recommendations improving the effectiveness of the renewable energy policies. The chapter will be </w:t>
      </w:r>
      <w:r w:rsidR="007132D5">
        <w:rPr>
          <w:rFonts w:ascii="Times New Roman" w:eastAsia="Times New Roman" w:hAnsi="Times New Roman" w:cs="Times New Roman"/>
          <w:sz w:val="24"/>
          <w:szCs w:val="24"/>
        </w:rPr>
        <w:t>comparing</w:t>
      </w:r>
      <w:r>
        <w:rPr>
          <w:rFonts w:ascii="Times New Roman" w:eastAsia="Times New Roman" w:hAnsi="Times New Roman" w:cs="Times New Roman"/>
          <w:sz w:val="24"/>
          <w:szCs w:val="24"/>
        </w:rPr>
        <w:t xml:space="preserve"> the primary quantitative data with the literature review of the research study. Moreover, the chapter aims at providing a structured discussion highlighting the similarities and differences that are determined through the research study. Moreover, the chapter also focuses on concluding the outcomes of the research study related to the wind energy policies of the United Kingdom. Therefore, the chapter redefines the research topic and enhances the effectiveness and impact of such policies by underscoring suggestions. </w:t>
      </w:r>
    </w:p>
    <w:p w14:paraId="777DDD53" w14:textId="77777777" w:rsidR="007C5593" w:rsidRDefault="000A5866">
      <w:pPr>
        <w:pStyle w:val="Heading2"/>
      </w:pPr>
      <w:bookmarkStart w:id="113" w:name="_heading=h.3x8tuzt" w:colFirst="0" w:colLast="0"/>
      <w:bookmarkEnd w:id="113"/>
      <w:r>
        <w:t>5.2 Discussion</w:t>
      </w:r>
    </w:p>
    <w:p w14:paraId="32A0A2F4" w14:textId="49DF60A1" w:rsidR="007C5593" w:rsidRDefault="000A5866">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analysis provides crucial insights on public perceptions and attitudes towards wind energy policies in the UK. Government initiatives and media coverage seem to have worked in educating the people about renewable energy sources, as can be seen with 81.63% of the respondents being aware of wind powered energy. The discussion aligns with the literature review that presents the evolution of UK wind energy </w:t>
      </w:r>
      <w:r w:rsidR="008172AE">
        <w:rPr>
          <w:rFonts w:ascii="Times New Roman" w:eastAsia="Times New Roman" w:hAnsi="Times New Roman" w:cs="Times New Roman"/>
          <w:sz w:val="24"/>
          <w:szCs w:val="24"/>
        </w:rPr>
        <w:t>policies and</w:t>
      </w:r>
      <w:r>
        <w:rPr>
          <w:rFonts w:ascii="Times New Roman" w:eastAsia="Times New Roman" w:hAnsi="Times New Roman" w:cs="Times New Roman"/>
          <w:sz w:val="24"/>
          <w:szCs w:val="24"/>
        </w:rPr>
        <w:t xml:space="preserve"> aims to increase public engagement and understanding of renewable energy (Xing, Li and Yu, 2022, p.2). Moreover, 63.54% of the respondents living near wind turbines, it can be said that wind energy is very sufficiently integrated into UK communities. The examination of the impact of policies of onshore and offshore wind energy projects makes this finding particularly relevant. This also implies that policies have been successful in encouraging the wide deployment of wind turbines, </w:t>
      </w:r>
      <w:r>
        <w:rPr>
          <w:rFonts w:ascii="Times New Roman" w:eastAsia="Times New Roman" w:hAnsi="Times New Roman" w:cs="Times New Roman"/>
          <w:sz w:val="24"/>
          <w:szCs w:val="24"/>
        </w:rPr>
        <w:lastRenderedPageBreak/>
        <w:t>while other issues such as public acceptance and planning permissions can have presented difficulties.</w:t>
      </w:r>
    </w:p>
    <w:p w14:paraId="57983066" w14:textId="77777777" w:rsidR="007C5593" w:rsidRDefault="000A5866">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section also indicates that most of the respondents are not affected by wind turbines, which calls into question some common fears of adverse effects of wind farms on local communities. This finding shows a positive consequence of policy efforts aimed at reducing the potential impacts of wind energy projects. These efforts have also enhanced the design and location of wind turbines, as observed in the literature review on the evolution of key policies and instruments (Andiyappillai, 2021, p. 141). In addition, 29.29% of participants identified improper infrastructure as a major challenge in developing wind energy policies, which clearly shows the requirement of grid infrastructure enhancement. This implies that more focus needs to be placed on the supporting infrastructure whether wind energy is to be successfully integrated into the national grid, and not just the generation capacity.</w:t>
      </w:r>
    </w:p>
    <w:p w14:paraId="04859705" w14:textId="32DD5AA9" w:rsidR="007C5593" w:rsidRDefault="007132D5">
      <w:pPr>
        <w:spacing w:before="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Most of</w:t>
      </w:r>
      <w:r w:rsidR="000A5866">
        <w:rPr>
          <w:rFonts w:ascii="Times New Roman" w:eastAsia="Times New Roman" w:hAnsi="Times New Roman" w:cs="Times New Roman"/>
          <w:sz w:val="24"/>
          <w:szCs w:val="24"/>
        </w:rPr>
        <w:t xml:space="preserve"> the responses identify the UK as having the level of moderate effectiveness in developing renewable wind energy, which resonates with the complexity of policy implementation and stakeholder-interests. Wind power capacity in the UK increased from 24.7 GW in 2020 to 28.1 GW in 2023, representing a 13.8% growth over this period (Statista, 2024). This expansion demonstrates the positive impact of policies in encouraging new wind farm developments. These findings confirm the results of the literature review, which stressed the role of policy instruments in leading technological progress and enabling community acceptance of wind energy projects (Santhakumar </w:t>
      </w:r>
      <w:r w:rsidR="000A5866">
        <w:rPr>
          <w:rFonts w:ascii="Times New Roman" w:eastAsia="Times New Roman" w:hAnsi="Times New Roman" w:cs="Times New Roman"/>
          <w:i/>
          <w:sz w:val="24"/>
          <w:szCs w:val="24"/>
        </w:rPr>
        <w:t xml:space="preserve">et al. </w:t>
      </w:r>
      <w:r w:rsidR="000A5866">
        <w:rPr>
          <w:rFonts w:ascii="Times New Roman" w:eastAsia="Times New Roman" w:hAnsi="Times New Roman" w:cs="Times New Roman"/>
          <w:sz w:val="24"/>
          <w:szCs w:val="24"/>
        </w:rPr>
        <w:t xml:space="preserve">2022, p.3). The findings and analysis are generally supportive of the success of UK wind energy policies in raising awareness, promoting deployment, and attracting public support. The results demonstrate the complexity of the </w:t>
      </w:r>
      <w:r w:rsidR="000A5866">
        <w:rPr>
          <w:rFonts w:ascii="Times New Roman" w:eastAsia="Times New Roman" w:hAnsi="Times New Roman" w:cs="Times New Roman"/>
          <w:sz w:val="24"/>
          <w:szCs w:val="24"/>
        </w:rPr>
        <w:lastRenderedPageBreak/>
        <w:t>interplay between the design of policy, technological development, and public opinion in influencing the implementation of the future of wind energy in the UK region.</w:t>
      </w:r>
    </w:p>
    <w:p w14:paraId="13FF45C1" w14:textId="63223318" w:rsidR="007C5593" w:rsidRDefault="000A5866">
      <w:pPr>
        <w:spacing w:before="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Regional electricity companies have successfully privatised renewable energy networks for managing premium quality at average price. As per the opinion of Khodadadi and Poudineh (2024, p. 10), focus needs to be given upon improvement of process capacity and it helps to produce electricity with reduced biomass. In case of survey responses 13.13% participants of the process opined that transparency in the energy conservation policy needs to be improved. It helps to manage alignment between industry needs and offshore the side effects upon natural resources. Therefore, objective 1 of the study has successfully been accomplished in this </w:t>
      </w:r>
      <w:r w:rsidR="007132D5">
        <w:rPr>
          <w:rFonts w:ascii="Times New Roman" w:eastAsia="Times New Roman" w:hAnsi="Times New Roman" w:cs="Times New Roman"/>
          <w:sz w:val="24"/>
          <w:szCs w:val="24"/>
        </w:rPr>
        <w:t>research</w:t>
      </w:r>
      <w:r>
        <w:rPr>
          <w:rFonts w:ascii="Times New Roman" w:eastAsia="Times New Roman" w:hAnsi="Times New Roman" w:cs="Times New Roman"/>
          <w:sz w:val="24"/>
          <w:szCs w:val="24"/>
        </w:rPr>
        <w:t xml:space="preserve"> by understanding diversity in strategy. </w:t>
      </w:r>
    </w:p>
    <w:p w14:paraId="4323B3A9" w14:textId="416AA3AC" w:rsidR="007C5593" w:rsidRDefault="000A5866">
      <w:pPr>
        <w:spacing w:before="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Introduction of policy incentives helps in bringing change in terms of the major operational offshore energy firms and it increases balance in domestic investment. According to the view of Santhakumar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p.3), economic scalability improvement is required to </w:t>
      </w:r>
      <w:r w:rsidR="007132D5">
        <w:rPr>
          <w:rFonts w:ascii="Times New Roman" w:eastAsia="Times New Roman" w:hAnsi="Times New Roman" w:cs="Times New Roman"/>
          <w:sz w:val="24"/>
          <w:szCs w:val="24"/>
        </w:rPr>
        <w:t>fulfil</w:t>
      </w:r>
      <w:r>
        <w:rPr>
          <w:rFonts w:ascii="Times New Roman" w:eastAsia="Times New Roman" w:hAnsi="Times New Roman" w:cs="Times New Roman"/>
          <w:sz w:val="24"/>
          <w:szCs w:val="24"/>
        </w:rPr>
        <w:t xml:space="preserve"> long-term government targets. Considering the statistical analysis of quantitative </w:t>
      </w:r>
      <w:r w:rsidR="007132D5">
        <w:rPr>
          <w:rFonts w:ascii="Times New Roman" w:eastAsia="Times New Roman" w:hAnsi="Times New Roman" w:cs="Times New Roman"/>
          <w:sz w:val="24"/>
          <w:szCs w:val="24"/>
        </w:rPr>
        <w:t>data,</w:t>
      </w:r>
      <w:r>
        <w:rPr>
          <w:rFonts w:ascii="Times New Roman" w:eastAsia="Times New Roman" w:hAnsi="Times New Roman" w:cs="Times New Roman"/>
          <w:sz w:val="24"/>
          <w:szCs w:val="24"/>
        </w:rPr>
        <w:t xml:space="preserve"> it has been observed that 37.76% participants think the need is the work upon the nearing areas of London. </w:t>
      </w:r>
      <w:r w:rsidR="007132D5">
        <w:rPr>
          <w:rFonts w:ascii="Times New Roman" w:eastAsia="Times New Roman" w:hAnsi="Times New Roman" w:cs="Times New Roman"/>
          <w:sz w:val="24"/>
          <w:szCs w:val="24"/>
        </w:rPr>
        <w:t>Because of</w:t>
      </w:r>
      <w:r>
        <w:rPr>
          <w:rFonts w:ascii="Times New Roman" w:eastAsia="Times New Roman" w:hAnsi="Times New Roman" w:cs="Times New Roman"/>
          <w:sz w:val="24"/>
          <w:szCs w:val="24"/>
        </w:rPr>
        <w:t xml:space="preserve"> that, dealing with the challenges of operational management and increasing adequacy in policy measures become easier. It has created barriers in implementation of performance management and increased adequacy. Therefore, the opinion of scholars and the viewpoint of participants are in coordination with each other. </w:t>
      </w:r>
    </w:p>
    <w:p w14:paraId="4BB03D39" w14:textId="77777777" w:rsidR="007C5593" w:rsidRDefault="000A5866">
      <w:pPr>
        <w:spacing w:before="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Wind policy formulated by the UK government has a crucial role in ensuring a significant decrease in operational cost and the CfD auction proposed by the government is instrumental here. As per the opinion of Welisch and Poudineh (2020, p. 2), enhancement in infrastructure is </w:t>
      </w:r>
      <w:r>
        <w:rPr>
          <w:rFonts w:ascii="Times New Roman" w:eastAsia="Times New Roman" w:hAnsi="Times New Roman" w:cs="Times New Roman"/>
          <w:sz w:val="24"/>
          <w:szCs w:val="24"/>
        </w:rPr>
        <w:lastRenderedPageBreak/>
        <w:t>the most crucial stage for the successful management of wind energy. It has been observed 19.39% participants from Wales feel that the Government's bonding with new firms can help in decreasing financial scalability management. Inclusion of cost management measures can help to address operational challenges and thus objective 3 has been achieved. Henceforth, scholar’s opinions and participants' viewpoints are in partial coordination. </w:t>
      </w:r>
    </w:p>
    <w:p w14:paraId="4329A3F3" w14:textId="0C70CA6B" w:rsidR="007C5593" w:rsidRDefault="000A5866">
      <w:pPr>
        <w:spacing w:before="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Uncertainty in the existing policy measure is the major challenge in determining the wind firm development framework in the UK. In this context Murgas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p. 13), opined modification in policy measure increases opportunity to deal with project related disruption. As a result, the stability of the regulatory framework can be improved. It has been observed 11.22% respondents from Northern Ireland stated that credibility in capital flow can develop a better framework of performance management. It provides an opportunity to </w:t>
      </w:r>
      <w:r w:rsidR="007132D5">
        <w:rPr>
          <w:rFonts w:ascii="Times New Roman" w:eastAsia="Times New Roman" w:hAnsi="Times New Roman" w:cs="Times New Roman"/>
          <w:sz w:val="24"/>
          <w:szCs w:val="24"/>
        </w:rPr>
        <w:t>fulfil</w:t>
      </w:r>
      <w:r>
        <w:rPr>
          <w:rFonts w:ascii="Times New Roman" w:eastAsia="Times New Roman" w:hAnsi="Times New Roman" w:cs="Times New Roman"/>
          <w:sz w:val="24"/>
          <w:szCs w:val="24"/>
        </w:rPr>
        <w:t xml:space="preserve"> objectives 3 and 4 of the </w:t>
      </w:r>
      <w:r w:rsidR="008172AE">
        <w:rPr>
          <w:rFonts w:ascii="Times New Roman" w:eastAsia="Times New Roman" w:hAnsi="Times New Roman" w:cs="Times New Roman"/>
          <w:sz w:val="24"/>
          <w:szCs w:val="24"/>
        </w:rPr>
        <w:t>research</w:t>
      </w:r>
      <w:r>
        <w:rPr>
          <w:rFonts w:ascii="Times New Roman" w:eastAsia="Times New Roman" w:hAnsi="Times New Roman" w:cs="Times New Roman"/>
          <w:sz w:val="24"/>
          <w:szCs w:val="24"/>
        </w:rPr>
        <w:t>. Henceforth, the opinion of scholars and the viewpoint of participants are in perfect coordination. </w:t>
      </w:r>
    </w:p>
    <w:p w14:paraId="2F837EDD" w14:textId="77777777" w:rsidR="007C5593" w:rsidRDefault="000A5866">
      <w:pPr>
        <w:spacing w:before="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Flexibility in renewable wind energy policy is necessary to deal with the rapid challenges associated with investment decision-making. On this stance Taylor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p.19), stated that the UK has been experiencing speedy expansion of wind energy offshore through a gap observed in implementation of transmission technology. As per the view of 18.37% participants the need is to generate optimal energy conservation index and it will eventually help to increase resilience in energy management structure. Therefore, the opinion of scholars and viewpoint of participants are in partial coordination with each other. </w:t>
      </w:r>
    </w:p>
    <w:p w14:paraId="62A6B91A" w14:textId="77777777" w:rsidR="007C5593" w:rsidRDefault="000A5866">
      <w:pPr>
        <w:spacing w:before="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Grid support management framework is crucial to simplify the operational management process and helps to connect with the supply chain network. According to the opinion of Gebreslassie, </w:t>
      </w:r>
      <w:r>
        <w:rPr>
          <w:rFonts w:ascii="Times New Roman" w:eastAsia="Times New Roman" w:hAnsi="Times New Roman" w:cs="Times New Roman"/>
          <w:sz w:val="24"/>
          <w:szCs w:val="24"/>
        </w:rPr>
        <w:lastRenderedPageBreak/>
        <w:t>(2021, p.22), safety infrastructure management is necessary to deal with the challenges of performance management. Considering the opinion of 19.39% participants it can be stated that development of safety infrastructure is necessary to increase wind energy management. It provides an opportunity to meet objectives 1 to 4 of the study. Therefore, the opinion of scholars and the point of view of participants are in coordination with each other by dealing with the energy management challenge. </w:t>
      </w:r>
    </w:p>
    <w:p w14:paraId="31180BF7" w14:textId="77777777" w:rsidR="007C5593" w:rsidRDefault="000A5866">
      <w:pPr>
        <w:pStyle w:val="Heading2"/>
      </w:pPr>
      <w:bookmarkStart w:id="114" w:name="_heading=h.2ce457m" w:colFirst="0" w:colLast="0"/>
      <w:bookmarkEnd w:id="114"/>
      <w:r>
        <w:t>5.3 Conclusion</w:t>
      </w:r>
    </w:p>
    <w:p w14:paraId="028FBD54"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renewable wind energy can be referred to as an abundant, inexhaustible, and clean source that focuses on using the power of wind to develop electricity. The former “Central Electricity Generation Board” (CEGB) was actively engaged in exploring and showcasing renewable energy technologies during the mid-1970s and 1980s in the UK. It has been deduced in the research study that the renewable obligation certificate, a scheme for green certificates in the UK, effectively played a part in advancing the UK's energy and climate change objectives. In addition to this, the effectiveness of UK-government regulated renewable wind policies is considered as empirical by making the country a global leader in offshore wind. Maintenance of cost competitiveness and rapid pace of development becomes challenging. This is because of the rising supply chain costs and delays in auctions for new projects. Furthermore, it has been concluded that policies such as ROC and CfD have influenced to develop a highly attractive investment climate for domestic and global investors. This is particularly in the offshore market of the UK. </w:t>
      </w:r>
    </w:p>
    <w:p w14:paraId="5F5EF4A3"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policy of CfD plays a crucial aspect in creating stability in terms of economy within the UK renewable energy sector. It has been deduced that overcoming the revenue related challenges for developers by the following policy ensures a stable financial environment. The predictable and </w:t>
      </w:r>
      <w:r>
        <w:rPr>
          <w:rFonts w:ascii="Times New Roman" w:eastAsia="Times New Roman" w:hAnsi="Times New Roman" w:cs="Times New Roman"/>
          <w:sz w:val="24"/>
          <w:szCs w:val="24"/>
        </w:rPr>
        <w:lastRenderedPageBreak/>
        <w:t xml:space="preserve">stable financial environment is necessary for long term project planning and execution. Therefore, it can be summarised that the mechanism of CfD has significant economic activity in the wind energy industry of the United Kingdom. CfD therefore, encourages companies to initiate new wind projects underlining the stability and profitability of the industry. The policy has impacted and amplified the study flow of investment into the renewable energy industry of the UK. The CfD has further solidified wing energy as the cornerstone of the Nations renewable energy strategy. The combination of ROC and CFD policies together have driven the investment growth reducing rest and positioning wind energy as the highly attractive industry for the stakeholders in the United Kingdom. </w:t>
      </w:r>
    </w:p>
    <w:p w14:paraId="58DC091A" w14:textId="077C871A"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this the survey findings are categorised into demographics and </w:t>
      </w:r>
      <w:r w:rsidR="007132D5">
        <w:rPr>
          <w:rFonts w:ascii="Times New Roman" w:eastAsia="Times New Roman" w:hAnsi="Times New Roman" w:cs="Times New Roman"/>
          <w:sz w:val="24"/>
          <w:szCs w:val="24"/>
        </w:rPr>
        <w:t>non-demographic</w:t>
      </w:r>
      <w:r>
        <w:rPr>
          <w:rFonts w:ascii="Times New Roman" w:eastAsia="Times New Roman" w:hAnsi="Times New Roman" w:cs="Times New Roman"/>
          <w:sz w:val="24"/>
          <w:szCs w:val="24"/>
        </w:rPr>
        <w:t xml:space="preserve"> data presenting insights on the effectiveness of wind energy policies the responses have effectively reflected on the perspective of renewable energy policies driving its advocacy. The opinions aligned with the broader narrative of renewable energy as a viable solution to reducing greenhouse gas emission and improving the air quality. Thus, it can be summarised that the UK wind policies have also played a crucial role in driving down the expenses or cost of wind energy making it cost-effective sources of electricity. Renewable energy has increasingly been part of the electricity mix of the UK as alternative energy sources have been included in the electricity supply. .</w:t>
      </w:r>
    </w:p>
    <w:p w14:paraId="0C560CE8" w14:textId="77777777" w:rsidR="007C5593" w:rsidRDefault="000A5866">
      <w:pPr>
        <w:pStyle w:val="Heading2"/>
      </w:pPr>
      <w:bookmarkStart w:id="115" w:name="_heading=h.rjefff" w:colFirst="0" w:colLast="0"/>
      <w:bookmarkEnd w:id="115"/>
      <w:r>
        <w:t>5.4 Linking with Objectives</w:t>
      </w:r>
    </w:p>
    <w:p w14:paraId="5C39C751" w14:textId="77777777" w:rsidR="007C5593" w:rsidRPr="007132D5" w:rsidRDefault="000A5866">
      <w:pPr>
        <w:spacing w:line="48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Objective 1 involves </w:t>
      </w:r>
      <w:r>
        <w:rPr>
          <w:rFonts w:ascii="Times New Roman" w:eastAsia="Times New Roman" w:hAnsi="Times New Roman" w:cs="Times New Roman"/>
          <w:i/>
          <w:sz w:val="24"/>
          <w:szCs w:val="24"/>
        </w:rPr>
        <w:t xml:space="preserve">‘To analyse the evolution of wind energy policies in the UK by focusing on key policy instruments such as CfD and ROCs’. </w:t>
      </w:r>
      <w:r w:rsidRPr="007132D5">
        <w:rPr>
          <w:rFonts w:ascii="Times New Roman" w:eastAsia="Times New Roman" w:hAnsi="Times New Roman" w:cs="Times New Roman"/>
          <w:color w:val="000000" w:themeColor="text1"/>
          <w:sz w:val="24"/>
          <w:szCs w:val="24"/>
        </w:rPr>
        <w:t>The literature review establishes that the UK's renewable energy development stems from concerns about climate change, international environmental obligations, and the need for sustainable energy solutions.</w:t>
      </w:r>
      <w:sdt>
        <w:sdtPr>
          <w:rPr>
            <w:color w:val="000000" w:themeColor="text1"/>
          </w:rPr>
          <w:tag w:val="goog_rdk_0"/>
          <w:id w:val="4472035"/>
        </w:sdtPr>
        <w:sdtContent/>
      </w:sdt>
      <w:r w:rsidRPr="007132D5">
        <w:rPr>
          <w:rFonts w:ascii="Times New Roman" w:eastAsia="Times New Roman" w:hAnsi="Times New Roman" w:cs="Times New Roman"/>
          <w:color w:val="000000" w:themeColor="text1"/>
          <w:sz w:val="24"/>
          <w:szCs w:val="24"/>
        </w:rPr>
        <w:t xml:space="preserve"> The restructuring and </w:t>
      </w:r>
      <w:r w:rsidRPr="007132D5">
        <w:rPr>
          <w:rFonts w:ascii="Times New Roman" w:eastAsia="Times New Roman" w:hAnsi="Times New Roman" w:cs="Times New Roman"/>
          <w:color w:val="000000" w:themeColor="text1"/>
          <w:sz w:val="24"/>
          <w:szCs w:val="24"/>
        </w:rPr>
        <w:lastRenderedPageBreak/>
        <w:t>privatisation of the energy industry in the late 1970s and 1980s reshaped the UK energy market. However, the evolution of wind energy policies has been driven primarily by efforts to combat climate change and reduce greenhouse gas emissions.  This reflects a shift towards sustainability-focused frameworks, with policy instruments like CfD and ROCs aimed at enabling the transition to cleaner energy sources. In addition to this, it has been underlined in the chapter of findings that wind energy policies' potential to reduce pollution and promote sustainability. Therefore, effective policy instruments like CfD and ROCs are crucial for supporting the UK's renewable energy targets, driving wind energy growth, and advancing electricity sector decarbonisation to achieve sustainability goals.</w:t>
      </w:r>
    </w:p>
    <w:p w14:paraId="2FA0609E"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Objective 2 addresses </w:t>
      </w:r>
      <w:r>
        <w:rPr>
          <w:rFonts w:ascii="Times New Roman" w:eastAsia="Times New Roman" w:hAnsi="Times New Roman" w:cs="Times New Roman"/>
          <w:i/>
          <w:sz w:val="24"/>
          <w:szCs w:val="24"/>
        </w:rPr>
        <w:t xml:space="preserve">‘To assess the impacts of these policy frameworks on the improvement of both onshore and offshore wind energy projects through focusing on capacity expansion, investment growth, and cost competitiveness’. </w:t>
      </w:r>
      <w:r>
        <w:rPr>
          <w:rFonts w:ascii="Times New Roman" w:eastAsia="Times New Roman" w:hAnsi="Times New Roman" w:cs="Times New Roman"/>
          <w:sz w:val="24"/>
          <w:szCs w:val="24"/>
        </w:rPr>
        <w:t xml:space="preserve">It has been obtained from the literature review that the onshore wind was the second largest contributor to renewable electricity generation. This has also accounted for 27.4% of renewable generation and 9.1% of all electricity generation. The findings highlight a high number of people living near such renewable energy projects. Furthermore, the discussion concludes that </w:t>
      </w:r>
      <w:r w:rsidR="00795E7A">
        <w:rPr>
          <w:rFonts w:ascii="Times New Roman" w:eastAsia="Times New Roman" w:hAnsi="Times New Roman" w:cs="Times New Roman"/>
          <w:sz w:val="24"/>
          <w:szCs w:val="24"/>
        </w:rPr>
        <w:t>onshore and offshore wind energy projects imply</w:t>
      </w:r>
      <w:r>
        <w:rPr>
          <w:rFonts w:ascii="Times New Roman" w:eastAsia="Times New Roman" w:hAnsi="Times New Roman" w:cs="Times New Roman"/>
          <w:sz w:val="24"/>
          <w:szCs w:val="24"/>
        </w:rPr>
        <w:t xml:space="preserve"> that policies have been successful in encouraging the wide deployment of wind turbines. Thus, wind energy projects have been sufficiently integrated into UK communities. </w:t>
      </w:r>
    </w:p>
    <w:p w14:paraId="36A76058" w14:textId="0114411A"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third objective states </w:t>
      </w:r>
      <w:r>
        <w:rPr>
          <w:rFonts w:ascii="Times New Roman" w:eastAsia="Times New Roman" w:hAnsi="Times New Roman" w:cs="Times New Roman"/>
          <w:i/>
          <w:sz w:val="24"/>
          <w:szCs w:val="24"/>
        </w:rPr>
        <w:t xml:space="preserve">‘To assess public perceptions regarding wind energy effectiveness in the UK primary research using a questionnaire for acquiring public attitudes towards wind energy projects and government </w:t>
      </w:r>
      <w:r w:rsidR="008172AE">
        <w:rPr>
          <w:rFonts w:ascii="Times New Roman" w:eastAsia="Times New Roman" w:hAnsi="Times New Roman" w:cs="Times New Roman"/>
          <w:i/>
          <w:sz w:val="24"/>
          <w:szCs w:val="24"/>
        </w:rPr>
        <w:t>initiatives</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It has been determined that the non-demographic findings highlight that most of the participants believe that policies regarding wind turbine energy can help to mitigate air pollution issues. Additionally, most of the respondents have </w:t>
      </w:r>
      <w:r>
        <w:rPr>
          <w:rFonts w:ascii="Times New Roman" w:eastAsia="Times New Roman" w:hAnsi="Times New Roman" w:cs="Times New Roman"/>
          <w:sz w:val="24"/>
          <w:szCs w:val="24"/>
        </w:rPr>
        <w:lastRenderedPageBreak/>
        <w:t>perceived community engagement</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as important. Thus, indicating the public perception and attitude playing a crucial role in shaping perceptions of wind energy effectiveness in the UK.</w:t>
      </w:r>
    </w:p>
    <w:p w14:paraId="4E27ECBB"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fourth objective incorporates </w:t>
      </w:r>
      <w:r>
        <w:rPr>
          <w:rFonts w:ascii="Times New Roman" w:eastAsia="Times New Roman" w:hAnsi="Times New Roman" w:cs="Times New Roman"/>
          <w:i/>
          <w:sz w:val="24"/>
          <w:szCs w:val="24"/>
        </w:rPr>
        <w:t>‘To analyse secondary sources such as government reports, industry publications, and academic research for understanding progression of wind energy adoption in the UK’.</w:t>
      </w:r>
      <w:r>
        <w:rPr>
          <w:rFonts w:ascii="Times New Roman" w:eastAsia="Times New Roman" w:hAnsi="Times New Roman" w:cs="Times New Roman"/>
          <w:sz w:val="24"/>
          <w:szCs w:val="24"/>
        </w:rPr>
        <w:t xml:space="preserve"> It has been concluded in the literature review that the goal of the government is toward decarbonisation and the target to achieve net-zero emissions by the end of 2025. Thus, the analysis of secondary resources determines the development of a favourable policy environment for wind energy growth.</w:t>
      </w:r>
    </w:p>
    <w:p w14:paraId="6CB196D3" w14:textId="77777777" w:rsidR="007C5593" w:rsidRDefault="000A586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Objective 5 includes </w:t>
      </w:r>
      <w:r>
        <w:rPr>
          <w:rFonts w:ascii="Times New Roman" w:eastAsia="Times New Roman" w:hAnsi="Times New Roman" w:cs="Times New Roman"/>
          <w:i/>
          <w:sz w:val="24"/>
          <w:szCs w:val="24"/>
        </w:rPr>
        <w:t>‘To develop a comprehensive overview and concept regarding the outcomes of wind energy policies in the UK’.</w:t>
      </w:r>
      <w:r>
        <w:rPr>
          <w:rFonts w:ascii="Times New Roman" w:eastAsia="Times New Roman" w:hAnsi="Times New Roman" w:cs="Times New Roman"/>
          <w:sz w:val="24"/>
          <w:szCs w:val="24"/>
        </w:rPr>
        <w:t xml:space="preserve"> It has been underscored in the analysis of literature that wind energy offers future opportunities in terms of supporting high-skilled jobs and tackling the climate change crisis. Moreover, the findings underline public agreement, emphasising the effectiveness of these policies in achieving environmental goals. Thus, the outcomes are determined to be positive with respect to the wind energy policies in the UK. </w:t>
      </w:r>
    </w:p>
    <w:p w14:paraId="73F41522" w14:textId="77777777" w:rsidR="007C5593" w:rsidRDefault="000A5866" w:rsidP="00433615">
      <w:pPr>
        <w:pStyle w:val="Heading2"/>
      </w:pPr>
      <w:bookmarkStart w:id="116" w:name="_heading=h.3bj1y38" w:colFirst="0" w:colLast="0"/>
      <w:bookmarkEnd w:id="116"/>
      <w:r>
        <w:t>5.5 Recommendations</w:t>
      </w:r>
    </w:p>
    <w:p w14:paraId="75DBBC8C" w14:textId="77777777" w:rsidR="007C5593" w:rsidRDefault="000A5866">
      <w:pPr>
        <w:pStyle w:val="Heading3"/>
      </w:pPr>
      <w:bookmarkStart w:id="117" w:name="_heading=h.1qoc8b1" w:colFirst="0" w:colLast="0"/>
      <w:bookmarkEnd w:id="117"/>
      <w:r>
        <w:t>5.5.1 Strengthen Domestic Supply Chain and Workforce Development</w:t>
      </w:r>
    </w:p>
    <w:p w14:paraId="09DD492A" w14:textId="43DA267D" w:rsidR="007C5593" w:rsidRPr="007132D5" w:rsidRDefault="000A5866">
      <w:pPr>
        <w:spacing w:before="240" w:after="240" w:line="48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Targeted policies, including incentives for local manufacturing, skills training, and SME support, are essential to strengthen the domestic wind energy supply chain and ensure sustainable industry growth. Collaboration with industry leaders to address supply chain bottlenecks is essential to ensure efficient project delivery, reduce costs, and support the growth of a robust and competitive wind energy sector. Investing in education and vocational training focused on wind energy technologies can help build a skilled workforce to meet growing demands (Briggs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w:t>
      </w:r>
      <w:r w:rsidRPr="007132D5">
        <w:rPr>
          <w:rFonts w:ascii="Times New Roman" w:eastAsia="Times New Roman" w:hAnsi="Times New Roman" w:cs="Times New Roman"/>
          <w:color w:val="000000" w:themeColor="text1"/>
          <w:sz w:val="24"/>
          <w:szCs w:val="24"/>
        </w:rPr>
        <w:lastRenderedPageBreak/>
        <w:t xml:space="preserve">2022, p.5). Table 4.13 </w:t>
      </w:r>
      <w:sdt>
        <w:sdtPr>
          <w:rPr>
            <w:color w:val="000000" w:themeColor="text1"/>
          </w:rPr>
          <w:tag w:val="goog_rdk_1"/>
          <w:id w:val="4472036"/>
        </w:sdtPr>
        <w:sdtContent/>
      </w:sdt>
      <w:r w:rsidRPr="007132D5">
        <w:rPr>
          <w:rFonts w:ascii="Times New Roman" w:eastAsia="Times New Roman" w:hAnsi="Times New Roman" w:cs="Times New Roman"/>
          <w:color w:val="000000" w:themeColor="text1"/>
          <w:sz w:val="24"/>
          <w:szCs w:val="24"/>
        </w:rPr>
        <w:t>Survey results shows 75.75% of respondents (Combined with effective and highly effective) view wind energy policies as effective in ensuring energy stability, emphasizing the need to strengthen policy support for enhanced outcomes and industry growth. However, addressing the concerns of the 14.14</w:t>
      </w:r>
      <w:r w:rsidR="00BE6D39" w:rsidRPr="007132D5">
        <w:rPr>
          <w:rFonts w:ascii="Times New Roman" w:eastAsia="Times New Roman" w:hAnsi="Times New Roman" w:cs="Times New Roman"/>
          <w:color w:val="000000" w:themeColor="text1"/>
          <w:sz w:val="24"/>
          <w:szCs w:val="24"/>
        </w:rPr>
        <w:t>% participants</w:t>
      </w:r>
      <w:r w:rsidRPr="007132D5">
        <w:rPr>
          <w:rFonts w:ascii="Times New Roman" w:eastAsia="Times New Roman" w:hAnsi="Times New Roman" w:cs="Times New Roman"/>
          <w:color w:val="000000" w:themeColor="text1"/>
          <w:sz w:val="24"/>
          <w:szCs w:val="24"/>
        </w:rPr>
        <w:t xml:space="preserve"> who found policies ineffective highlights the need for targeted improvements in workforce training and supply chain efficiency. Hence, these initiatives can solidify the UK’s leadership in wind energy technology and address the sector’s </w:t>
      </w:r>
      <w:r w:rsidR="0037012F" w:rsidRPr="007132D5">
        <w:rPr>
          <w:rFonts w:ascii="Times New Roman" w:eastAsia="Times New Roman" w:hAnsi="Times New Roman" w:cs="Times New Roman"/>
          <w:color w:val="000000" w:themeColor="text1"/>
          <w:sz w:val="24"/>
          <w:szCs w:val="24"/>
        </w:rPr>
        <w:t>labour</w:t>
      </w:r>
      <w:r w:rsidRPr="007132D5">
        <w:rPr>
          <w:rFonts w:ascii="Times New Roman" w:eastAsia="Times New Roman" w:hAnsi="Times New Roman" w:cs="Times New Roman"/>
          <w:color w:val="000000" w:themeColor="text1"/>
          <w:sz w:val="24"/>
          <w:szCs w:val="24"/>
        </w:rPr>
        <w:t xml:space="preserve"> shortages. Therefore, by addressing inefficiencies and leveraging the majority’s positive sentiment, these initiatives can enhance the sector's effectiveness while solidifying the UK’s leadership in wind energy technology.</w:t>
      </w:r>
    </w:p>
    <w:p w14:paraId="094C7EF1" w14:textId="77777777" w:rsidR="007C5593" w:rsidRDefault="000A5866">
      <w:pPr>
        <w:pStyle w:val="Heading3"/>
      </w:pPr>
      <w:bookmarkStart w:id="118" w:name="_heading=h.4anzqyu" w:colFirst="0" w:colLast="0"/>
      <w:bookmarkEnd w:id="118"/>
      <w:r>
        <w:t>5.5.2 Improve Grid Infrastructure and Energy Storage Integration</w:t>
      </w:r>
    </w:p>
    <w:p w14:paraId="56AE9D3F" w14:textId="77777777" w:rsidR="007C5593" w:rsidRDefault="000A5866">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Significant investment in upgrading and expanding the national grid is necessary to accommodate the increasing capacity of wind energy. Improvement in grid infrastructure include developing smart grid technologies such as Phasor Measurement Units (PMUs), Advanced Metering Infrastructure (AMI) and improving energy storage solutions to address the intermittency of wind power (Khalid, 2024, p.12). A more flexible and resilient grid capable of high levels of renewable energy integration is needed to focus on by the government. According to the primary research findings, 65% of respondents noted that grid bottlenecks delayed project timelines significantly, underlining the urgency of these upgrades. Proactive grid development can directly enhance project feasibility and efficiency. Hence, policies need to support integrating wind energy, facilitating electrification of heating and transport, and maximize wind power utilization to ensure a reliable, sustainable energy supply for the future.</w:t>
      </w:r>
    </w:p>
    <w:p w14:paraId="03D34E7C" w14:textId="77777777" w:rsidR="007C5593" w:rsidRDefault="000A5866">
      <w:pPr>
        <w:pStyle w:val="Heading3"/>
      </w:pPr>
      <w:bookmarkStart w:id="119" w:name="_heading=h.2pta16n" w:colFirst="0" w:colLast="0"/>
      <w:bookmarkEnd w:id="119"/>
      <w:r>
        <w:t>5.5.3 Enhance Policy Consistency and Long-Term Support</w:t>
      </w:r>
    </w:p>
    <w:p w14:paraId="5C76A14B" w14:textId="77777777" w:rsidR="007C5593" w:rsidRDefault="000A5866">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The UK government needs to maintain consistent and long-term policy support for wind energy to ensure continued growth and investment in the sector. Enhancement policy includes extending and refining successful schemes like Contracts for Difference (CfD) and Renewable Obligation Certificates (ROCs) while adapting to address emerging challenges. Policy stability is crucial for investor confidence and project planning, allowing the government to set clear, ambitious targets for wind energy capacity beyond 2030, a roadmap for industry development (UK, 2024). Primary research reveals that 80% of participants view policy uncertainty as the largest barrier to investment, emphasizing the need for stability. Addressing these concerns can unlock significant private sector funding for the wind energy sector. Therefore, renewable energy projects can be sped up considerably by establishing dedicated fast track approval channels, helping to reach the UK’s Net Zero targets and energy security goals.</w:t>
      </w:r>
    </w:p>
    <w:p w14:paraId="4E16A791" w14:textId="77777777" w:rsidR="007C5593" w:rsidRDefault="000A5866">
      <w:pPr>
        <w:pStyle w:val="Heading2"/>
      </w:pPr>
      <w:bookmarkStart w:id="120" w:name="_heading=h.14ykbeg" w:colFirst="0" w:colLast="0"/>
      <w:bookmarkEnd w:id="120"/>
      <w:r>
        <w:t>5.6 Research Limitations</w:t>
      </w:r>
    </w:p>
    <w:p w14:paraId="5627400A" w14:textId="785F6B49" w:rsidR="007C5593" w:rsidRDefault="000A5866">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has interpreted several study limitations that can lead to low generalizability, low relevance, and low accuracy relates to the applicability of policy and to industry developments. These conclusions are not globally applicable in other contexts since the policy has been focused on the UK region only. Moreover, with the fast pace of the wind energy sector, some conclusions are likely to age and thus become much less relevant in a very short </w:t>
      </w:r>
      <w:r w:rsidR="008172AE">
        <w:rPr>
          <w:rFonts w:ascii="Times New Roman" w:eastAsia="Times New Roman" w:hAnsi="Times New Roman" w:cs="Times New Roman"/>
          <w:sz w:val="24"/>
          <w:szCs w:val="24"/>
        </w:rPr>
        <w:t>time</w:t>
      </w:r>
      <w:r>
        <w:rPr>
          <w:rFonts w:ascii="Times New Roman" w:eastAsia="Times New Roman" w:hAnsi="Times New Roman" w:cs="Times New Roman"/>
          <w:sz w:val="24"/>
          <w:szCs w:val="24"/>
        </w:rPr>
        <w:t>. In addition, relying on the literature that is available cannot encompass the most current policy changes or industry evolutions that could drastically influence research outcomes. Hence, due to limited comparison to other renewable resources, the scope is contained to wind energy.</w:t>
      </w:r>
    </w:p>
    <w:p w14:paraId="3AD09BB8" w14:textId="77777777" w:rsidR="007C5593" w:rsidRDefault="000A5866">
      <w:pPr>
        <w:pStyle w:val="Heading2"/>
      </w:pPr>
      <w:bookmarkStart w:id="121" w:name="_heading=h.3oy7u29" w:colFirst="0" w:colLast="0"/>
      <w:bookmarkEnd w:id="121"/>
      <w:r>
        <w:lastRenderedPageBreak/>
        <w:t>5.7 Future Scope</w:t>
      </w:r>
    </w:p>
    <w:p w14:paraId="6FF2C4BF" w14:textId="77777777" w:rsidR="007C5593" w:rsidRDefault="000A5866">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Future work in this area can include comparative analysis of wind energy policy in other countries, to learn from and improve upon UK practice. Assessment of the long-term impacts of wind energy policies on electricity prices, and energy security can require in depth economic modelling. The analysis of integration of wind energy with other renewable resources, and emerging technologies, like green hydrogen production, can also be useful to meet the research objectives. Hence, the investigations can produce important findings for industry stakeholders and policymakers on funding mechanisms and policy instruments that accelerate the shift to a low carbon economy.</w:t>
      </w:r>
    </w:p>
    <w:p w14:paraId="4F72CA99" w14:textId="77777777" w:rsidR="007C5593" w:rsidRDefault="000A5866">
      <w:pPr>
        <w:spacing w:line="480" w:lineRule="auto"/>
        <w:rPr>
          <w:rFonts w:ascii="Times New Roman" w:eastAsia="Times New Roman" w:hAnsi="Times New Roman" w:cs="Times New Roman"/>
          <w:sz w:val="24"/>
          <w:szCs w:val="24"/>
        </w:rPr>
      </w:pPr>
      <w:r>
        <w:br w:type="page"/>
      </w:r>
    </w:p>
    <w:p w14:paraId="01D32920" w14:textId="77777777" w:rsidR="007C5593" w:rsidRPr="008172AE" w:rsidRDefault="000A5866" w:rsidP="008172AE">
      <w:pPr>
        <w:pStyle w:val="Heading1"/>
        <w:jc w:val="center"/>
        <w:rPr>
          <w:color w:val="000000" w:themeColor="text1"/>
        </w:rPr>
      </w:pPr>
      <w:bookmarkStart w:id="122" w:name="_heading=h.243i4a2" w:colFirst="0" w:colLast="0"/>
      <w:bookmarkEnd w:id="122"/>
      <w:r w:rsidRPr="008172AE">
        <w:rPr>
          <w:color w:val="000000" w:themeColor="text1"/>
        </w:rPr>
        <w:lastRenderedPageBreak/>
        <w:t>Reference List</w:t>
      </w:r>
    </w:p>
    <w:p w14:paraId="1CDD666D" w14:textId="52DA3BC3" w:rsidR="007C5593" w:rsidRPr="008172AE" w:rsidRDefault="000A5866" w:rsidP="008172AE">
      <w:pP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t xml:space="preserve">Agarwal, S., </w:t>
      </w:r>
      <w:r w:rsidR="008172AE" w:rsidRPr="008172AE">
        <w:rPr>
          <w:rFonts w:ascii="Times New Roman" w:eastAsia="Times New Roman" w:hAnsi="Times New Roman" w:cs="Times New Roman"/>
          <w:color w:val="000000" w:themeColor="text1"/>
          <w:sz w:val="24"/>
          <w:szCs w:val="24"/>
          <w:highlight w:val="white"/>
        </w:rPr>
        <w:t>Lanka</w:t>
      </w:r>
      <w:r w:rsidRPr="008172AE">
        <w:rPr>
          <w:rFonts w:ascii="Times New Roman" w:eastAsia="Times New Roman" w:hAnsi="Times New Roman" w:cs="Times New Roman"/>
          <w:color w:val="000000" w:themeColor="text1"/>
          <w:sz w:val="24"/>
          <w:szCs w:val="24"/>
          <w:highlight w:val="white"/>
        </w:rPr>
        <w:t xml:space="preserve">, U., Singh, K., Agrawal, V. and Agrawal, A.M., (2020). ‘A qualitative approach towards crucial factors for sustainable development of women social entrepreneurship: Indian </w:t>
      </w:r>
      <w:proofErr w:type="gramStart"/>
      <w:r w:rsidRPr="008172AE">
        <w:rPr>
          <w:rFonts w:ascii="Times New Roman" w:eastAsia="Times New Roman" w:hAnsi="Times New Roman" w:cs="Times New Roman"/>
          <w:color w:val="000000" w:themeColor="text1"/>
          <w:sz w:val="24"/>
          <w:szCs w:val="24"/>
          <w:highlight w:val="white"/>
        </w:rPr>
        <w:t>cases’</w:t>
      </w:r>
      <w:proofErr w:type="gramEnd"/>
      <w:r w:rsidRPr="008172AE">
        <w:rPr>
          <w:rFonts w:ascii="Times New Roman" w:eastAsia="Times New Roman" w:hAnsi="Times New Roman" w:cs="Times New Roman"/>
          <w:color w:val="000000" w:themeColor="text1"/>
          <w:sz w:val="24"/>
          <w:szCs w:val="24"/>
          <w:highlight w:val="white"/>
        </w:rPr>
        <w:t>. </w:t>
      </w:r>
      <w:r w:rsidRPr="008172AE">
        <w:rPr>
          <w:rFonts w:ascii="Times New Roman" w:eastAsia="Times New Roman" w:hAnsi="Times New Roman" w:cs="Times New Roman"/>
          <w:i/>
          <w:color w:val="000000" w:themeColor="text1"/>
          <w:sz w:val="24"/>
          <w:szCs w:val="24"/>
          <w:highlight w:val="white"/>
        </w:rPr>
        <w:t>Journal of Cleaner Production</w:t>
      </w:r>
      <w:r w:rsidRPr="008172AE">
        <w:rPr>
          <w:rFonts w:ascii="Times New Roman" w:eastAsia="Times New Roman" w:hAnsi="Times New Roman" w:cs="Times New Roman"/>
          <w:color w:val="000000" w:themeColor="text1"/>
          <w:sz w:val="24"/>
          <w:szCs w:val="24"/>
          <w:highlight w:val="white"/>
        </w:rPr>
        <w:t>, </w:t>
      </w:r>
      <w:r w:rsidRPr="008172AE">
        <w:rPr>
          <w:rFonts w:ascii="Times New Roman" w:eastAsia="Times New Roman" w:hAnsi="Times New Roman" w:cs="Times New Roman"/>
          <w:i/>
          <w:color w:val="000000" w:themeColor="text1"/>
          <w:sz w:val="24"/>
          <w:szCs w:val="24"/>
          <w:highlight w:val="white"/>
        </w:rPr>
        <w:t>274</w:t>
      </w:r>
      <w:r w:rsidRPr="008172AE">
        <w:rPr>
          <w:rFonts w:ascii="Times New Roman" w:eastAsia="Times New Roman" w:hAnsi="Times New Roman" w:cs="Times New Roman"/>
          <w:color w:val="000000" w:themeColor="text1"/>
          <w:sz w:val="24"/>
          <w:szCs w:val="24"/>
          <w:highlight w:val="white"/>
        </w:rPr>
        <w:t xml:space="preserve">, p.123135. </w:t>
      </w:r>
      <w:hyperlink r:id="rId43">
        <w:r w:rsidRPr="008172AE">
          <w:rPr>
            <w:rFonts w:ascii="Times New Roman" w:eastAsia="Times New Roman" w:hAnsi="Times New Roman" w:cs="Times New Roman"/>
            <w:color w:val="000000" w:themeColor="text1"/>
            <w:sz w:val="24"/>
            <w:szCs w:val="24"/>
            <w:highlight w:val="white"/>
            <w:u w:val="single"/>
          </w:rPr>
          <w:t>https://www.sciencedirect.com/science/article/pii/S0959652620331802</w:t>
        </w:r>
      </w:hyperlink>
    </w:p>
    <w:p w14:paraId="74AF271C"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Aldersey-Williams, J., Broadbent, I.D. and Strachan, P.A. (2020). Analysis of United Kingdom offshore wind farm performance using public data: Improving the evidence base for policymaking. </w:t>
      </w:r>
      <w:r w:rsidRPr="008172AE">
        <w:rPr>
          <w:rFonts w:ascii="Times New Roman" w:eastAsia="Times New Roman" w:hAnsi="Times New Roman" w:cs="Times New Roman"/>
          <w:i/>
          <w:color w:val="000000" w:themeColor="text1"/>
          <w:sz w:val="24"/>
          <w:szCs w:val="24"/>
        </w:rPr>
        <w:t>Utilities policy</w:t>
      </w:r>
      <w:r w:rsidRPr="008172AE">
        <w:rPr>
          <w:rFonts w:ascii="Times New Roman" w:eastAsia="Times New Roman" w:hAnsi="Times New Roman" w:cs="Times New Roman"/>
          <w:color w:val="000000" w:themeColor="text1"/>
          <w:sz w:val="24"/>
          <w:szCs w:val="24"/>
        </w:rPr>
        <w:t xml:space="preserve">, </w:t>
      </w:r>
      <w:r w:rsidRPr="008172AE">
        <w:rPr>
          <w:rFonts w:ascii="Times New Roman" w:eastAsia="Times New Roman" w:hAnsi="Times New Roman" w:cs="Times New Roman"/>
          <w:i/>
          <w:color w:val="000000" w:themeColor="text1"/>
          <w:sz w:val="24"/>
          <w:szCs w:val="24"/>
        </w:rPr>
        <w:t>62</w:t>
      </w:r>
      <w:r w:rsidRPr="008172AE">
        <w:rPr>
          <w:rFonts w:ascii="Times New Roman" w:eastAsia="Times New Roman" w:hAnsi="Times New Roman" w:cs="Times New Roman"/>
          <w:color w:val="000000" w:themeColor="text1"/>
          <w:sz w:val="24"/>
          <w:szCs w:val="24"/>
        </w:rPr>
        <w:t>, p.100985.</w:t>
      </w:r>
    </w:p>
    <w:p w14:paraId="7E7C40E6"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u w:val="single"/>
        </w:rPr>
      </w:pPr>
      <w:r w:rsidRPr="008172AE">
        <w:rPr>
          <w:rFonts w:ascii="Times New Roman" w:eastAsia="Times New Roman" w:hAnsi="Times New Roman" w:cs="Times New Roman"/>
          <w:color w:val="000000" w:themeColor="text1"/>
          <w:sz w:val="24"/>
          <w:szCs w:val="24"/>
        </w:rPr>
        <w:t xml:space="preserve">Alharahsheh, H.H. and Pius, A. (2020). ‘A review of key paradigms: Positivism VS interpretivism’. </w:t>
      </w:r>
      <w:r w:rsidRPr="008172AE">
        <w:rPr>
          <w:rFonts w:ascii="Times New Roman" w:eastAsia="Times New Roman" w:hAnsi="Times New Roman" w:cs="Times New Roman"/>
          <w:i/>
          <w:color w:val="000000" w:themeColor="text1"/>
          <w:sz w:val="24"/>
          <w:szCs w:val="24"/>
        </w:rPr>
        <w:t>Global Academic Journal of Humanities and Social Sciences</w:t>
      </w:r>
      <w:r w:rsidRPr="008172AE">
        <w:rPr>
          <w:rFonts w:ascii="Times New Roman" w:eastAsia="Times New Roman" w:hAnsi="Times New Roman" w:cs="Times New Roman"/>
          <w:color w:val="000000" w:themeColor="text1"/>
          <w:sz w:val="24"/>
          <w:szCs w:val="24"/>
        </w:rPr>
        <w:t xml:space="preserve">, </w:t>
      </w:r>
      <w:r w:rsidRPr="008172AE">
        <w:rPr>
          <w:rFonts w:ascii="Times New Roman" w:eastAsia="Times New Roman" w:hAnsi="Times New Roman" w:cs="Times New Roman"/>
          <w:i/>
          <w:color w:val="000000" w:themeColor="text1"/>
          <w:sz w:val="24"/>
          <w:szCs w:val="24"/>
        </w:rPr>
        <w:t>2</w:t>
      </w:r>
      <w:r w:rsidRPr="008172AE">
        <w:rPr>
          <w:rFonts w:ascii="Times New Roman" w:eastAsia="Times New Roman" w:hAnsi="Times New Roman" w:cs="Times New Roman"/>
          <w:color w:val="000000" w:themeColor="text1"/>
          <w:sz w:val="24"/>
          <w:szCs w:val="24"/>
        </w:rPr>
        <w:t>(3), pp.39-43.</w:t>
      </w:r>
      <w:hyperlink r:id="rId44">
        <w:r w:rsidRPr="008172AE">
          <w:rPr>
            <w:rFonts w:ascii="Times New Roman" w:eastAsia="Times New Roman" w:hAnsi="Times New Roman" w:cs="Times New Roman"/>
            <w:color w:val="000000" w:themeColor="text1"/>
            <w:sz w:val="24"/>
            <w:szCs w:val="24"/>
            <w:u w:val="single"/>
          </w:rPr>
          <w:t>https://gajrc.com/media/articles/GAJHSS_23_39-43_VMGJbOK.pdf</w:t>
        </w:r>
      </w:hyperlink>
    </w:p>
    <w:p w14:paraId="7FD2AEC3"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u w:val="single"/>
        </w:rPr>
      </w:pPr>
      <w:r w:rsidRPr="008172AE">
        <w:rPr>
          <w:rFonts w:ascii="Times New Roman" w:eastAsia="Times New Roman" w:hAnsi="Times New Roman" w:cs="Times New Roman"/>
          <w:color w:val="000000" w:themeColor="text1"/>
          <w:sz w:val="24"/>
          <w:szCs w:val="24"/>
        </w:rPr>
        <w:t xml:space="preserve">Alturki, R. (2021). ‘Research Onion for Smart IoT‐Enabled Mobile Applications’. </w:t>
      </w:r>
      <w:r w:rsidRPr="008172AE">
        <w:rPr>
          <w:rFonts w:ascii="Times New Roman" w:eastAsia="Times New Roman" w:hAnsi="Times New Roman" w:cs="Times New Roman"/>
          <w:i/>
          <w:color w:val="000000" w:themeColor="text1"/>
          <w:sz w:val="24"/>
          <w:szCs w:val="24"/>
        </w:rPr>
        <w:t>Scientific programming</w:t>
      </w:r>
      <w:r w:rsidRPr="008172AE">
        <w:rPr>
          <w:rFonts w:ascii="Times New Roman" w:eastAsia="Times New Roman" w:hAnsi="Times New Roman" w:cs="Times New Roman"/>
          <w:color w:val="000000" w:themeColor="text1"/>
          <w:sz w:val="24"/>
          <w:szCs w:val="24"/>
        </w:rPr>
        <w:t xml:space="preserve">, </w:t>
      </w:r>
      <w:r w:rsidRPr="008172AE">
        <w:rPr>
          <w:rFonts w:ascii="Times New Roman" w:eastAsia="Times New Roman" w:hAnsi="Times New Roman" w:cs="Times New Roman"/>
          <w:i/>
          <w:color w:val="000000" w:themeColor="text1"/>
          <w:sz w:val="24"/>
          <w:szCs w:val="24"/>
        </w:rPr>
        <w:t>2021</w:t>
      </w:r>
      <w:r w:rsidRPr="008172AE">
        <w:rPr>
          <w:rFonts w:ascii="Times New Roman" w:eastAsia="Times New Roman" w:hAnsi="Times New Roman" w:cs="Times New Roman"/>
          <w:color w:val="000000" w:themeColor="text1"/>
          <w:sz w:val="24"/>
          <w:szCs w:val="24"/>
        </w:rPr>
        <w:t>(1), p.4270998.</w:t>
      </w:r>
      <w:hyperlink r:id="rId45">
        <w:r w:rsidRPr="008172AE">
          <w:rPr>
            <w:rFonts w:ascii="Times New Roman" w:eastAsia="Times New Roman" w:hAnsi="Times New Roman" w:cs="Times New Roman"/>
            <w:color w:val="000000" w:themeColor="text1"/>
            <w:sz w:val="24"/>
            <w:szCs w:val="24"/>
            <w:u w:val="single"/>
          </w:rPr>
          <w:t>https://onlinelibrary.wiley.com/doi/pdf/10.1155/2021/4270998</w:t>
        </w:r>
      </w:hyperlink>
    </w:p>
    <w:p w14:paraId="50876EBE"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highlight w:val="white"/>
        </w:rPr>
        <w:t xml:space="preserve">Andiyappillai, N., (2021), February. An analysis of the impact of automation on supply chain performance in logistics companies. In </w:t>
      </w:r>
      <w:r w:rsidRPr="008172AE">
        <w:rPr>
          <w:rFonts w:ascii="Times New Roman" w:eastAsia="Times New Roman" w:hAnsi="Times New Roman" w:cs="Times New Roman"/>
          <w:i/>
          <w:color w:val="000000" w:themeColor="text1"/>
          <w:sz w:val="24"/>
          <w:szCs w:val="24"/>
          <w:highlight w:val="white"/>
        </w:rPr>
        <w:t>IOP Conference Series: Materials Science and Engineering</w:t>
      </w:r>
      <w:r w:rsidRPr="008172AE">
        <w:rPr>
          <w:rFonts w:ascii="Times New Roman" w:eastAsia="Times New Roman" w:hAnsi="Times New Roman" w:cs="Times New Roman"/>
          <w:color w:val="000000" w:themeColor="text1"/>
          <w:sz w:val="24"/>
          <w:szCs w:val="24"/>
          <w:highlight w:val="white"/>
        </w:rPr>
        <w:t xml:space="preserve"> (Vol. 1055, No. 1, p. 012055). IOP Publishing. </w:t>
      </w:r>
      <w:hyperlink r:id="rId46">
        <w:r w:rsidRPr="008172AE">
          <w:rPr>
            <w:rFonts w:ascii="Times New Roman" w:eastAsia="Times New Roman" w:hAnsi="Times New Roman" w:cs="Times New Roman"/>
            <w:color w:val="000000" w:themeColor="text1"/>
            <w:sz w:val="24"/>
            <w:szCs w:val="24"/>
            <w:highlight w:val="white"/>
            <w:u w:val="single"/>
          </w:rPr>
          <w:t>https://iopscience.iop.org/article/10.1088/1757-899X/1055/1/012055/pdf</w:t>
        </w:r>
      </w:hyperlink>
    </w:p>
    <w:p w14:paraId="76B04B42"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proofErr w:type="spellStart"/>
      <w:r w:rsidRPr="008172AE">
        <w:rPr>
          <w:rFonts w:ascii="Times New Roman" w:eastAsia="Times New Roman" w:hAnsi="Times New Roman" w:cs="Times New Roman"/>
          <w:color w:val="000000" w:themeColor="text1"/>
          <w:sz w:val="24"/>
          <w:szCs w:val="24"/>
        </w:rPr>
        <w:t>Azhgaliyeva</w:t>
      </w:r>
      <w:proofErr w:type="spellEnd"/>
      <w:r w:rsidRPr="008172AE">
        <w:rPr>
          <w:rFonts w:ascii="Times New Roman" w:eastAsia="Times New Roman" w:hAnsi="Times New Roman" w:cs="Times New Roman"/>
          <w:color w:val="000000" w:themeColor="text1"/>
          <w:sz w:val="24"/>
          <w:szCs w:val="24"/>
        </w:rPr>
        <w:t xml:space="preserve">, D., </w:t>
      </w:r>
      <w:proofErr w:type="spellStart"/>
      <w:r w:rsidRPr="008172AE">
        <w:rPr>
          <w:rFonts w:ascii="Times New Roman" w:eastAsia="Times New Roman" w:hAnsi="Times New Roman" w:cs="Times New Roman"/>
          <w:color w:val="000000" w:themeColor="text1"/>
          <w:sz w:val="24"/>
          <w:szCs w:val="24"/>
        </w:rPr>
        <w:t>Belitski</w:t>
      </w:r>
      <w:proofErr w:type="spellEnd"/>
      <w:r w:rsidRPr="008172AE">
        <w:rPr>
          <w:rFonts w:ascii="Times New Roman" w:eastAsia="Times New Roman" w:hAnsi="Times New Roman" w:cs="Times New Roman"/>
          <w:color w:val="000000" w:themeColor="text1"/>
          <w:sz w:val="24"/>
          <w:szCs w:val="24"/>
        </w:rPr>
        <w:t xml:space="preserve">, M., </w:t>
      </w:r>
      <w:proofErr w:type="spellStart"/>
      <w:r w:rsidRPr="008172AE">
        <w:rPr>
          <w:rFonts w:ascii="Times New Roman" w:eastAsia="Times New Roman" w:hAnsi="Times New Roman" w:cs="Times New Roman"/>
          <w:color w:val="000000" w:themeColor="text1"/>
          <w:sz w:val="24"/>
          <w:szCs w:val="24"/>
        </w:rPr>
        <w:t>Kalyuzhnova</w:t>
      </w:r>
      <w:proofErr w:type="spellEnd"/>
      <w:r w:rsidRPr="008172AE">
        <w:rPr>
          <w:rFonts w:ascii="Times New Roman" w:eastAsia="Times New Roman" w:hAnsi="Times New Roman" w:cs="Times New Roman"/>
          <w:color w:val="000000" w:themeColor="text1"/>
          <w:sz w:val="24"/>
          <w:szCs w:val="24"/>
        </w:rPr>
        <w:t xml:space="preserve">, Y. and Romanov, M., (2018). ‘Policy instruments for renewable energy: an empirical evaluation of effectiveness’. </w:t>
      </w:r>
      <w:r w:rsidRPr="008172AE">
        <w:rPr>
          <w:rFonts w:ascii="Times New Roman" w:eastAsia="Times New Roman" w:hAnsi="Times New Roman" w:cs="Times New Roman"/>
          <w:i/>
          <w:color w:val="000000" w:themeColor="text1"/>
          <w:sz w:val="24"/>
          <w:szCs w:val="24"/>
        </w:rPr>
        <w:t>International Journal of Technology Intelligence and Planning</w:t>
      </w:r>
      <w:r w:rsidRPr="008172AE">
        <w:rPr>
          <w:rFonts w:ascii="Times New Roman" w:eastAsia="Times New Roman" w:hAnsi="Times New Roman" w:cs="Times New Roman"/>
          <w:color w:val="000000" w:themeColor="text1"/>
          <w:sz w:val="24"/>
          <w:szCs w:val="24"/>
        </w:rPr>
        <w:t xml:space="preserve">, </w:t>
      </w:r>
      <w:r w:rsidRPr="008172AE">
        <w:rPr>
          <w:rFonts w:ascii="Times New Roman" w:eastAsia="Times New Roman" w:hAnsi="Times New Roman" w:cs="Times New Roman"/>
          <w:i/>
          <w:color w:val="000000" w:themeColor="text1"/>
          <w:sz w:val="24"/>
          <w:szCs w:val="24"/>
        </w:rPr>
        <w:t>12</w:t>
      </w:r>
      <w:r w:rsidRPr="008172AE">
        <w:rPr>
          <w:rFonts w:ascii="Times New Roman" w:eastAsia="Times New Roman" w:hAnsi="Times New Roman" w:cs="Times New Roman"/>
          <w:color w:val="000000" w:themeColor="text1"/>
          <w:sz w:val="24"/>
          <w:szCs w:val="24"/>
        </w:rPr>
        <w:t xml:space="preserve">(1), pp.24-48. 2.3 </w:t>
      </w:r>
    </w:p>
    <w:p w14:paraId="644413D1"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lastRenderedPageBreak/>
        <w:t xml:space="preserve">Bazurli, R. and Kaufmann, D., (2023). Insurgent asylum policies in European cities: A multi-level governance perspective. </w:t>
      </w:r>
      <w:r w:rsidRPr="008172AE">
        <w:rPr>
          <w:rFonts w:ascii="Times New Roman" w:eastAsia="Times New Roman" w:hAnsi="Times New Roman" w:cs="Times New Roman"/>
          <w:i/>
          <w:color w:val="000000" w:themeColor="text1"/>
          <w:sz w:val="24"/>
          <w:szCs w:val="24"/>
          <w:highlight w:val="white"/>
        </w:rPr>
        <w:t>Urban Affairs Review</w:t>
      </w:r>
      <w:r w:rsidRPr="008172AE">
        <w:rPr>
          <w:rFonts w:ascii="Times New Roman" w:eastAsia="Times New Roman" w:hAnsi="Times New Roman" w:cs="Times New Roman"/>
          <w:color w:val="000000" w:themeColor="text1"/>
          <w:sz w:val="24"/>
          <w:szCs w:val="24"/>
          <w:highlight w:val="white"/>
        </w:rPr>
        <w:t xml:space="preserve">, </w:t>
      </w:r>
      <w:r w:rsidRPr="008172AE">
        <w:rPr>
          <w:rFonts w:ascii="Times New Roman" w:eastAsia="Times New Roman" w:hAnsi="Times New Roman" w:cs="Times New Roman"/>
          <w:i/>
          <w:color w:val="000000" w:themeColor="text1"/>
          <w:sz w:val="24"/>
          <w:szCs w:val="24"/>
          <w:highlight w:val="white"/>
        </w:rPr>
        <w:t>59</w:t>
      </w:r>
      <w:r w:rsidRPr="008172AE">
        <w:rPr>
          <w:rFonts w:ascii="Times New Roman" w:eastAsia="Times New Roman" w:hAnsi="Times New Roman" w:cs="Times New Roman"/>
          <w:color w:val="000000" w:themeColor="text1"/>
          <w:sz w:val="24"/>
          <w:szCs w:val="24"/>
          <w:highlight w:val="white"/>
        </w:rPr>
        <w:t xml:space="preserve">(4), pp.1129-1159. </w:t>
      </w:r>
      <w:hyperlink r:id="rId47">
        <w:r w:rsidRPr="008172AE">
          <w:rPr>
            <w:rFonts w:ascii="Times New Roman" w:eastAsia="Times New Roman" w:hAnsi="Times New Roman" w:cs="Times New Roman"/>
            <w:color w:val="000000" w:themeColor="text1"/>
            <w:sz w:val="24"/>
            <w:szCs w:val="24"/>
            <w:highlight w:val="white"/>
            <w:u w:val="single"/>
          </w:rPr>
          <w:t>https://journals.sagepub.com/doi/pdf/10.1177/10780874221091594</w:t>
        </w:r>
      </w:hyperlink>
    </w:p>
    <w:p w14:paraId="22B9280C" w14:textId="77777777" w:rsidR="007C5593" w:rsidRPr="008172AE" w:rsidRDefault="000A5866" w:rsidP="008172AE">
      <w:pPr>
        <w:spacing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Briggs, C., Atherton, A., Gill, J., Langdon, R., </w:t>
      </w:r>
      <w:proofErr w:type="spellStart"/>
      <w:r w:rsidRPr="008172AE">
        <w:rPr>
          <w:rFonts w:ascii="Times New Roman" w:eastAsia="Times New Roman" w:hAnsi="Times New Roman" w:cs="Times New Roman"/>
          <w:color w:val="000000" w:themeColor="text1"/>
          <w:sz w:val="24"/>
          <w:szCs w:val="24"/>
        </w:rPr>
        <w:t>Rutovitz</w:t>
      </w:r>
      <w:proofErr w:type="spellEnd"/>
      <w:r w:rsidRPr="008172AE">
        <w:rPr>
          <w:rFonts w:ascii="Times New Roman" w:eastAsia="Times New Roman" w:hAnsi="Times New Roman" w:cs="Times New Roman"/>
          <w:color w:val="000000" w:themeColor="text1"/>
          <w:sz w:val="24"/>
          <w:szCs w:val="24"/>
        </w:rPr>
        <w:t xml:space="preserve">, J. and </w:t>
      </w:r>
      <w:proofErr w:type="spellStart"/>
      <w:r w:rsidRPr="008172AE">
        <w:rPr>
          <w:rFonts w:ascii="Times New Roman" w:eastAsia="Times New Roman" w:hAnsi="Times New Roman" w:cs="Times New Roman"/>
          <w:color w:val="000000" w:themeColor="text1"/>
          <w:sz w:val="24"/>
          <w:szCs w:val="24"/>
        </w:rPr>
        <w:t>Nagrath</w:t>
      </w:r>
      <w:proofErr w:type="spellEnd"/>
      <w:r w:rsidRPr="008172AE">
        <w:rPr>
          <w:rFonts w:ascii="Times New Roman" w:eastAsia="Times New Roman" w:hAnsi="Times New Roman" w:cs="Times New Roman"/>
          <w:color w:val="000000" w:themeColor="text1"/>
          <w:sz w:val="24"/>
          <w:szCs w:val="24"/>
        </w:rPr>
        <w:t xml:space="preserve">, K., (2022). Building a ‘Fair and </w:t>
      </w:r>
      <w:proofErr w:type="spellStart"/>
      <w:r w:rsidRPr="008172AE">
        <w:rPr>
          <w:rFonts w:ascii="Times New Roman" w:eastAsia="Times New Roman" w:hAnsi="Times New Roman" w:cs="Times New Roman"/>
          <w:color w:val="000000" w:themeColor="text1"/>
          <w:sz w:val="24"/>
          <w:szCs w:val="24"/>
        </w:rPr>
        <w:t>Fast’energy</w:t>
      </w:r>
      <w:proofErr w:type="spellEnd"/>
      <w:r w:rsidRPr="008172AE">
        <w:rPr>
          <w:rFonts w:ascii="Times New Roman" w:eastAsia="Times New Roman" w:hAnsi="Times New Roman" w:cs="Times New Roman"/>
          <w:color w:val="000000" w:themeColor="text1"/>
          <w:sz w:val="24"/>
          <w:szCs w:val="24"/>
        </w:rPr>
        <w:t xml:space="preserve"> transition? Renewable energy employment, skill shortages and social licence in regional areas. </w:t>
      </w:r>
      <w:r w:rsidRPr="008172AE">
        <w:rPr>
          <w:rFonts w:ascii="Times New Roman" w:eastAsia="Times New Roman" w:hAnsi="Times New Roman" w:cs="Times New Roman"/>
          <w:i/>
          <w:color w:val="000000" w:themeColor="text1"/>
          <w:sz w:val="24"/>
          <w:szCs w:val="24"/>
        </w:rPr>
        <w:t>Renewable and Sustainable Energy Transition</w:t>
      </w:r>
      <w:r w:rsidRPr="008172AE">
        <w:rPr>
          <w:rFonts w:ascii="Times New Roman" w:eastAsia="Times New Roman" w:hAnsi="Times New Roman" w:cs="Times New Roman"/>
          <w:color w:val="000000" w:themeColor="text1"/>
          <w:sz w:val="24"/>
          <w:szCs w:val="24"/>
        </w:rPr>
        <w:t xml:space="preserve">, </w:t>
      </w:r>
      <w:r w:rsidRPr="008172AE">
        <w:rPr>
          <w:rFonts w:ascii="Times New Roman" w:eastAsia="Times New Roman" w:hAnsi="Times New Roman" w:cs="Times New Roman"/>
          <w:i/>
          <w:color w:val="000000" w:themeColor="text1"/>
          <w:sz w:val="24"/>
          <w:szCs w:val="24"/>
        </w:rPr>
        <w:t>2</w:t>
      </w:r>
      <w:r w:rsidRPr="008172AE">
        <w:rPr>
          <w:rFonts w:ascii="Times New Roman" w:eastAsia="Times New Roman" w:hAnsi="Times New Roman" w:cs="Times New Roman"/>
          <w:color w:val="000000" w:themeColor="text1"/>
          <w:sz w:val="24"/>
          <w:szCs w:val="24"/>
        </w:rPr>
        <w:t>, p.100039.</w:t>
      </w:r>
    </w:p>
    <w:p w14:paraId="34421626"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u w:val="single"/>
        </w:rPr>
      </w:pPr>
      <w:r w:rsidRPr="008172AE">
        <w:rPr>
          <w:rFonts w:ascii="Times New Roman" w:eastAsia="Times New Roman" w:hAnsi="Times New Roman" w:cs="Times New Roman"/>
          <w:color w:val="000000" w:themeColor="text1"/>
          <w:sz w:val="24"/>
          <w:szCs w:val="24"/>
        </w:rPr>
        <w:t xml:space="preserve">Casula, M., Rangarajan, N. and Shields, P. (2021). ‘The potential of working hypotheses for deductive exploratory research’. </w:t>
      </w:r>
      <w:r w:rsidRPr="008172AE">
        <w:rPr>
          <w:rFonts w:ascii="Times New Roman" w:eastAsia="Times New Roman" w:hAnsi="Times New Roman" w:cs="Times New Roman"/>
          <w:i/>
          <w:color w:val="000000" w:themeColor="text1"/>
          <w:sz w:val="24"/>
          <w:szCs w:val="24"/>
        </w:rPr>
        <w:t>Quality &amp; Quantity</w:t>
      </w:r>
      <w:r w:rsidRPr="008172AE">
        <w:rPr>
          <w:rFonts w:ascii="Times New Roman" w:eastAsia="Times New Roman" w:hAnsi="Times New Roman" w:cs="Times New Roman"/>
          <w:color w:val="000000" w:themeColor="text1"/>
          <w:sz w:val="24"/>
          <w:szCs w:val="24"/>
        </w:rPr>
        <w:t xml:space="preserve">, </w:t>
      </w:r>
      <w:r w:rsidRPr="008172AE">
        <w:rPr>
          <w:rFonts w:ascii="Times New Roman" w:eastAsia="Times New Roman" w:hAnsi="Times New Roman" w:cs="Times New Roman"/>
          <w:i/>
          <w:color w:val="000000" w:themeColor="text1"/>
          <w:sz w:val="24"/>
          <w:szCs w:val="24"/>
        </w:rPr>
        <w:t>55</w:t>
      </w:r>
      <w:r w:rsidRPr="008172AE">
        <w:rPr>
          <w:rFonts w:ascii="Times New Roman" w:eastAsia="Times New Roman" w:hAnsi="Times New Roman" w:cs="Times New Roman"/>
          <w:color w:val="000000" w:themeColor="text1"/>
          <w:sz w:val="24"/>
          <w:szCs w:val="24"/>
        </w:rPr>
        <w:t>(5), pp.1703-1725.</w:t>
      </w:r>
      <w:hyperlink r:id="rId48">
        <w:r w:rsidRPr="008172AE">
          <w:rPr>
            <w:rFonts w:ascii="Times New Roman" w:eastAsia="Times New Roman" w:hAnsi="Times New Roman" w:cs="Times New Roman"/>
            <w:color w:val="000000" w:themeColor="text1"/>
            <w:sz w:val="24"/>
            <w:szCs w:val="24"/>
            <w:u w:val="single"/>
          </w:rPr>
          <w:t>https://link.springer.com/content/pdf/10.1007/s11135-020-01072-9.pdf</w:t>
        </w:r>
      </w:hyperlink>
    </w:p>
    <w:p w14:paraId="665875B6"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t xml:space="preserve">Charbit, C., (2020). From ‘de </w:t>
      </w:r>
      <w:proofErr w:type="spellStart"/>
      <w:r w:rsidRPr="008172AE">
        <w:rPr>
          <w:rFonts w:ascii="Times New Roman" w:eastAsia="Times New Roman" w:hAnsi="Times New Roman" w:cs="Times New Roman"/>
          <w:color w:val="000000" w:themeColor="text1"/>
          <w:sz w:val="24"/>
          <w:szCs w:val="24"/>
          <w:highlight w:val="white"/>
        </w:rPr>
        <w:t>jure’to</w:t>
      </w:r>
      <w:proofErr w:type="spellEnd"/>
      <w:r w:rsidRPr="008172AE">
        <w:rPr>
          <w:rFonts w:ascii="Times New Roman" w:eastAsia="Times New Roman" w:hAnsi="Times New Roman" w:cs="Times New Roman"/>
          <w:color w:val="000000" w:themeColor="text1"/>
          <w:sz w:val="24"/>
          <w:szCs w:val="24"/>
          <w:highlight w:val="white"/>
        </w:rPr>
        <w:t xml:space="preserve"> ‘de </w:t>
      </w:r>
      <w:proofErr w:type="spellStart"/>
      <w:r w:rsidRPr="008172AE">
        <w:rPr>
          <w:rFonts w:ascii="Times New Roman" w:eastAsia="Times New Roman" w:hAnsi="Times New Roman" w:cs="Times New Roman"/>
          <w:color w:val="000000" w:themeColor="text1"/>
          <w:sz w:val="24"/>
          <w:szCs w:val="24"/>
          <w:highlight w:val="white"/>
        </w:rPr>
        <w:t>facto’decentralised</w:t>
      </w:r>
      <w:proofErr w:type="spellEnd"/>
      <w:r w:rsidRPr="008172AE">
        <w:rPr>
          <w:rFonts w:ascii="Times New Roman" w:eastAsia="Times New Roman" w:hAnsi="Times New Roman" w:cs="Times New Roman"/>
          <w:color w:val="000000" w:themeColor="text1"/>
          <w:sz w:val="24"/>
          <w:szCs w:val="24"/>
          <w:highlight w:val="white"/>
        </w:rPr>
        <w:t xml:space="preserve"> public policies: The multi-level governance approach. </w:t>
      </w:r>
      <w:r w:rsidRPr="008172AE">
        <w:rPr>
          <w:rFonts w:ascii="Times New Roman" w:eastAsia="Times New Roman" w:hAnsi="Times New Roman" w:cs="Times New Roman"/>
          <w:i/>
          <w:color w:val="000000" w:themeColor="text1"/>
          <w:sz w:val="24"/>
          <w:szCs w:val="24"/>
          <w:highlight w:val="white"/>
        </w:rPr>
        <w:t>The British Journal of Politics and International Relations</w:t>
      </w:r>
      <w:r w:rsidRPr="008172AE">
        <w:rPr>
          <w:rFonts w:ascii="Times New Roman" w:eastAsia="Times New Roman" w:hAnsi="Times New Roman" w:cs="Times New Roman"/>
          <w:color w:val="000000" w:themeColor="text1"/>
          <w:sz w:val="24"/>
          <w:szCs w:val="24"/>
          <w:highlight w:val="white"/>
        </w:rPr>
        <w:t xml:space="preserve">, </w:t>
      </w:r>
      <w:r w:rsidRPr="008172AE">
        <w:rPr>
          <w:rFonts w:ascii="Times New Roman" w:eastAsia="Times New Roman" w:hAnsi="Times New Roman" w:cs="Times New Roman"/>
          <w:i/>
          <w:color w:val="000000" w:themeColor="text1"/>
          <w:sz w:val="24"/>
          <w:szCs w:val="24"/>
          <w:highlight w:val="white"/>
        </w:rPr>
        <w:t>22</w:t>
      </w:r>
      <w:r w:rsidRPr="008172AE">
        <w:rPr>
          <w:rFonts w:ascii="Times New Roman" w:eastAsia="Times New Roman" w:hAnsi="Times New Roman" w:cs="Times New Roman"/>
          <w:color w:val="000000" w:themeColor="text1"/>
          <w:sz w:val="24"/>
          <w:szCs w:val="24"/>
          <w:highlight w:val="white"/>
        </w:rPr>
        <w:t xml:space="preserve">(4), pp.809-819. </w:t>
      </w:r>
      <w:hyperlink r:id="rId49">
        <w:r w:rsidRPr="008172AE">
          <w:rPr>
            <w:rFonts w:ascii="Times New Roman" w:eastAsia="Times New Roman" w:hAnsi="Times New Roman" w:cs="Times New Roman"/>
            <w:color w:val="000000" w:themeColor="text1"/>
            <w:sz w:val="24"/>
            <w:szCs w:val="24"/>
            <w:highlight w:val="white"/>
            <w:u w:val="single"/>
          </w:rPr>
          <w:t>https://garymarks.web.unc.edu/wp-content/uploads/sites/13018/2020/11/charbit_2020_from-de-jure-to-de-facto-decentralised-policies_a-multilevel-governance-perspective-final.pdf</w:t>
        </w:r>
      </w:hyperlink>
    </w:p>
    <w:p w14:paraId="6AA8B303"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Council, G.W.E. (2020)‘Global offshore wind report 2020’,</w:t>
      </w:r>
      <w:r w:rsidRPr="008172AE">
        <w:rPr>
          <w:rFonts w:ascii="Times New Roman" w:eastAsia="Times New Roman" w:hAnsi="Times New Roman" w:cs="Times New Roman"/>
          <w:i/>
          <w:color w:val="000000" w:themeColor="text1"/>
          <w:sz w:val="24"/>
          <w:szCs w:val="24"/>
        </w:rPr>
        <w:t>GWEC: Brussels, Belgium</w:t>
      </w:r>
      <w:r w:rsidRPr="008172AE">
        <w:rPr>
          <w:rFonts w:ascii="Times New Roman" w:eastAsia="Times New Roman" w:hAnsi="Times New Roman" w:cs="Times New Roman"/>
          <w:color w:val="000000" w:themeColor="text1"/>
          <w:sz w:val="24"/>
          <w:szCs w:val="24"/>
        </w:rPr>
        <w:t>, 19, pp.10-12.</w:t>
      </w:r>
    </w:p>
    <w:p w14:paraId="64E86982"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Department for Business, Energy and Industrial Strategy (2020).</w:t>
      </w:r>
      <w:r w:rsidRPr="008172AE">
        <w:rPr>
          <w:rFonts w:ascii="Times New Roman" w:eastAsia="Times New Roman" w:hAnsi="Times New Roman" w:cs="Times New Roman"/>
          <w:i/>
          <w:color w:val="000000" w:themeColor="text1"/>
          <w:sz w:val="24"/>
          <w:szCs w:val="24"/>
        </w:rPr>
        <w:t xml:space="preserve"> Contracts for Difference for Low Carbon Electricity Generation</w:t>
      </w:r>
      <w:r w:rsidRPr="008172AE">
        <w:rPr>
          <w:rFonts w:ascii="Times New Roman" w:eastAsia="Times New Roman" w:hAnsi="Times New Roman" w:cs="Times New Roman"/>
          <w:color w:val="000000" w:themeColor="text1"/>
          <w:sz w:val="24"/>
          <w:szCs w:val="24"/>
        </w:rPr>
        <w:t xml:space="preserve">. Available at: </w:t>
      </w:r>
      <w:hyperlink r:id="rId50">
        <w:r w:rsidRPr="008172AE">
          <w:rPr>
            <w:rFonts w:ascii="Times New Roman" w:eastAsia="Times New Roman" w:hAnsi="Times New Roman" w:cs="Times New Roman"/>
            <w:color w:val="000000" w:themeColor="text1"/>
            <w:sz w:val="24"/>
            <w:szCs w:val="24"/>
            <w:u w:val="single"/>
          </w:rPr>
          <w:t>https://assets.publishing.service.gov.uk/media/5ebd57b0e90e071e33ce887d/cfd-ar4-proposed-amendments-consultation.pdf</w:t>
        </w:r>
      </w:hyperlink>
      <w:r w:rsidRPr="008172AE">
        <w:rPr>
          <w:rFonts w:ascii="Times New Roman" w:eastAsia="Times New Roman" w:hAnsi="Times New Roman" w:cs="Times New Roman"/>
          <w:color w:val="000000" w:themeColor="text1"/>
          <w:sz w:val="24"/>
          <w:szCs w:val="24"/>
        </w:rPr>
        <w:t xml:space="preserve"> (Accessed: 16 October 2024)</w:t>
      </w:r>
    </w:p>
    <w:p w14:paraId="43247DE3"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lastRenderedPageBreak/>
        <w:t>Doyle, L., McCabe, C., Keogh, B., Brady, A. and McCann, M., (2020). ‘An overview of the qualitative descriptive design within nursing research’. </w:t>
      </w:r>
      <w:r w:rsidRPr="008172AE">
        <w:rPr>
          <w:rFonts w:ascii="Times New Roman" w:eastAsia="Times New Roman" w:hAnsi="Times New Roman" w:cs="Times New Roman"/>
          <w:i/>
          <w:color w:val="000000" w:themeColor="text1"/>
          <w:sz w:val="24"/>
          <w:szCs w:val="24"/>
          <w:highlight w:val="white"/>
        </w:rPr>
        <w:t>Journal of research in nursing</w:t>
      </w:r>
      <w:r w:rsidRPr="008172AE">
        <w:rPr>
          <w:rFonts w:ascii="Times New Roman" w:eastAsia="Times New Roman" w:hAnsi="Times New Roman" w:cs="Times New Roman"/>
          <w:color w:val="000000" w:themeColor="text1"/>
          <w:sz w:val="24"/>
          <w:szCs w:val="24"/>
          <w:highlight w:val="white"/>
        </w:rPr>
        <w:t>, </w:t>
      </w:r>
      <w:r w:rsidRPr="008172AE">
        <w:rPr>
          <w:rFonts w:ascii="Times New Roman" w:eastAsia="Times New Roman" w:hAnsi="Times New Roman" w:cs="Times New Roman"/>
          <w:i/>
          <w:color w:val="000000" w:themeColor="text1"/>
          <w:sz w:val="24"/>
          <w:szCs w:val="24"/>
          <w:highlight w:val="white"/>
        </w:rPr>
        <w:t>25</w:t>
      </w:r>
      <w:r w:rsidRPr="008172AE">
        <w:rPr>
          <w:rFonts w:ascii="Times New Roman" w:eastAsia="Times New Roman" w:hAnsi="Times New Roman" w:cs="Times New Roman"/>
          <w:color w:val="000000" w:themeColor="text1"/>
          <w:sz w:val="24"/>
          <w:szCs w:val="24"/>
          <w:highlight w:val="white"/>
        </w:rPr>
        <w:t xml:space="preserve">(5), pp.443-455. </w:t>
      </w:r>
      <w:hyperlink r:id="rId51">
        <w:r w:rsidRPr="008172AE">
          <w:rPr>
            <w:rFonts w:ascii="Times New Roman" w:eastAsia="Times New Roman" w:hAnsi="Times New Roman" w:cs="Times New Roman"/>
            <w:color w:val="000000" w:themeColor="text1"/>
            <w:sz w:val="24"/>
            <w:szCs w:val="24"/>
            <w:highlight w:val="white"/>
            <w:u w:val="single"/>
          </w:rPr>
          <w:t>https://journals.sagepub.com/doi/abs/10.1177/1744987119880234</w:t>
        </w:r>
      </w:hyperlink>
    </w:p>
    <w:p w14:paraId="69FE4940"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highlight w:val="white"/>
        </w:rPr>
      </w:pPr>
      <w:proofErr w:type="spellStart"/>
      <w:r w:rsidRPr="008172AE">
        <w:rPr>
          <w:rFonts w:ascii="Times New Roman" w:eastAsia="Times New Roman" w:hAnsi="Times New Roman" w:cs="Times New Roman"/>
          <w:color w:val="000000" w:themeColor="text1"/>
          <w:sz w:val="24"/>
          <w:szCs w:val="24"/>
          <w:highlight w:val="white"/>
        </w:rPr>
        <w:t>Duea</w:t>
      </w:r>
      <w:proofErr w:type="spellEnd"/>
      <w:r w:rsidRPr="008172AE">
        <w:rPr>
          <w:rFonts w:ascii="Times New Roman" w:eastAsia="Times New Roman" w:hAnsi="Times New Roman" w:cs="Times New Roman"/>
          <w:color w:val="000000" w:themeColor="text1"/>
          <w:sz w:val="24"/>
          <w:szCs w:val="24"/>
          <w:highlight w:val="white"/>
        </w:rPr>
        <w:t xml:space="preserve">, S.R., Zimmerman, E.B., Vaughn, L.M., Dias, S. and Harris, J., (2022). ‘A guide to selecting participatory research methods based on project and partnership </w:t>
      </w:r>
      <w:proofErr w:type="gramStart"/>
      <w:r w:rsidRPr="008172AE">
        <w:rPr>
          <w:rFonts w:ascii="Times New Roman" w:eastAsia="Times New Roman" w:hAnsi="Times New Roman" w:cs="Times New Roman"/>
          <w:color w:val="000000" w:themeColor="text1"/>
          <w:sz w:val="24"/>
          <w:szCs w:val="24"/>
          <w:highlight w:val="white"/>
        </w:rPr>
        <w:t>goals’</w:t>
      </w:r>
      <w:proofErr w:type="gramEnd"/>
      <w:r w:rsidRPr="008172AE">
        <w:rPr>
          <w:rFonts w:ascii="Times New Roman" w:eastAsia="Times New Roman" w:hAnsi="Times New Roman" w:cs="Times New Roman"/>
          <w:color w:val="000000" w:themeColor="text1"/>
          <w:sz w:val="24"/>
          <w:szCs w:val="24"/>
          <w:highlight w:val="white"/>
        </w:rPr>
        <w:t>. </w:t>
      </w:r>
      <w:r w:rsidRPr="008172AE">
        <w:rPr>
          <w:rFonts w:ascii="Times New Roman" w:eastAsia="Times New Roman" w:hAnsi="Times New Roman" w:cs="Times New Roman"/>
          <w:i/>
          <w:color w:val="000000" w:themeColor="text1"/>
          <w:sz w:val="24"/>
          <w:szCs w:val="24"/>
          <w:highlight w:val="white"/>
        </w:rPr>
        <w:t>Journal of Participatory Research Methods</w:t>
      </w:r>
      <w:r w:rsidRPr="008172AE">
        <w:rPr>
          <w:rFonts w:ascii="Times New Roman" w:eastAsia="Times New Roman" w:hAnsi="Times New Roman" w:cs="Times New Roman"/>
          <w:color w:val="000000" w:themeColor="text1"/>
          <w:sz w:val="24"/>
          <w:szCs w:val="24"/>
          <w:highlight w:val="white"/>
        </w:rPr>
        <w:t>, </w:t>
      </w:r>
      <w:r w:rsidRPr="008172AE">
        <w:rPr>
          <w:rFonts w:ascii="Times New Roman" w:eastAsia="Times New Roman" w:hAnsi="Times New Roman" w:cs="Times New Roman"/>
          <w:i/>
          <w:color w:val="000000" w:themeColor="text1"/>
          <w:sz w:val="24"/>
          <w:szCs w:val="24"/>
          <w:highlight w:val="white"/>
        </w:rPr>
        <w:t>3</w:t>
      </w:r>
      <w:r w:rsidRPr="008172AE">
        <w:rPr>
          <w:rFonts w:ascii="Times New Roman" w:eastAsia="Times New Roman" w:hAnsi="Times New Roman" w:cs="Times New Roman"/>
          <w:color w:val="000000" w:themeColor="text1"/>
          <w:sz w:val="24"/>
          <w:szCs w:val="24"/>
          <w:highlight w:val="white"/>
        </w:rPr>
        <w:t xml:space="preserve">(1). </w:t>
      </w:r>
      <w:hyperlink r:id="rId52">
        <w:r w:rsidRPr="008172AE">
          <w:rPr>
            <w:rFonts w:ascii="Times New Roman" w:eastAsia="Times New Roman" w:hAnsi="Times New Roman" w:cs="Times New Roman"/>
            <w:color w:val="000000" w:themeColor="text1"/>
            <w:sz w:val="24"/>
            <w:szCs w:val="24"/>
            <w:highlight w:val="white"/>
            <w:u w:val="single"/>
          </w:rPr>
          <w:t>https://www.ncbi.nlm.nih.gov/pmc/articles/PMC9258244/</w:t>
        </w:r>
      </w:hyperlink>
    </w:p>
    <w:p w14:paraId="5B4D09A5"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Gebreslassie, M.G. (2021)‘Development and manufacturing of solar and wind energy technologies in Ethiopia: Challenges and policy </w:t>
      </w:r>
      <w:proofErr w:type="spellStart"/>
      <w:r w:rsidRPr="008172AE">
        <w:rPr>
          <w:rFonts w:ascii="Times New Roman" w:eastAsia="Times New Roman" w:hAnsi="Times New Roman" w:cs="Times New Roman"/>
          <w:color w:val="000000" w:themeColor="text1"/>
          <w:sz w:val="24"/>
          <w:szCs w:val="24"/>
        </w:rPr>
        <w:t>implications’,</w:t>
      </w:r>
      <w:r w:rsidRPr="008172AE">
        <w:rPr>
          <w:rFonts w:ascii="Times New Roman" w:eastAsia="Times New Roman" w:hAnsi="Times New Roman" w:cs="Times New Roman"/>
          <w:i/>
          <w:color w:val="000000" w:themeColor="text1"/>
          <w:sz w:val="24"/>
          <w:szCs w:val="24"/>
        </w:rPr>
        <w:t>Renewable</w:t>
      </w:r>
      <w:proofErr w:type="spellEnd"/>
      <w:r w:rsidRPr="008172AE">
        <w:rPr>
          <w:rFonts w:ascii="Times New Roman" w:eastAsia="Times New Roman" w:hAnsi="Times New Roman" w:cs="Times New Roman"/>
          <w:i/>
          <w:color w:val="000000" w:themeColor="text1"/>
          <w:sz w:val="24"/>
          <w:szCs w:val="24"/>
        </w:rPr>
        <w:t xml:space="preserve"> Energy</w:t>
      </w:r>
      <w:r w:rsidRPr="008172AE">
        <w:rPr>
          <w:rFonts w:ascii="Times New Roman" w:eastAsia="Times New Roman" w:hAnsi="Times New Roman" w:cs="Times New Roman"/>
          <w:color w:val="000000" w:themeColor="text1"/>
          <w:sz w:val="24"/>
          <w:szCs w:val="24"/>
        </w:rPr>
        <w:t>, 168, pp.107-118.</w:t>
      </w:r>
    </w:p>
    <w:p w14:paraId="3577E046"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t xml:space="preserve">Gov (2024), </w:t>
      </w:r>
      <w:r w:rsidRPr="008172AE">
        <w:rPr>
          <w:rFonts w:ascii="Times New Roman" w:eastAsia="Times New Roman" w:hAnsi="Times New Roman" w:cs="Times New Roman"/>
          <w:i/>
          <w:color w:val="000000" w:themeColor="text1"/>
          <w:sz w:val="24"/>
          <w:szCs w:val="24"/>
          <w:highlight w:val="white"/>
        </w:rPr>
        <w:t>Policy statement on onshore wind,</w:t>
      </w:r>
      <w:r w:rsidRPr="008172AE">
        <w:rPr>
          <w:rFonts w:ascii="Times New Roman" w:eastAsia="Times New Roman" w:hAnsi="Times New Roman" w:cs="Times New Roman"/>
          <w:color w:val="000000" w:themeColor="text1"/>
          <w:sz w:val="24"/>
          <w:szCs w:val="24"/>
          <w:highlight w:val="white"/>
        </w:rPr>
        <w:t xml:space="preserve"> Available at: </w:t>
      </w:r>
      <w:hyperlink r:id="rId53">
        <w:r w:rsidRPr="008172AE">
          <w:rPr>
            <w:rFonts w:ascii="Times New Roman" w:eastAsia="Times New Roman" w:hAnsi="Times New Roman" w:cs="Times New Roman"/>
            <w:color w:val="000000" w:themeColor="text1"/>
            <w:sz w:val="24"/>
            <w:szCs w:val="24"/>
            <w:highlight w:val="white"/>
            <w:u w:val="single"/>
          </w:rPr>
          <w:t>https://www.gov.uk/government/publications/policy-statement-on-onshore-wind/policy-statement-on-onshore-wind</w:t>
        </w:r>
      </w:hyperlink>
      <w:r w:rsidRPr="008172AE">
        <w:rPr>
          <w:rFonts w:ascii="Times New Roman" w:eastAsia="Times New Roman" w:hAnsi="Times New Roman" w:cs="Times New Roman"/>
          <w:color w:val="000000" w:themeColor="text1"/>
          <w:sz w:val="24"/>
          <w:szCs w:val="24"/>
          <w:highlight w:val="white"/>
        </w:rPr>
        <w:t xml:space="preserve"> [Accessed 14th October, 2024]</w:t>
      </w:r>
    </w:p>
    <w:p w14:paraId="52E3B565"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GOV.UK (2024). </w:t>
      </w:r>
      <w:r w:rsidRPr="008172AE">
        <w:rPr>
          <w:rFonts w:ascii="Times New Roman" w:eastAsia="Times New Roman" w:hAnsi="Times New Roman" w:cs="Times New Roman"/>
          <w:i/>
          <w:color w:val="000000" w:themeColor="text1"/>
          <w:sz w:val="24"/>
          <w:szCs w:val="24"/>
        </w:rPr>
        <w:t>UK renewables deployment supply chain readiness study</w:t>
      </w:r>
      <w:r w:rsidRPr="008172AE">
        <w:rPr>
          <w:rFonts w:ascii="Times New Roman" w:eastAsia="Times New Roman" w:hAnsi="Times New Roman" w:cs="Times New Roman"/>
          <w:color w:val="000000" w:themeColor="text1"/>
          <w:sz w:val="24"/>
          <w:szCs w:val="24"/>
        </w:rPr>
        <w:t>. Available at: https://assets.publishing.service.gov.uk/media/6617b12ed88c988e81b95af8/uk-renewables-deployment-supply-chain-readiness-study-executive-summary.pdf (Accessed on: 16 October 2024)</w:t>
      </w:r>
    </w:p>
    <w:p w14:paraId="04B2C6FA"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GOV.UK, (2024). </w:t>
      </w:r>
      <w:r w:rsidRPr="008172AE">
        <w:rPr>
          <w:rFonts w:ascii="Times New Roman" w:eastAsia="Times New Roman" w:hAnsi="Times New Roman" w:cs="Times New Roman"/>
          <w:i/>
          <w:color w:val="000000" w:themeColor="text1"/>
          <w:sz w:val="24"/>
          <w:szCs w:val="24"/>
        </w:rPr>
        <w:t>Offshore wind</w:t>
      </w:r>
      <w:r w:rsidRPr="008172AE">
        <w:rPr>
          <w:rFonts w:ascii="Times New Roman" w:eastAsia="Times New Roman" w:hAnsi="Times New Roman" w:cs="Times New Roman"/>
          <w:color w:val="000000" w:themeColor="text1"/>
          <w:sz w:val="24"/>
          <w:szCs w:val="24"/>
        </w:rPr>
        <w:t xml:space="preserve">. Available at: </w:t>
      </w:r>
      <w:hyperlink r:id="rId54">
        <w:r w:rsidRPr="008172AE">
          <w:rPr>
            <w:rFonts w:ascii="Times New Roman" w:eastAsia="Times New Roman" w:hAnsi="Times New Roman" w:cs="Times New Roman"/>
            <w:color w:val="000000" w:themeColor="text1"/>
            <w:sz w:val="24"/>
            <w:szCs w:val="24"/>
            <w:u w:val="single"/>
          </w:rPr>
          <w:t>https://www.great.gov.uk/international/content/investment/sectors/offshore-wind/</w:t>
        </w:r>
      </w:hyperlink>
      <w:r w:rsidRPr="008172AE">
        <w:rPr>
          <w:rFonts w:ascii="Times New Roman" w:eastAsia="Times New Roman" w:hAnsi="Times New Roman" w:cs="Times New Roman"/>
          <w:color w:val="000000" w:themeColor="text1"/>
          <w:sz w:val="24"/>
          <w:szCs w:val="24"/>
        </w:rPr>
        <w:t xml:space="preserve"> (Accessed: 14October 2024).</w:t>
      </w:r>
    </w:p>
    <w:p w14:paraId="59880BC8"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lastRenderedPageBreak/>
        <w:t xml:space="preserve">Gov.uk (2024). </w:t>
      </w:r>
      <w:r w:rsidRPr="008172AE">
        <w:rPr>
          <w:rFonts w:ascii="Times New Roman" w:eastAsia="Times New Roman" w:hAnsi="Times New Roman" w:cs="Times New Roman"/>
          <w:i/>
          <w:color w:val="000000" w:themeColor="text1"/>
          <w:sz w:val="24"/>
          <w:szCs w:val="24"/>
        </w:rPr>
        <w:t>Contracts for Difference</w:t>
      </w:r>
      <w:r w:rsidRPr="008172AE">
        <w:rPr>
          <w:rFonts w:ascii="Times New Roman" w:eastAsia="Times New Roman" w:hAnsi="Times New Roman" w:cs="Times New Roman"/>
          <w:color w:val="000000" w:themeColor="text1"/>
          <w:sz w:val="24"/>
          <w:szCs w:val="24"/>
        </w:rPr>
        <w:t xml:space="preserve">. Available at: </w:t>
      </w:r>
      <w:hyperlink r:id="rId55">
        <w:r w:rsidRPr="008172AE">
          <w:rPr>
            <w:rFonts w:ascii="Times New Roman" w:eastAsia="Times New Roman" w:hAnsi="Times New Roman" w:cs="Times New Roman"/>
            <w:color w:val="000000" w:themeColor="text1"/>
            <w:sz w:val="24"/>
            <w:szCs w:val="24"/>
            <w:u w:val="single"/>
          </w:rPr>
          <w:t>https://www.gov.uk/government/collections/contracts-for-difference</w:t>
        </w:r>
      </w:hyperlink>
      <w:r w:rsidRPr="008172AE">
        <w:rPr>
          <w:rFonts w:ascii="Times New Roman" w:eastAsia="Times New Roman" w:hAnsi="Times New Roman" w:cs="Times New Roman"/>
          <w:color w:val="000000" w:themeColor="text1"/>
          <w:sz w:val="24"/>
          <w:szCs w:val="24"/>
        </w:rPr>
        <w:t xml:space="preserve"> (Accessed: 05 December 2024).</w:t>
      </w:r>
    </w:p>
    <w:p w14:paraId="5338E2E1"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Greeneconomy (2024). </w:t>
      </w:r>
      <w:r w:rsidRPr="008172AE">
        <w:rPr>
          <w:rFonts w:ascii="Times New Roman" w:eastAsia="Times New Roman" w:hAnsi="Times New Roman" w:cs="Times New Roman"/>
          <w:i/>
          <w:color w:val="000000" w:themeColor="text1"/>
          <w:sz w:val="24"/>
          <w:szCs w:val="24"/>
        </w:rPr>
        <w:t>Falling short: challenges and solutions for the UK’s struggling wind energy sector</w:t>
      </w:r>
      <w:r w:rsidRPr="008172AE">
        <w:rPr>
          <w:rFonts w:ascii="Times New Roman" w:eastAsia="Times New Roman" w:hAnsi="Times New Roman" w:cs="Times New Roman"/>
          <w:color w:val="000000" w:themeColor="text1"/>
          <w:sz w:val="24"/>
          <w:szCs w:val="24"/>
        </w:rPr>
        <w:t xml:space="preserve">. Available at: </w:t>
      </w:r>
      <w:hyperlink r:id="rId56">
        <w:r w:rsidRPr="008172AE">
          <w:rPr>
            <w:rFonts w:ascii="Times New Roman" w:eastAsia="Times New Roman" w:hAnsi="Times New Roman" w:cs="Times New Roman"/>
            <w:color w:val="000000" w:themeColor="text1"/>
            <w:sz w:val="24"/>
            <w:szCs w:val="24"/>
            <w:u w:val="single"/>
          </w:rPr>
          <w:t>https://www.greeneconomy.co.uk/news-and-resources/news/falling-short-challenges-and-solutions-for-the-uk-s-struggling-wind-energy-sector/</w:t>
        </w:r>
      </w:hyperlink>
      <w:r w:rsidRPr="008172AE">
        <w:rPr>
          <w:rFonts w:ascii="Times New Roman" w:eastAsia="Times New Roman" w:hAnsi="Times New Roman" w:cs="Times New Roman"/>
          <w:color w:val="000000" w:themeColor="text1"/>
          <w:sz w:val="24"/>
          <w:szCs w:val="24"/>
        </w:rPr>
        <w:t xml:space="preserve"> [Accessed on 15 November 2024].</w:t>
      </w:r>
    </w:p>
    <w:p w14:paraId="4864A8CE"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rPr>
      </w:pPr>
      <w:proofErr w:type="spellStart"/>
      <w:r w:rsidRPr="008172AE">
        <w:rPr>
          <w:rFonts w:ascii="Times New Roman" w:eastAsia="Times New Roman" w:hAnsi="Times New Roman" w:cs="Times New Roman"/>
          <w:color w:val="000000" w:themeColor="text1"/>
          <w:sz w:val="24"/>
          <w:szCs w:val="24"/>
          <w:highlight w:val="white"/>
        </w:rPr>
        <w:t>Gryshchenko</w:t>
      </w:r>
      <w:proofErr w:type="spellEnd"/>
      <w:r w:rsidRPr="008172AE">
        <w:rPr>
          <w:rFonts w:ascii="Times New Roman" w:eastAsia="Times New Roman" w:hAnsi="Times New Roman" w:cs="Times New Roman"/>
          <w:color w:val="000000" w:themeColor="text1"/>
          <w:sz w:val="24"/>
          <w:szCs w:val="24"/>
          <w:highlight w:val="white"/>
        </w:rPr>
        <w:t xml:space="preserve">, I., </w:t>
      </w:r>
      <w:proofErr w:type="spellStart"/>
      <w:r w:rsidRPr="008172AE">
        <w:rPr>
          <w:rFonts w:ascii="Times New Roman" w:eastAsia="Times New Roman" w:hAnsi="Times New Roman" w:cs="Times New Roman"/>
          <w:color w:val="000000" w:themeColor="text1"/>
          <w:sz w:val="24"/>
          <w:szCs w:val="24"/>
          <w:highlight w:val="white"/>
        </w:rPr>
        <w:t>Ganushchakâ</w:t>
      </w:r>
      <w:proofErr w:type="spellEnd"/>
      <w:r w:rsidRPr="008172AE">
        <w:rPr>
          <w:rFonts w:ascii="Times New Roman" w:eastAsia="Times New Roman" w:hAnsi="Times New Roman" w:cs="Times New Roman"/>
          <w:color w:val="000000" w:themeColor="text1"/>
          <w:sz w:val="24"/>
          <w:szCs w:val="24"/>
          <w:highlight w:val="white"/>
        </w:rPr>
        <w:t xml:space="preserve">, L., </w:t>
      </w:r>
      <w:proofErr w:type="spellStart"/>
      <w:r w:rsidRPr="008172AE">
        <w:rPr>
          <w:rFonts w:ascii="Times New Roman" w:eastAsia="Times New Roman" w:hAnsi="Times New Roman" w:cs="Times New Roman"/>
          <w:color w:val="000000" w:themeColor="text1"/>
          <w:sz w:val="24"/>
          <w:szCs w:val="24"/>
          <w:highlight w:val="white"/>
        </w:rPr>
        <w:t>Shcherbak</w:t>
      </w:r>
      <w:proofErr w:type="spellEnd"/>
      <w:r w:rsidRPr="008172AE">
        <w:rPr>
          <w:rFonts w:ascii="Times New Roman" w:eastAsia="Times New Roman" w:hAnsi="Times New Roman" w:cs="Times New Roman"/>
          <w:color w:val="000000" w:themeColor="text1"/>
          <w:sz w:val="24"/>
          <w:szCs w:val="24"/>
          <w:highlight w:val="white"/>
        </w:rPr>
        <w:t xml:space="preserve">, V., </w:t>
      </w:r>
      <w:proofErr w:type="spellStart"/>
      <w:r w:rsidRPr="008172AE">
        <w:rPr>
          <w:rFonts w:ascii="Times New Roman" w:eastAsia="Times New Roman" w:hAnsi="Times New Roman" w:cs="Times New Roman"/>
          <w:color w:val="000000" w:themeColor="text1"/>
          <w:sz w:val="24"/>
          <w:szCs w:val="24"/>
          <w:highlight w:val="white"/>
        </w:rPr>
        <w:t>Nifatova</w:t>
      </w:r>
      <w:proofErr w:type="spellEnd"/>
      <w:r w:rsidRPr="008172AE">
        <w:rPr>
          <w:rFonts w:ascii="Times New Roman" w:eastAsia="Times New Roman" w:hAnsi="Times New Roman" w:cs="Times New Roman"/>
          <w:color w:val="000000" w:themeColor="text1"/>
          <w:sz w:val="24"/>
          <w:szCs w:val="24"/>
          <w:highlight w:val="white"/>
        </w:rPr>
        <w:t>, Ð., Zos-</w:t>
      </w:r>
      <w:proofErr w:type="spellStart"/>
      <w:r w:rsidRPr="008172AE">
        <w:rPr>
          <w:rFonts w:ascii="Times New Roman" w:eastAsia="Times New Roman" w:hAnsi="Times New Roman" w:cs="Times New Roman"/>
          <w:color w:val="000000" w:themeColor="text1"/>
          <w:sz w:val="24"/>
          <w:szCs w:val="24"/>
          <w:highlight w:val="white"/>
        </w:rPr>
        <w:t>Kior</w:t>
      </w:r>
      <w:proofErr w:type="spellEnd"/>
      <w:r w:rsidRPr="008172AE">
        <w:rPr>
          <w:rFonts w:ascii="Times New Roman" w:eastAsia="Times New Roman" w:hAnsi="Times New Roman" w:cs="Times New Roman"/>
          <w:color w:val="000000" w:themeColor="text1"/>
          <w:sz w:val="24"/>
          <w:szCs w:val="24"/>
          <w:highlight w:val="white"/>
        </w:rPr>
        <w:t xml:space="preserve">, Ð., </w:t>
      </w:r>
      <w:proofErr w:type="spellStart"/>
      <w:r w:rsidRPr="008172AE">
        <w:rPr>
          <w:rFonts w:ascii="Times New Roman" w:eastAsia="Times New Roman" w:hAnsi="Times New Roman" w:cs="Times New Roman"/>
          <w:color w:val="000000" w:themeColor="text1"/>
          <w:sz w:val="24"/>
          <w:szCs w:val="24"/>
          <w:highlight w:val="white"/>
        </w:rPr>
        <w:t>Hnatenko</w:t>
      </w:r>
      <w:proofErr w:type="spellEnd"/>
      <w:r w:rsidRPr="008172AE">
        <w:rPr>
          <w:rFonts w:ascii="Times New Roman" w:eastAsia="Times New Roman" w:hAnsi="Times New Roman" w:cs="Times New Roman"/>
          <w:color w:val="000000" w:themeColor="text1"/>
          <w:sz w:val="24"/>
          <w:szCs w:val="24"/>
          <w:highlight w:val="white"/>
        </w:rPr>
        <w:t xml:space="preserve">, I., </w:t>
      </w:r>
      <w:proofErr w:type="spellStart"/>
      <w:r w:rsidRPr="008172AE">
        <w:rPr>
          <w:rFonts w:ascii="Times New Roman" w:eastAsia="Times New Roman" w:hAnsi="Times New Roman" w:cs="Times New Roman"/>
          <w:color w:val="000000" w:themeColor="text1"/>
          <w:sz w:val="24"/>
          <w:szCs w:val="24"/>
          <w:highlight w:val="white"/>
        </w:rPr>
        <w:t>Martynova</w:t>
      </w:r>
      <w:proofErr w:type="spellEnd"/>
      <w:r w:rsidRPr="008172AE">
        <w:rPr>
          <w:rFonts w:ascii="Times New Roman" w:eastAsia="Times New Roman" w:hAnsi="Times New Roman" w:cs="Times New Roman"/>
          <w:color w:val="000000" w:themeColor="text1"/>
          <w:sz w:val="24"/>
          <w:szCs w:val="24"/>
          <w:highlight w:val="white"/>
        </w:rPr>
        <w:t xml:space="preserve">, L. and </w:t>
      </w:r>
      <w:proofErr w:type="spellStart"/>
      <w:r w:rsidRPr="008172AE">
        <w:rPr>
          <w:rFonts w:ascii="Times New Roman" w:eastAsia="Times New Roman" w:hAnsi="Times New Roman" w:cs="Times New Roman"/>
          <w:color w:val="000000" w:themeColor="text1"/>
          <w:sz w:val="24"/>
          <w:szCs w:val="24"/>
          <w:highlight w:val="white"/>
        </w:rPr>
        <w:t>Martynov</w:t>
      </w:r>
      <w:proofErr w:type="spellEnd"/>
      <w:r w:rsidRPr="008172AE">
        <w:rPr>
          <w:rFonts w:ascii="Times New Roman" w:eastAsia="Times New Roman" w:hAnsi="Times New Roman" w:cs="Times New Roman"/>
          <w:color w:val="000000" w:themeColor="text1"/>
          <w:sz w:val="24"/>
          <w:szCs w:val="24"/>
          <w:highlight w:val="white"/>
        </w:rPr>
        <w:t xml:space="preserve">, A., (2021). Making use of competitive advantages of a university education innovation cluster in the educational services market. </w:t>
      </w:r>
      <w:r w:rsidRPr="008172AE">
        <w:rPr>
          <w:rFonts w:ascii="Times New Roman" w:eastAsia="Times New Roman" w:hAnsi="Times New Roman" w:cs="Times New Roman"/>
          <w:i/>
          <w:color w:val="000000" w:themeColor="text1"/>
          <w:sz w:val="24"/>
          <w:szCs w:val="24"/>
          <w:highlight w:val="white"/>
        </w:rPr>
        <w:t>European journal of sustainable development</w:t>
      </w:r>
      <w:r w:rsidRPr="008172AE">
        <w:rPr>
          <w:rFonts w:ascii="Times New Roman" w:eastAsia="Times New Roman" w:hAnsi="Times New Roman" w:cs="Times New Roman"/>
          <w:color w:val="000000" w:themeColor="text1"/>
          <w:sz w:val="24"/>
          <w:szCs w:val="24"/>
          <w:highlight w:val="white"/>
        </w:rPr>
        <w:t xml:space="preserve">, </w:t>
      </w:r>
      <w:r w:rsidRPr="008172AE">
        <w:rPr>
          <w:rFonts w:ascii="Times New Roman" w:eastAsia="Times New Roman" w:hAnsi="Times New Roman" w:cs="Times New Roman"/>
          <w:i/>
          <w:color w:val="000000" w:themeColor="text1"/>
          <w:sz w:val="24"/>
          <w:szCs w:val="24"/>
          <w:highlight w:val="white"/>
        </w:rPr>
        <w:t>10</w:t>
      </w:r>
      <w:r w:rsidRPr="008172AE">
        <w:rPr>
          <w:rFonts w:ascii="Times New Roman" w:eastAsia="Times New Roman" w:hAnsi="Times New Roman" w:cs="Times New Roman"/>
          <w:color w:val="000000" w:themeColor="text1"/>
          <w:sz w:val="24"/>
          <w:szCs w:val="24"/>
          <w:highlight w:val="white"/>
        </w:rPr>
        <w:t xml:space="preserve">(2), pp.336-336. </w:t>
      </w:r>
      <w:hyperlink r:id="rId57">
        <w:r w:rsidRPr="008172AE">
          <w:rPr>
            <w:rFonts w:ascii="Times New Roman" w:eastAsia="Times New Roman" w:hAnsi="Times New Roman" w:cs="Times New Roman"/>
            <w:color w:val="000000" w:themeColor="text1"/>
            <w:sz w:val="24"/>
            <w:szCs w:val="24"/>
            <w:highlight w:val="white"/>
            <w:u w:val="single"/>
          </w:rPr>
          <w:t>http://ecsdev.org/ojs/index.php/ejsd/article/download/1230/1210</w:t>
        </w:r>
      </w:hyperlink>
    </w:p>
    <w:p w14:paraId="58ACC339"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t xml:space="preserve">Heinen, D., Arlati, A. and Knieling, J., (2022). Five dimensions of climate governance: a framework for empirical research based on polycentric and multi‐level governance perspectives. </w:t>
      </w:r>
      <w:r w:rsidRPr="008172AE">
        <w:rPr>
          <w:rFonts w:ascii="Times New Roman" w:eastAsia="Times New Roman" w:hAnsi="Times New Roman" w:cs="Times New Roman"/>
          <w:i/>
          <w:color w:val="000000" w:themeColor="text1"/>
          <w:sz w:val="24"/>
          <w:szCs w:val="24"/>
          <w:highlight w:val="white"/>
        </w:rPr>
        <w:t>Environmental Policy and Governance</w:t>
      </w:r>
      <w:r w:rsidRPr="008172AE">
        <w:rPr>
          <w:rFonts w:ascii="Times New Roman" w:eastAsia="Times New Roman" w:hAnsi="Times New Roman" w:cs="Times New Roman"/>
          <w:color w:val="000000" w:themeColor="text1"/>
          <w:sz w:val="24"/>
          <w:szCs w:val="24"/>
          <w:highlight w:val="white"/>
        </w:rPr>
        <w:t xml:space="preserve">, </w:t>
      </w:r>
      <w:r w:rsidRPr="008172AE">
        <w:rPr>
          <w:rFonts w:ascii="Times New Roman" w:eastAsia="Times New Roman" w:hAnsi="Times New Roman" w:cs="Times New Roman"/>
          <w:i/>
          <w:color w:val="000000" w:themeColor="text1"/>
          <w:sz w:val="24"/>
          <w:szCs w:val="24"/>
          <w:highlight w:val="white"/>
        </w:rPr>
        <w:t>32</w:t>
      </w:r>
      <w:r w:rsidRPr="008172AE">
        <w:rPr>
          <w:rFonts w:ascii="Times New Roman" w:eastAsia="Times New Roman" w:hAnsi="Times New Roman" w:cs="Times New Roman"/>
          <w:color w:val="000000" w:themeColor="text1"/>
          <w:sz w:val="24"/>
          <w:szCs w:val="24"/>
          <w:highlight w:val="white"/>
        </w:rPr>
        <w:t xml:space="preserve">(1), pp.56-68. </w:t>
      </w:r>
      <w:hyperlink r:id="rId58">
        <w:r w:rsidRPr="008172AE">
          <w:rPr>
            <w:rFonts w:ascii="Times New Roman" w:eastAsia="Times New Roman" w:hAnsi="Times New Roman" w:cs="Times New Roman"/>
            <w:color w:val="000000" w:themeColor="text1"/>
            <w:sz w:val="24"/>
            <w:szCs w:val="24"/>
            <w:highlight w:val="white"/>
            <w:u w:val="single"/>
          </w:rPr>
          <w:t>https://onlinelibrary.wiley.com/doi/pdfdirect/10.1002/eet.1963</w:t>
        </w:r>
      </w:hyperlink>
    </w:p>
    <w:p w14:paraId="76CA3A1F"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t xml:space="preserve">Heiss, E.M. and Liu, Y., (2022). Use of primary literature in the classroom: quantitative and instrumental analysis topics. In Active learning in the analytical chemistry curriculum (pp. 107-120). American Chemical Society. </w:t>
      </w:r>
      <w:hyperlink r:id="rId59">
        <w:r w:rsidRPr="008172AE">
          <w:rPr>
            <w:rFonts w:ascii="Times New Roman" w:eastAsia="Times New Roman" w:hAnsi="Times New Roman" w:cs="Times New Roman"/>
            <w:color w:val="000000" w:themeColor="text1"/>
            <w:sz w:val="24"/>
            <w:szCs w:val="24"/>
            <w:highlight w:val="white"/>
            <w:u w:val="single"/>
          </w:rPr>
          <w:t>https://pubs.acs.org/doi/abs/10.1021/bk-2022-1409.ch007</w:t>
        </w:r>
      </w:hyperlink>
    </w:p>
    <w:p w14:paraId="47249DFD"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t xml:space="preserve">HM Government (2023). </w:t>
      </w:r>
      <w:r w:rsidRPr="008172AE">
        <w:rPr>
          <w:rFonts w:ascii="Times New Roman" w:eastAsia="Times New Roman" w:hAnsi="Times New Roman" w:cs="Times New Roman"/>
          <w:i/>
          <w:color w:val="000000" w:themeColor="text1"/>
          <w:sz w:val="24"/>
          <w:szCs w:val="24"/>
          <w:highlight w:val="white"/>
        </w:rPr>
        <w:t>Renewables Obligation</w:t>
      </w:r>
      <w:r w:rsidRPr="008172AE">
        <w:rPr>
          <w:rFonts w:ascii="Times New Roman" w:eastAsia="Times New Roman" w:hAnsi="Times New Roman" w:cs="Times New Roman"/>
          <w:color w:val="000000" w:themeColor="text1"/>
          <w:sz w:val="24"/>
          <w:szCs w:val="24"/>
          <w:highlight w:val="white"/>
        </w:rPr>
        <w:t xml:space="preserve">. Available at: </w:t>
      </w:r>
      <w:hyperlink r:id="rId60">
        <w:r w:rsidRPr="008172AE">
          <w:rPr>
            <w:rFonts w:ascii="Times New Roman" w:eastAsia="Times New Roman" w:hAnsi="Times New Roman" w:cs="Times New Roman"/>
            <w:color w:val="000000" w:themeColor="text1"/>
            <w:sz w:val="24"/>
            <w:szCs w:val="24"/>
            <w:highlight w:val="white"/>
            <w:u w:val="single"/>
          </w:rPr>
          <w:t>https://www.google.com/url?sa=t&amp;source=web&amp;rct=j&amp;opi=89978449&amp;url=https://assets.publishing.service.gov.uk/media/64c615a47aea5b00126a8e73/renewables-obligation-fixed-price-</w:t>
        </w:r>
        <w:r w:rsidRPr="008172AE">
          <w:rPr>
            <w:rFonts w:ascii="Times New Roman" w:eastAsia="Times New Roman" w:hAnsi="Times New Roman" w:cs="Times New Roman"/>
            <w:color w:val="000000" w:themeColor="text1"/>
            <w:sz w:val="24"/>
            <w:szCs w:val="24"/>
            <w:highlight w:val="white"/>
            <w:u w:val="single"/>
          </w:rPr>
          <w:lastRenderedPageBreak/>
          <w:t>certificates-cfe.pdf&amp;ved=2ahUKEwjH7POZ6o-KAxUgUGwGHZHjNDMQFnoECDQQAQ&amp;usg=AOvVaw3FjmD3AnvfZx6QNeL7xffh</w:t>
        </w:r>
      </w:hyperlink>
      <w:r w:rsidRPr="008172AE">
        <w:rPr>
          <w:rFonts w:ascii="Times New Roman" w:eastAsia="Times New Roman" w:hAnsi="Times New Roman" w:cs="Times New Roman"/>
          <w:color w:val="000000" w:themeColor="text1"/>
          <w:sz w:val="24"/>
          <w:szCs w:val="24"/>
          <w:highlight w:val="white"/>
        </w:rPr>
        <w:t xml:space="preserve"> </w:t>
      </w:r>
      <w:r w:rsidRPr="008172AE">
        <w:rPr>
          <w:rFonts w:ascii="Times New Roman" w:eastAsia="Times New Roman" w:hAnsi="Times New Roman" w:cs="Times New Roman"/>
          <w:color w:val="000000" w:themeColor="text1"/>
          <w:sz w:val="24"/>
          <w:szCs w:val="24"/>
        </w:rPr>
        <w:t>(Accessed: 05 December 2024).</w:t>
      </w:r>
    </w:p>
    <w:p w14:paraId="62CDCDF2"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Hu, S. (2024). </w:t>
      </w:r>
      <w:r w:rsidRPr="008172AE">
        <w:rPr>
          <w:rFonts w:ascii="Times New Roman" w:eastAsia="Times New Roman" w:hAnsi="Times New Roman" w:cs="Times New Roman"/>
          <w:i/>
          <w:color w:val="000000" w:themeColor="text1"/>
          <w:sz w:val="24"/>
          <w:szCs w:val="24"/>
        </w:rPr>
        <w:t>Wind Energy</w:t>
      </w:r>
      <w:r w:rsidRPr="008172AE">
        <w:rPr>
          <w:rFonts w:ascii="Times New Roman" w:eastAsia="Times New Roman" w:hAnsi="Times New Roman" w:cs="Times New Roman"/>
          <w:color w:val="000000" w:themeColor="text1"/>
          <w:sz w:val="24"/>
          <w:szCs w:val="24"/>
        </w:rPr>
        <w:t xml:space="preserve">. Available at: </w:t>
      </w:r>
      <w:hyperlink r:id="rId61" w:anchor="what-is">
        <w:r w:rsidRPr="008172AE">
          <w:rPr>
            <w:rFonts w:ascii="Times New Roman" w:eastAsia="Times New Roman" w:hAnsi="Times New Roman" w:cs="Times New Roman"/>
            <w:color w:val="000000" w:themeColor="text1"/>
            <w:sz w:val="24"/>
            <w:szCs w:val="24"/>
            <w:u w:val="single"/>
          </w:rPr>
          <w:t>https://www.nrdc.org/stories/wind-energy#what-is</w:t>
        </w:r>
      </w:hyperlink>
      <w:r w:rsidRPr="008172AE">
        <w:rPr>
          <w:rFonts w:ascii="Times New Roman" w:eastAsia="Times New Roman" w:hAnsi="Times New Roman" w:cs="Times New Roman"/>
          <w:color w:val="000000" w:themeColor="text1"/>
          <w:sz w:val="24"/>
          <w:szCs w:val="24"/>
        </w:rPr>
        <w:t>. (Accessed: 8 October 2024)</w:t>
      </w:r>
    </w:p>
    <w:p w14:paraId="0C62B15B"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IEA/IRENA (2019). </w:t>
      </w:r>
      <w:r w:rsidRPr="008172AE">
        <w:rPr>
          <w:rFonts w:ascii="Times New Roman" w:eastAsia="Times New Roman" w:hAnsi="Times New Roman" w:cs="Times New Roman"/>
          <w:i/>
          <w:color w:val="000000" w:themeColor="text1"/>
          <w:sz w:val="24"/>
          <w:szCs w:val="24"/>
        </w:rPr>
        <w:t xml:space="preserve">Contract for Difference (CfD). </w:t>
      </w:r>
      <w:r w:rsidRPr="008172AE">
        <w:rPr>
          <w:rFonts w:ascii="Times New Roman" w:eastAsia="Times New Roman" w:hAnsi="Times New Roman" w:cs="Times New Roman"/>
          <w:color w:val="000000" w:themeColor="text1"/>
          <w:sz w:val="24"/>
          <w:szCs w:val="24"/>
        </w:rPr>
        <w:t xml:space="preserve">Available </w:t>
      </w:r>
      <w:hyperlink r:id="rId62">
        <w:r w:rsidRPr="008172AE">
          <w:rPr>
            <w:rFonts w:ascii="Times New Roman" w:eastAsia="Times New Roman" w:hAnsi="Times New Roman" w:cs="Times New Roman"/>
            <w:color w:val="000000" w:themeColor="text1"/>
            <w:sz w:val="24"/>
            <w:szCs w:val="24"/>
            <w:u w:val="single"/>
          </w:rPr>
          <w:t>https://www.iea.org/policies/5731-contract-for-difference-cfd</w:t>
        </w:r>
      </w:hyperlink>
      <w:r w:rsidRPr="008172AE">
        <w:rPr>
          <w:rFonts w:ascii="Times New Roman" w:eastAsia="Times New Roman" w:hAnsi="Times New Roman" w:cs="Times New Roman"/>
          <w:color w:val="000000" w:themeColor="text1"/>
          <w:sz w:val="24"/>
          <w:szCs w:val="24"/>
        </w:rPr>
        <w:t>. (Accessed: 8 October 2024)</w:t>
      </w:r>
    </w:p>
    <w:p w14:paraId="413AADE0"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IEA/IRENA (2020). </w:t>
      </w:r>
      <w:r w:rsidRPr="008172AE">
        <w:rPr>
          <w:rFonts w:ascii="Times New Roman" w:eastAsia="Times New Roman" w:hAnsi="Times New Roman" w:cs="Times New Roman"/>
          <w:i/>
          <w:color w:val="000000" w:themeColor="text1"/>
          <w:sz w:val="24"/>
          <w:szCs w:val="24"/>
        </w:rPr>
        <w:t>Renewables Obligation (RO)</w:t>
      </w:r>
      <w:r w:rsidRPr="008172AE">
        <w:rPr>
          <w:rFonts w:ascii="Times New Roman" w:eastAsia="Times New Roman" w:hAnsi="Times New Roman" w:cs="Times New Roman"/>
          <w:color w:val="000000" w:themeColor="text1"/>
          <w:sz w:val="24"/>
          <w:szCs w:val="24"/>
        </w:rPr>
        <w:t xml:space="preserve">. Available at: </w:t>
      </w:r>
      <w:hyperlink r:id="rId63">
        <w:r w:rsidRPr="008172AE">
          <w:rPr>
            <w:rFonts w:ascii="Times New Roman" w:eastAsia="Times New Roman" w:hAnsi="Times New Roman" w:cs="Times New Roman"/>
            <w:color w:val="000000" w:themeColor="text1"/>
            <w:sz w:val="24"/>
            <w:szCs w:val="24"/>
            <w:u w:val="single"/>
          </w:rPr>
          <w:t>https://www.iea.org/policies/4182-renewables-obligation-ro</w:t>
        </w:r>
      </w:hyperlink>
      <w:r w:rsidRPr="008172AE">
        <w:rPr>
          <w:rFonts w:ascii="Times New Roman" w:eastAsia="Times New Roman" w:hAnsi="Times New Roman" w:cs="Times New Roman"/>
          <w:color w:val="000000" w:themeColor="text1"/>
          <w:sz w:val="24"/>
          <w:szCs w:val="24"/>
        </w:rPr>
        <w:t>. (Accessed: 8 October 2024)</w:t>
      </w:r>
    </w:p>
    <w:p w14:paraId="032D3E99"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IRENA (2012). </w:t>
      </w:r>
      <w:r w:rsidRPr="008172AE">
        <w:rPr>
          <w:rFonts w:ascii="Times New Roman" w:eastAsia="Times New Roman" w:hAnsi="Times New Roman" w:cs="Times New Roman"/>
          <w:i/>
          <w:color w:val="000000" w:themeColor="text1"/>
          <w:sz w:val="24"/>
          <w:szCs w:val="24"/>
        </w:rPr>
        <w:t>30 Years of Policies for Wind Energy</w:t>
      </w:r>
      <w:r w:rsidRPr="008172AE">
        <w:rPr>
          <w:rFonts w:ascii="Times New Roman" w:eastAsia="Times New Roman" w:hAnsi="Times New Roman" w:cs="Times New Roman"/>
          <w:color w:val="000000" w:themeColor="text1"/>
          <w:sz w:val="24"/>
          <w:szCs w:val="24"/>
        </w:rPr>
        <w:t xml:space="preserve">. Available at:  </w:t>
      </w:r>
      <w:hyperlink r:id="rId64">
        <w:r w:rsidRPr="008172AE">
          <w:rPr>
            <w:rFonts w:ascii="Times New Roman" w:eastAsia="Times New Roman" w:hAnsi="Times New Roman" w:cs="Times New Roman"/>
            <w:color w:val="000000" w:themeColor="text1"/>
            <w:sz w:val="24"/>
            <w:szCs w:val="24"/>
            <w:u w:val="single"/>
          </w:rPr>
          <w:t>https://www.gwec.net/wp-content/uploads/2012/06/IRENA_GWEC_WindReport_Full.pdf</w:t>
        </w:r>
      </w:hyperlink>
      <w:r w:rsidRPr="008172AE">
        <w:rPr>
          <w:rFonts w:ascii="Times New Roman" w:eastAsia="Times New Roman" w:hAnsi="Times New Roman" w:cs="Times New Roman"/>
          <w:color w:val="000000" w:themeColor="text1"/>
          <w:sz w:val="24"/>
          <w:szCs w:val="24"/>
        </w:rPr>
        <w:t xml:space="preserve">. (Accessed: 8 October 2024) </w:t>
      </w:r>
    </w:p>
    <w:p w14:paraId="79C72D59"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proofErr w:type="spellStart"/>
      <w:r w:rsidRPr="008172AE">
        <w:rPr>
          <w:rFonts w:ascii="Times New Roman" w:eastAsia="Times New Roman" w:hAnsi="Times New Roman" w:cs="Times New Roman"/>
          <w:color w:val="000000" w:themeColor="text1"/>
          <w:sz w:val="24"/>
          <w:szCs w:val="24"/>
        </w:rPr>
        <w:t>Iweh</w:t>
      </w:r>
      <w:proofErr w:type="spellEnd"/>
      <w:r w:rsidRPr="008172AE">
        <w:rPr>
          <w:rFonts w:ascii="Times New Roman" w:eastAsia="Times New Roman" w:hAnsi="Times New Roman" w:cs="Times New Roman"/>
          <w:color w:val="000000" w:themeColor="text1"/>
          <w:sz w:val="24"/>
          <w:szCs w:val="24"/>
        </w:rPr>
        <w:t xml:space="preserve">, C.D., </w:t>
      </w:r>
      <w:proofErr w:type="spellStart"/>
      <w:r w:rsidRPr="008172AE">
        <w:rPr>
          <w:rFonts w:ascii="Times New Roman" w:eastAsia="Times New Roman" w:hAnsi="Times New Roman" w:cs="Times New Roman"/>
          <w:color w:val="000000" w:themeColor="text1"/>
          <w:sz w:val="24"/>
          <w:szCs w:val="24"/>
        </w:rPr>
        <w:t>Gyamfi</w:t>
      </w:r>
      <w:proofErr w:type="spellEnd"/>
      <w:r w:rsidRPr="008172AE">
        <w:rPr>
          <w:rFonts w:ascii="Times New Roman" w:eastAsia="Times New Roman" w:hAnsi="Times New Roman" w:cs="Times New Roman"/>
          <w:color w:val="000000" w:themeColor="text1"/>
          <w:sz w:val="24"/>
          <w:szCs w:val="24"/>
        </w:rPr>
        <w:t xml:space="preserve">, S., </w:t>
      </w:r>
      <w:proofErr w:type="spellStart"/>
      <w:r w:rsidRPr="008172AE">
        <w:rPr>
          <w:rFonts w:ascii="Times New Roman" w:eastAsia="Times New Roman" w:hAnsi="Times New Roman" w:cs="Times New Roman"/>
          <w:color w:val="000000" w:themeColor="text1"/>
          <w:sz w:val="24"/>
          <w:szCs w:val="24"/>
        </w:rPr>
        <w:t>Tanyi</w:t>
      </w:r>
      <w:proofErr w:type="spellEnd"/>
      <w:r w:rsidRPr="008172AE">
        <w:rPr>
          <w:rFonts w:ascii="Times New Roman" w:eastAsia="Times New Roman" w:hAnsi="Times New Roman" w:cs="Times New Roman"/>
          <w:color w:val="000000" w:themeColor="text1"/>
          <w:sz w:val="24"/>
          <w:szCs w:val="24"/>
        </w:rPr>
        <w:t xml:space="preserve">, E. and </w:t>
      </w:r>
      <w:proofErr w:type="spellStart"/>
      <w:r w:rsidRPr="008172AE">
        <w:rPr>
          <w:rFonts w:ascii="Times New Roman" w:eastAsia="Times New Roman" w:hAnsi="Times New Roman" w:cs="Times New Roman"/>
          <w:color w:val="000000" w:themeColor="text1"/>
          <w:sz w:val="24"/>
          <w:szCs w:val="24"/>
        </w:rPr>
        <w:t>Effah-Donyina</w:t>
      </w:r>
      <w:proofErr w:type="spellEnd"/>
      <w:r w:rsidRPr="008172AE">
        <w:rPr>
          <w:rFonts w:ascii="Times New Roman" w:eastAsia="Times New Roman" w:hAnsi="Times New Roman" w:cs="Times New Roman"/>
          <w:color w:val="000000" w:themeColor="text1"/>
          <w:sz w:val="24"/>
          <w:szCs w:val="24"/>
        </w:rPr>
        <w:t xml:space="preserve">, E. (2021)‘Distributed generation and renewable energy integration into the grid: Prerequisites, push factors, practical options, issues and </w:t>
      </w:r>
      <w:proofErr w:type="spellStart"/>
      <w:r w:rsidRPr="008172AE">
        <w:rPr>
          <w:rFonts w:ascii="Times New Roman" w:eastAsia="Times New Roman" w:hAnsi="Times New Roman" w:cs="Times New Roman"/>
          <w:color w:val="000000" w:themeColor="text1"/>
          <w:sz w:val="24"/>
          <w:szCs w:val="24"/>
        </w:rPr>
        <w:t>merits’,</w:t>
      </w:r>
      <w:r w:rsidRPr="008172AE">
        <w:rPr>
          <w:rFonts w:ascii="Times New Roman" w:eastAsia="Times New Roman" w:hAnsi="Times New Roman" w:cs="Times New Roman"/>
          <w:i/>
          <w:color w:val="000000" w:themeColor="text1"/>
          <w:sz w:val="24"/>
          <w:szCs w:val="24"/>
        </w:rPr>
        <w:t>Energies</w:t>
      </w:r>
      <w:proofErr w:type="spellEnd"/>
      <w:r w:rsidRPr="008172AE">
        <w:rPr>
          <w:rFonts w:ascii="Times New Roman" w:eastAsia="Times New Roman" w:hAnsi="Times New Roman" w:cs="Times New Roman"/>
          <w:color w:val="000000" w:themeColor="text1"/>
          <w:sz w:val="24"/>
          <w:szCs w:val="24"/>
        </w:rPr>
        <w:t>, 14(17), p.5375.</w:t>
      </w:r>
    </w:p>
    <w:p w14:paraId="6923B142"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Jansen, M., </w:t>
      </w:r>
      <w:proofErr w:type="spellStart"/>
      <w:r w:rsidRPr="008172AE">
        <w:rPr>
          <w:rFonts w:ascii="Times New Roman" w:eastAsia="Times New Roman" w:hAnsi="Times New Roman" w:cs="Times New Roman"/>
          <w:color w:val="000000" w:themeColor="text1"/>
          <w:sz w:val="24"/>
          <w:szCs w:val="24"/>
        </w:rPr>
        <w:t>Beiter</w:t>
      </w:r>
      <w:proofErr w:type="spellEnd"/>
      <w:r w:rsidRPr="008172AE">
        <w:rPr>
          <w:rFonts w:ascii="Times New Roman" w:eastAsia="Times New Roman" w:hAnsi="Times New Roman" w:cs="Times New Roman"/>
          <w:color w:val="000000" w:themeColor="text1"/>
          <w:sz w:val="24"/>
          <w:szCs w:val="24"/>
        </w:rPr>
        <w:t xml:space="preserve">, P., </w:t>
      </w:r>
      <w:proofErr w:type="spellStart"/>
      <w:r w:rsidRPr="008172AE">
        <w:rPr>
          <w:rFonts w:ascii="Times New Roman" w:eastAsia="Times New Roman" w:hAnsi="Times New Roman" w:cs="Times New Roman"/>
          <w:color w:val="000000" w:themeColor="text1"/>
          <w:sz w:val="24"/>
          <w:szCs w:val="24"/>
        </w:rPr>
        <w:t>Riepin</w:t>
      </w:r>
      <w:proofErr w:type="spellEnd"/>
      <w:r w:rsidRPr="008172AE">
        <w:rPr>
          <w:rFonts w:ascii="Times New Roman" w:eastAsia="Times New Roman" w:hAnsi="Times New Roman" w:cs="Times New Roman"/>
          <w:color w:val="000000" w:themeColor="text1"/>
          <w:sz w:val="24"/>
          <w:szCs w:val="24"/>
        </w:rPr>
        <w:t xml:space="preserve">, I., </w:t>
      </w:r>
      <w:proofErr w:type="spellStart"/>
      <w:r w:rsidRPr="008172AE">
        <w:rPr>
          <w:rFonts w:ascii="Times New Roman" w:eastAsia="Times New Roman" w:hAnsi="Times New Roman" w:cs="Times New Roman"/>
          <w:color w:val="000000" w:themeColor="text1"/>
          <w:sz w:val="24"/>
          <w:szCs w:val="24"/>
        </w:rPr>
        <w:t>Müsgens</w:t>
      </w:r>
      <w:proofErr w:type="spellEnd"/>
      <w:r w:rsidRPr="008172AE">
        <w:rPr>
          <w:rFonts w:ascii="Times New Roman" w:eastAsia="Times New Roman" w:hAnsi="Times New Roman" w:cs="Times New Roman"/>
          <w:color w:val="000000" w:themeColor="text1"/>
          <w:sz w:val="24"/>
          <w:szCs w:val="24"/>
        </w:rPr>
        <w:t xml:space="preserve">, F., Guajardo-Fajardo, V.J., </w:t>
      </w:r>
      <w:proofErr w:type="spellStart"/>
      <w:r w:rsidRPr="008172AE">
        <w:rPr>
          <w:rFonts w:ascii="Times New Roman" w:eastAsia="Times New Roman" w:hAnsi="Times New Roman" w:cs="Times New Roman"/>
          <w:color w:val="000000" w:themeColor="text1"/>
          <w:sz w:val="24"/>
          <w:szCs w:val="24"/>
        </w:rPr>
        <w:t>Staffell</w:t>
      </w:r>
      <w:proofErr w:type="spellEnd"/>
      <w:r w:rsidRPr="008172AE">
        <w:rPr>
          <w:rFonts w:ascii="Times New Roman" w:eastAsia="Times New Roman" w:hAnsi="Times New Roman" w:cs="Times New Roman"/>
          <w:color w:val="000000" w:themeColor="text1"/>
          <w:sz w:val="24"/>
          <w:szCs w:val="24"/>
        </w:rPr>
        <w:t xml:space="preserve">, I., </w:t>
      </w:r>
      <w:proofErr w:type="spellStart"/>
      <w:r w:rsidRPr="008172AE">
        <w:rPr>
          <w:rFonts w:ascii="Times New Roman" w:eastAsia="Times New Roman" w:hAnsi="Times New Roman" w:cs="Times New Roman"/>
          <w:color w:val="000000" w:themeColor="text1"/>
          <w:sz w:val="24"/>
          <w:szCs w:val="24"/>
        </w:rPr>
        <w:t>Bulder</w:t>
      </w:r>
      <w:proofErr w:type="spellEnd"/>
      <w:r w:rsidRPr="008172AE">
        <w:rPr>
          <w:rFonts w:ascii="Times New Roman" w:eastAsia="Times New Roman" w:hAnsi="Times New Roman" w:cs="Times New Roman"/>
          <w:color w:val="000000" w:themeColor="text1"/>
          <w:sz w:val="24"/>
          <w:szCs w:val="24"/>
        </w:rPr>
        <w:t xml:space="preserve">, B. and </w:t>
      </w:r>
      <w:proofErr w:type="spellStart"/>
      <w:r w:rsidRPr="008172AE">
        <w:rPr>
          <w:rFonts w:ascii="Times New Roman" w:eastAsia="Times New Roman" w:hAnsi="Times New Roman" w:cs="Times New Roman"/>
          <w:color w:val="000000" w:themeColor="text1"/>
          <w:sz w:val="24"/>
          <w:szCs w:val="24"/>
        </w:rPr>
        <w:t>Kitzing</w:t>
      </w:r>
      <w:proofErr w:type="spellEnd"/>
      <w:r w:rsidRPr="008172AE">
        <w:rPr>
          <w:rFonts w:ascii="Times New Roman" w:eastAsia="Times New Roman" w:hAnsi="Times New Roman" w:cs="Times New Roman"/>
          <w:color w:val="000000" w:themeColor="text1"/>
          <w:sz w:val="24"/>
          <w:szCs w:val="24"/>
        </w:rPr>
        <w:t xml:space="preserve">, L. (2022)‘Policy choices and outcomes for offshore wind auctions </w:t>
      </w:r>
      <w:proofErr w:type="spellStart"/>
      <w:r w:rsidRPr="008172AE">
        <w:rPr>
          <w:rFonts w:ascii="Times New Roman" w:eastAsia="Times New Roman" w:hAnsi="Times New Roman" w:cs="Times New Roman"/>
          <w:color w:val="000000" w:themeColor="text1"/>
          <w:sz w:val="24"/>
          <w:szCs w:val="24"/>
        </w:rPr>
        <w:t>globally’,</w:t>
      </w:r>
      <w:r w:rsidRPr="008172AE">
        <w:rPr>
          <w:rFonts w:ascii="Times New Roman" w:eastAsia="Times New Roman" w:hAnsi="Times New Roman" w:cs="Times New Roman"/>
          <w:i/>
          <w:color w:val="000000" w:themeColor="text1"/>
          <w:sz w:val="24"/>
          <w:szCs w:val="24"/>
        </w:rPr>
        <w:t>Energy</w:t>
      </w:r>
      <w:proofErr w:type="spellEnd"/>
      <w:r w:rsidRPr="008172AE">
        <w:rPr>
          <w:rFonts w:ascii="Times New Roman" w:eastAsia="Times New Roman" w:hAnsi="Times New Roman" w:cs="Times New Roman"/>
          <w:i/>
          <w:color w:val="000000" w:themeColor="text1"/>
          <w:sz w:val="24"/>
          <w:szCs w:val="24"/>
        </w:rPr>
        <w:t xml:space="preserve"> Policy</w:t>
      </w:r>
      <w:r w:rsidRPr="008172AE">
        <w:rPr>
          <w:rFonts w:ascii="Times New Roman" w:eastAsia="Times New Roman" w:hAnsi="Times New Roman" w:cs="Times New Roman"/>
          <w:color w:val="000000" w:themeColor="text1"/>
          <w:sz w:val="24"/>
          <w:szCs w:val="24"/>
        </w:rPr>
        <w:t>, 167, p.113000.</w:t>
      </w:r>
    </w:p>
    <w:p w14:paraId="1954208C"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highlight w:val="white"/>
        </w:rPr>
        <w:t>Johnson, J.L., Adkins, D. and Chauvin, S., (2020). ‘A review of the quality indicators of rigor in qualitative research’. </w:t>
      </w:r>
      <w:r w:rsidRPr="008172AE">
        <w:rPr>
          <w:rFonts w:ascii="Times New Roman" w:eastAsia="Times New Roman" w:hAnsi="Times New Roman" w:cs="Times New Roman"/>
          <w:i/>
          <w:color w:val="000000" w:themeColor="text1"/>
          <w:sz w:val="24"/>
          <w:szCs w:val="24"/>
          <w:highlight w:val="white"/>
        </w:rPr>
        <w:t>American journal of pharmaceutical education</w:t>
      </w:r>
      <w:r w:rsidRPr="008172AE">
        <w:rPr>
          <w:rFonts w:ascii="Times New Roman" w:eastAsia="Times New Roman" w:hAnsi="Times New Roman" w:cs="Times New Roman"/>
          <w:color w:val="000000" w:themeColor="text1"/>
          <w:sz w:val="24"/>
          <w:szCs w:val="24"/>
          <w:highlight w:val="white"/>
        </w:rPr>
        <w:t>, </w:t>
      </w:r>
      <w:r w:rsidRPr="008172AE">
        <w:rPr>
          <w:rFonts w:ascii="Times New Roman" w:eastAsia="Times New Roman" w:hAnsi="Times New Roman" w:cs="Times New Roman"/>
          <w:i/>
          <w:color w:val="000000" w:themeColor="text1"/>
          <w:sz w:val="24"/>
          <w:szCs w:val="24"/>
          <w:highlight w:val="white"/>
        </w:rPr>
        <w:t>84</w:t>
      </w:r>
      <w:r w:rsidRPr="008172AE">
        <w:rPr>
          <w:rFonts w:ascii="Times New Roman" w:eastAsia="Times New Roman" w:hAnsi="Times New Roman" w:cs="Times New Roman"/>
          <w:color w:val="000000" w:themeColor="text1"/>
          <w:sz w:val="24"/>
          <w:szCs w:val="24"/>
          <w:highlight w:val="white"/>
        </w:rPr>
        <w:t xml:space="preserve">(1), p.7120. </w:t>
      </w:r>
      <w:hyperlink r:id="rId65">
        <w:r w:rsidRPr="008172AE">
          <w:rPr>
            <w:rFonts w:ascii="Times New Roman" w:eastAsia="Times New Roman" w:hAnsi="Times New Roman" w:cs="Times New Roman"/>
            <w:color w:val="000000" w:themeColor="text1"/>
            <w:sz w:val="24"/>
            <w:szCs w:val="24"/>
            <w:highlight w:val="white"/>
            <w:u w:val="single"/>
          </w:rPr>
          <w:t>https://www.sciencedirect.com/science/article/pii/S0002945923016066</w:t>
        </w:r>
      </w:hyperlink>
    </w:p>
    <w:p w14:paraId="4B716018"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lastRenderedPageBreak/>
        <w:t xml:space="preserve">Kang, H., (2021). Sample size determination and power analysis using the G* Power software. Journal of educational evaluation for health professions, 18. </w:t>
      </w:r>
      <w:hyperlink r:id="rId66">
        <w:r w:rsidRPr="008172AE">
          <w:rPr>
            <w:rFonts w:ascii="Times New Roman" w:eastAsia="Times New Roman" w:hAnsi="Times New Roman" w:cs="Times New Roman"/>
            <w:color w:val="000000" w:themeColor="text1"/>
            <w:sz w:val="24"/>
            <w:szCs w:val="24"/>
            <w:highlight w:val="white"/>
            <w:u w:val="single"/>
          </w:rPr>
          <w:t>https://synapse.koreamed.org/articles/1149215</w:t>
        </w:r>
      </w:hyperlink>
    </w:p>
    <w:p w14:paraId="57804C43"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t xml:space="preserve">Karunarathna, I., </w:t>
      </w:r>
      <w:proofErr w:type="spellStart"/>
      <w:r w:rsidRPr="008172AE">
        <w:rPr>
          <w:rFonts w:ascii="Times New Roman" w:eastAsia="Times New Roman" w:hAnsi="Times New Roman" w:cs="Times New Roman"/>
          <w:color w:val="000000" w:themeColor="text1"/>
          <w:sz w:val="24"/>
          <w:szCs w:val="24"/>
          <w:highlight w:val="white"/>
        </w:rPr>
        <w:t>Gunasena</w:t>
      </w:r>
      <w:proofErr w:type="spellEnd"/>
      <w:r w:rsidRPr="008172AE">
        <w:rPr>
          <w:rFonts w:ascii="Times New Roman" w:eastAsia="Times New Roman" w:hAnsi="Times New Roman" w:cs="Times New Roman"/>
          <w:color w:val="000000" w:themeColor="text1"/>
          <w:sz w:val="24"/>
          <w:szCs w:val="24"/>
          <w:highlight w:val="white"/>
        </w:rPr>
        <w:t xml:space="preserve">, P., </w:t>
      </w:r>
      <w:proofErr w:type="spellStart"/>
      <w:r w:rsidRPr="008172AE">
        <w:rPr>
          <w:rFonts w:ascii="Times New Roman" w:eastAsia="Times New Roman" w:hAnsi="Times New Roman" w:cs="Times New Roman"/>
          <w:color w:val="000000" w:themeColor="text1"/>
          <w:sz w:val="24"/>
          <w:szCs w:val="24"/>
          <w:highlight w:val="white"/>
        </w:rPr>
        <w:t>Hapuarachchi</w:t>
      </w:r>
      <w:proofErr w:type="spellEnd"/>
      <w:r w:rsidRPr="008172AE">
        <w:rPr>
          <w:rFonts w:ascii="Times New Roman" w:eastAsia="Times New Roman" w:hAnsi="Times New Roman" w:cs="Times New Roman"/>
          <w:color w:val="000000" w:themeColor="text1"/>
          <w:sz w:val="24"/>
          <w:szCs w:val="24"/>
          <w:highlight w:val="white"/>
        </w:rPr>
        <w:t xml:space="preserve">, T. and Gunathilake, S., 2024. The crucial role of data collection in research: Techniques, challenges, and best practices. </w:t>
      </w:r>
      <w:hyperlink r:id="rId67">
        <w:r w:rsidRPr="008172AE">
          <w:rPr>
            <w:rFonts w:ascii="Times New Roman" w:eastAsia="Times New Roman" w:hAnsi="Times New Roman" w:cs="Times New Roman"/>
            <w:color w:val="000000" w:themeColor="text1"/>
            <w:sz w:val="24"/>
            <w:szCs w:val="24"/>
            <w:highlight w:val="white"/>
            <w:u w:val="single"/>
          </w:rPr>
          <w:t>https://www.researchgate.net/profile/Indunil-Karunarathna/publication/383155720_The_Crucial_Role_of_Data_Collection_in_Research_Techniques_Challenges_and_Best_Practices/links/66bef1c6311cbb09493d6200/The-Crucial-Role-of-Data-Collection-in-Research-Techniques-Challenges-and-Best-Practices.pdf</w:t>
        </w:r>
      </w:hyperlink>
    </w:p>
    <w:p w14:paraId="6FFA947B"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u w:val="single"/>
        </w:rPr>
      </w:pPr>
      <w:r w:rsidRPr="008172AE">
        <w:rPr>
          <w:rFonts w:ascii="Times New Roman" w:eastAsia="Times New Roman" w:hAnsi="Times New Roman" w:cs="Times New Roman"/>
          <w:color w:val="000000" w:themeColor="text1"/>
          <w:sz w:val="24"/>
          <w:szCs w:val="24"/>
        </w:rPr>
        <w:t xml:space="preserve">Kelly, L.M. and Cordeiro, M. (2020). ‘Three principles of pragmatism for research on organizational </w:t>
      </w:r>
      <w:proofErr w:type="gramStart"/>
      <w:r w:rsidRPr="008172AE">
        <w:rPr>
          <w:rFonts w:ascii="Times New Roman" w:eastAsia="Times New Roman" w:hAnsi="Times New Roman" w:cs="Times New Roman"/>
          <w:color w:val="000000" w:themeColor="text1"/>
          <w:sz w:val="24"/>
          <w:szCs w:val="24"/>
        </w:rPr>
        <w:t>processes’</w:t>
      </w:r>
      <w:proofErr w:type="gramEnd"/>
      <w:r w:rsidRPr="008172AE">
        <w:rPr>
          <w:rFonts w:ascii="Times New Roman" w:eastAsia="Times New Roman" w:hAnsi="Times New Roman" w:cs="Times New Roman"/>
          <w:color w:val="000000" w:themeColor="text1"/>
          <w:sz w:val="24"/>
          <w:szCs w:val="24"/>
        </w:rPr>
        <w:t xml:space="preserve">. </w:t>
      </w:r>
      <w:r w:rsidRPr="008172AE">
        <w:rPr>
          <w:rFonts w:ascii="Times New Roman" w:eastAsia="Times New Roman" w:hAnsi="Times New Roman" w:cs="Times New Roman"/>
          <w:i/>
          <w:color w:val="000000" w:themeColor="text1"/>
          <w:sz w:val="24"/>
          <w:szCs w:val="24"/>
        </w:rPr>
        <w:t>Methodological innovations</w:t>
      </w:r>
      <w:r w:rsidRPr="008172AE">
        <w:rPr>
          <w:rFonts w:ascii="Times New Roman" w:eastAsia="Times New Roman" w:hAnsi="Times New Roman" w:cs="Times New Roman"/>
          <w:color w:val="000000" w:themeColor="text1"/>
          <w:sz w:val="24"/>
          <w:szCs w:val="24"/>
        </w:rPr>
        <w:t xml:space="preserve">, </w:t>
      </w:r>
      <w:r w:rsidRPr="008172AE">
        <w:rPr>
          <w:rFonts w:ascii="Times New Roman" w:eastAsia="Times New Roman" w:hAnsi="Times New Roman" w:cs="Times New Roman"/>
          <w:i/>
          <w:color w:val="000000" w:themeColor="text1"/>
          <w:sz w:val="24"/>
          <w:szCs w:val="24"/>
        </w:rPr>
        <w:t>13</w:t>
      </w:r>
      <w:r w:rsidRPr="008172AE">
        <w:rPr>
          <w:rFonts w:ascii="Times New Roman" w:eastAsia="Times New Roman" w:hAnsi="Times New Roman" w:cs="Times New Roman"/>
          <w:color w:val="000000" w:themeColor="text1"/>
          <w:sz w:val="24"/>
          <w:szCs w:val="24"/>
        </w:rPr>
        <w:t>(2), p.2059799120937242.</w:t>
      </w:r>
      <w:hyperlink r:id="rId68">
        <w:r w:rsidRPr="008172AE">
          <w:rPr>
            <w:rFonts w:ascii="Times New Roman" w:eastAsia="Times New Roman" w:hAnsi="Times New Roman" w:cs="Times New Roman"/>
            <w:color w:val="000000" w:themeColor="text1"/>
            <w:sz w:val="24"/>
            <w:szCs w:val="24"/>
            <w:u w:val="single"/>
          </w:rPr>
          <w:t>https://journals.sagepub.com/doi/pdf/10.1177/2059799120937242</w:t>
        </w:r>
      </w:hyperlink>
    </w:p>
    <w:p w14:paraId="7B1F3355" w14:textId="77777777" w:rsidR="007C5593" w:rsidRPr="008172AE" w:rsidRDefault="000A5866" w:rsidP="008172AE">
      <w:pPr>
        <w:spacing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Khalid, M., (2024). Smart grids and renewable energy systems: Perspectives and grid integration challenges. </w:t>
      </w:r>
      <w:r w:rsidRPr="008172AE">
        <w:rPr>
          <w:rFonts w:ascii="Times New Roman" w:eastAsia="Times New Roman" w:hAnsi="Times New Roman" w:cs="Times New Roman"/>
          <w:i/>
          <w:color w:val="000000" w:themeColor="text1"/>
          <w:sz w:val="24"/>
          <w:szCs w:val="24"/>
        </w:rPr>
        <w:t>Energy Strategy Reviews</w:t>
      </w:r>
      <w:r w:rsidRPr="008172AE">
        <w:rPr>
          <w:rFonts w:ascii="Times New Roman" w:eastAsia="Times New Roman" w:hAnsi="Times New Roman" w:cs="Times New Roman"/>
          <w:color w:val="000000" w:themeColor="text1"/>
          <w:sz w:val="24"/>
          <w:szCs w:val="24"/>
        </w:rPr>
        <w:t xml:space="preserve">, </w:t>
      </w:r>
      <w:r w:rsidRPr="008172AE">
        <w:rPr>
          <w:rFonts w:ascii="Times New Roman" w:eastAsia="Times New Roman" w:hAnsi="Times New Roman" w:cs="Times New Roman"/>
          <w:i/>
          <w:color w:val="000000" w:themeColor="text1"/>
          <w:sz w:val="24"/>
          <w:szCs w:val="24"/>
        </w:rPr>
        <w:t>51</w:t>
      </w:r>
      <w:r w:rsidRPr="008172AE">
        <w:rPr>
          <w:rFonts w:ascii="Times New Roman" w:eastAsia="Times New Roman" w:hAnsi="Times New Roman" w:cs="Times New Roman"/>
          <w:color w:val="000000" w:themeColor="text1"/>
          <w:sz w:val="24"/>
          <w:szCs w:val="24"/>
        </w:rPr>
        <w:t>, p.101299.</w:t>
      </w:r>
    </w:p>
    <w:p w14:paraId="77013F6F"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highlight w:val="white"/>
        </w:rPr>
        <w:t xml:space="preserve">Khodadadi, A. and Poudineh, R., (2024). </w:t>
      </w:r>
      <w:r w:rsidRPr="008172AE">
        <w:rPr>
          <w:rFonts w:ascii="Times New Roman" w:eastAsia="Times New Roman" w:hAnsi="Times New Roman" w:cs="Times New Roman"/>
          <w:i/>
          <w:color w:val="000000" w:themeColor="text1"/>
          <w:sz w:val="24"/>
          <w:szCs w:val="24"/>
          <w:highlight w:val="white"/>
        </w:rPr>
        <w:t>Contracts for difference-CfDs-in the energy transition: Balancing market efficiency and risk mitigation</w:t>
      </w:r>
      <w:r w:rsidRPr="008172AE">
        <w:rPr>
          <w:rFonts w:ascii="Times New Roman" w:eastAsia="Times New Roman" w:hAnsi="Times New Roman" w:cs="Times New Roman"/>
          <w:color w:val="000000" w:themeColor="text1"/>
          <w:sz w:val="24"/>
          <w:szCs w:val="24"/>
          <w:highlight w:val="white"/>
        </w:rPr>
        <w:t xml:space="preserve"> (No. 56). OIES Paper: EL.</w:t>
      </w:r>
    </w:p>
    <w:p w14:paraId="05EB7366"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t xml:space="preserve">Kumari, S.K.V., Lavanya, K., Vidhya, V., Premila, G.A.D.J.S. and Lawrence, B., 2023. </w:t>
      </w:r>
      <w:r w:rsidRPr="008172AE">
        <w:rPr>
          <w:rFonts w:ascii="Times New Roman" w:eastAsia="Times New Roman" w:hAnsi="Times New Roman" w:cs="Times New Roman"/>
          <w:i/>
          <w:color w:val="000000" w:themeColor="text1"/>
          <w:sz w:val="24"/>
          <w:szCs w:val="24"/>
          <w:highlight w:val="white"/>
        </w:rPr>
        <w:t>Research methodology</w:t>
      </w:r>
      <w:r w:rsidRPr="008172AE">
        <w:rPr>
          <w:rFonts w:ascii="Times New Roman" w:eastAsia="Times New Roman" w:hAnsi="Times New Roman" w:cs="Times New Roman"/>
          <w:color w:val="000000" w:themeColor="text1"/>
          <w:sz w:val="24"/>
          <w:szCs w:val="24"/>
          <w:highlight w:val="white"/>
        </w:rPr>
        <w:t xml:space="preserve"> (Vol. 1). Darshan Publishers. </w:t>
      </w:r>
      <w:hyperlink r:id="rId69">
        <w:r w:rsidRPr="008172AE">
          <w:rPr>
            <w:rFonts w:ascii="Times New Roman" w:eastAsia="Times New Roman" w:hAnsi="Times New Roman" w:cs="Times New Roman"/>
            <w:color w:val="000000" w:themeColor="text1"/>
            <w:sz w:val="24"/>
            <w:szCs w:val="24"/>
            <w:highlight w:val="white"/>
            <w:u w:val="single"/>
          </w:rPr>
          <w:t>https://books.google.com/books?hl=en&amp;lr=&amp;id=obG1EAAAQBAJ&amp;oi=fnd&amp;pg=PA9&amp;dq=research+methodology+&amp;ots=-h-8-qlHIN&amp;sig=90u18x-ltTno2-5sxHnLm1liJs8</w:t>
        </w:r>
      </w:hyperlink>
    </w:p>
    <w:p w14:paraId="34B6BD16"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Legislation (2024). </w:t>
      </w:r>
      <w:r w:rsidRPr="008172AE">
        <w:rPr>
          <w:rFonts w:ascii="Times New Roman" w:eastAsia="Times New Roman" w:hAnsi="Times New Roman" w:cs="Times New Roman"/>
          <w:i/>
          <w:color w:val="000000" w:themeColor="text1"/>
          <w:sz w:val="24"/>
          <w:szCs w:val="24"/>
        </w:rPr>
        <w:t>Oil and Gas (Enterprise) Act 1982</w:t>
      </w:r>
      <w:r w:rsidRPr="008172AE">
        <w:rPr>
          <w:rFonts w:ascii="Times New Roman" w:eastAsia="Times New Roman" w:hAnsi="Times New Roman" w:cs="Times New Roman"/>
          <w:color w:val="000000" w:themeColor="text1"/>
          <w:sz w:val="24"/>
          <w:szCs w:val="24"/>
        </w:rPr>
        <w:t xml:space="preserve">. Available at: </w:t>
      </w:r>
      <w:hyperlink r:id="rId70">
        <w:r w:rsidRPr="008172AE">
          <w:rPr>
            <w:rFonts w:ascii="Times New Roman" w:eastAsia="Times New Roman" w:hAnsi="Times New Roman" w:cs="Times New Roman"/>
            <w:color w:val="000000" w:themeColor="text1"/>
            <w:sz w:val="24"/>
            <w:szCs w:val="24"/>
            <w:u w:val="single"/>
          </w:rPr>
          <w:t>https://www.legislation.gov.uk/ukpga/1982/23/contents</w:t>
        </w:r>
      </w:hyperlink>
      <w:r w:rsidRPr="008172AE">
        <w:rPr>
          <w:rFonts w:ascii="Times New Roman" w:eastAsia="Times New Roman" w:hAnsi="Times New Roman" w:cs="Times New Roman"/>
          <w:color w:val="000000" w:themeColor="text1"/>
          <w:sz w:val="24"/>
          <w:szCs w:val="24"/>
        </w:rPr>
        <w:t xml:space="preserve"> (Accessed: 16 October 2024)</w:t>
      </w:r>
    </w:p>
    <w:p w14:paraId="6180D533"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proofErr w:type="spellStart"/>
      <w:r w:rsidRPr="008172AE">
        <w:rPr>
          <w:rFonts w:ascii="Times New Roman" w:eastAsia="Times New Roman" w:hAnsi="Times New Roman" w:cs="Times New Roman"/>
          <w:color w:val="000000" w:themeColor="text1"/>
          <w:sz w:val="24"/>
          <w:szCs w:val="24"/>
        </w:rPr>
        <w:lastRenderedPageBreak/>
        <w:t>Loughney</w:t>
      </w:r>
      <w:proofErr w:type="spellEnd"/>
      <w:r w:rsidRPr="008172AE">
        <w:rPr>
          <w:rFonts w:ascii="Times New Roman" w:eastAsia="Times New Roman" w:hAnsi="Times New Roman" w:cs="Times New Roman"/>
          <w:color w:val="000000" w:themeColor="text1"/>
          <w:sz w:val="24"/>
          <w:szCs w:val="24"/>
        </w:rPr>
        <w:t xml:space="preserve">, S., Wang, J., Bashir, M., Armin, M. and Yang, Y. (2021)‘Development and application of a multiple-attribute decision-analysis methodology for site selection of floating offshore wind farms on the UK Continental </w:t>
      </w:r>
      <w:proofErr w:type="spellStart"/>
      <w:r w:rsidRPr="008172AE">
        <w:rPr>
          <w:rFonts w:ascii="Times New Roman" w:eastAsia="Times New Roman" w:hAnsi="Times New Roman" w:cs="Times New Roman"/>
          <w:color w:val="000000" w:themeColor="text1"/>
          <w:sz w:val="24"/>
          <w:szCs w:val="24"/>
        </w:rPr>
        <w:t>Shelf’,</w:t>
      </w:r>
      <w:r w:rsidRPr="008172AE">
        <w:rPr>
          <w:rFonts w:ascii="Times New Roman" w:eastAsia="Times New Roman" w:hAnsi="Times New Roman" w:cs="Times New Roman"/>
          <w:i/>
          <w:color w:val="000000" w:themeColor="text1"/>
          <w:sz w:val="24"/>
          <w:szCs w:val="24"/>
        </w:rPr>
        <w:t>Sustainable</w:t>
      </w:r>
      <w:proofErr w:type="spellEnd"/>
      <w:r w:rsidRPr="008172AE">
        <w:rPr>
          <w:rFonts w:ascii="Times New Roman" w:eastAsia="Times New Roman" w:hAnsi="Times New Roman" w:cs="Times New Roman"/>
          <w:i/>
          <w:color w:val="000000" w:themeColor="text1"/>
          <w:sz w:val="24"/>
          <w:szCs w:val="24"/>
        </w:rPr>
        <w:t xml:space="preserve"> Energy Technologies and Assessments</w:t>
      </w:r>
      <w:r w:rsidRPr="008172AE">
        <w:rPr>
          <w:rFonts w:ascii="Times New Roman" w:eastAsia="Times New Roman" w:hAnsi="Times New Roman" w:cs="Times New Roman"/>
          <w:color w:val="000000" w:themeColor="text1"/>
          <w:sz w:val="24"/>
          <w:szCs w:val="24"/>
        </w:rPr>
        <w:t>, 47, p.101440.</w:t>
      </w:r>
    </w:p>
    <w:p w14:paraId="267FE80F"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LSE (2020). </w:t>
      </w:r>
      <w:r w:rsidRPr="008172AE">
        <w:rPr>
          <w:rFonts w:ascii="Times New Roman" w:eastAsia="Times New Roman" w:hAnsi="Times New Roman" w:cs="Times New Roman"/>
          <w:i/>
          <w:color w:val="000000" w:themeColor="text1"/>
          <w:sz w:val="24"/>
          <w:szCs w:val="24"/>
        </w:rPr>
        <w:t>How important is onshore wind energy to the UK?</w:t>
      </w:r>
      <w:r w:rsidRPr="008172AE">
        <w:rPr>
          <w:rFonts w:ascii="Times New Roman" w:eastAsia="Times New Roman" w:hAnsi="Times New Roman" w:cs="Times New Roman"/>
          <w:color w:val="000000" w:themeColor="text1"/>
          <w:sz w:val="24"/>
          <w:szCs w:val="24"/>
        </w:rPr>
        <w:t xml:space="preserve"> Available at: </w:t>
      </w:r>
      <w:hyperlink r:id="rId71">
        <w:r w:rsidRPr="008172AE">
          <w:rPr>
            <w:rFonts w:ascii="Times New Roman" w:eastAsia="Times New Roman" w:hAnsi="Times New Roman" w:cs="Times New Roman"/>
            <w:color w:val="000000" w:themeColor="text1"/>
            <w:sz w:val="24"/>
            <w:szCs w:val="24"/>
            <w:u w:val="single"/>
          </w:rPr>
          <w:t>https://www.lse.ac.uk/granthaminstitute/explainers/how-important-is-onshore-wind-power-to-the-uk/</w:t>
        </w:r>
      </w:hyperlink>
      <w:r w:rsidRPr="008172AE">
        <w:rPr>
          <w:rFonts w:ascii="Times New Roman" w:eastAsia="Times New Roman" w:hAnsi="Times New Roman" w:cs="Times New Roman"/>
          <w:color w:val="000000" w:themeColor="text1"/>
          <w:sz w:val="24"/>
          <w:szCs w:val="24"/>
        </w:rPr>
        <w:t>. (Accessed: 8 October 2024)</w:t>
      </w:r>
    </w:p>
    <w:p w14:paraId="13F65BD2"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highlight w:val="white"/>
        </w:rPr>
        <w:t xml:space="preserve">Lu, Y., Khan, Z.A., Alvarez-Alvarado, M.S., Zhang, Y., Huang, Z. and Imran, M., (2020). A critical review of sustainable energy policies for the promotion of renewable energy sources. </w:t>
      </w:r>
      <w:r w:rsidRPr="008172AE">
        <w:rPr>
          <w:rFonts w:ascii="Times New Roman" w:eastAsia="Times New Roman" w:hAnsi="Times New Roman" w:cs="Times New Roman"/>
          <w:i/>
          <w:color w:val="000000" w:themeColor="text1"/>
          <w:sz w:val="24"/>
          <w:szCs w:val="24"/>
        </w:rPr>
        <w:t>Sustainability</w:t>
      </w:r>
      <w:r w:rsidRPr="008172AE">
        <w:rPr>
          <w:rFonts w:ascii="Times New Roman" w:eastAsia="Times New Roman" w:hAnsi="Times New Roman" w:cs="Times New Roman"/>
          <w:color w:val="000000" w:themeColor="text1"/>
          <w:sz w:val="24"/>
          <w:szCs w:val="24"/>
        </w:rPr>
        <w:t xml:space="preserve">, </w:t>
      </w:r>
      <w:r w:rsidRPr="008172AE">
        <w:rPr>
          <w:rFonts w:ascii="Times New Roman" w:eastAsia="Times New Roman" w:hAnsi="Times New Roman" w:cs="Times New Roman"/>
          <w:i/>
          <w:color w:val="000000" w:themeColor="text1"/>
          <w:sz w:val="24"/>
          <w:szCs w:val="24"/>
        </w:rPr>
        <w:t>12</w:t>
      </w:r>
      <w:r w:rsidRPr="008172AE">
        <w:rPr>
          <w:rFonts w:ascii="Times New Roman" w:eastAsia="Times New Roman" w:hAnsi="Times New Roman" w:cs="Times New Roman"/>
          <w:color w:val="000000" w:themeColor="text1"/>
          <w:sz w:val="24"/>
          <w:szCs w:val="24"/>
        </w:rPr>
        <w:t>(12), p.5078.</w:t>
      </w:r>
    </w:p>
    <w:p w14:paraId="6D2D4EFE"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t xml:space="preserve">Markard, J., (2020). The life cycle of technological innovation systems. </w:t>
      </w:r>
      <w:r w:rsidRPr="008172AE">
        <w:rPr>
          <w:rFonts w:ascii="Times New Roman" w:eastAsia="Times New Roman" w:hAnsi="Times New Roman" w:cs="Times New Roman"/>
          <w:i/>
          <w:color w:val="000000" w:themeColor="text1"/>
          <w:sz w:val="24"/>
          <w:szCs w:val="24"/>
          <w:highlight w:val="white"/>
        </w:rPr>
        <w:t>Technological forecasting and social change</w:t>
      </w:r>
      <w:r w:rsidRPr="008172AE">
        <w:rPr>
          <w:rFonts w:ascii="Times New Roman" w:eastAsia="Times New Roman" w:hAnsi="Times New Roman" w:cs="Times New Roman"/>
          <w:color w:val="000000" w:themeColor="text1"/>
          <w:sz w:val="24"/>
          <w:szCs w:val="24"/>
          <w:highlight w:val="white"/>
        </w:rPr>
        <w:t xml:space="preserve">, </w:t>
      </w:r>
      <w:r w:rsidRPr="008172AE">
        <w:rPr>
          <w:rFonts w:ascii="Times New Roman" w:eastAsia="Times New Roman" w:hAnsi="Times New Roman" w:cs="Times New Roman"/>
          <w:i/>
          <w:color w:val="000000" w:themeColor="text1"/>
          <w:sz w:val="24"/>
          <w:szCs w:val="24"/>
          <w:highlight w:val="white"/>
        </w:rPr>
        <w:t>153</w:t>
      </w:r>
      <w:r w:rsidRPr="008172AE">
        <w:rPr>
          <w:rFonts w:ascii="Times New Roman" w:eastAsia="Times New Roman" w:hAnsi="Times New Roman" w:cs="Times New Roman"/>
          <w:color w:val="000000" w:themeColor="text1"/>
          <w:sz w:val="24"/>
          <w:szCs w:val="24"/>
          <w:highlight w:val="white"/>
        </w:rPr>
        <w:t xml:space="preserve">, p.119407. </w:t>
      </w:r>
      <w:hyperlink r:id="rId72">
        <w:r w:rsidRPr="008172AE">
          <w:rPr>
            <w:rFonts w:ascii="Times New Roman" w:eastAsia="Times New Roman" w:hAnsi="Times New Roman" w:cs="Times New Roman"/>
            <w:color w:val="000000" w:themeColor="text1"/>
            <w:sz w:val="24"/>
            <w:szCs w:val="24"/>
            <w:highlight w:val="white"/>
            <w:u w:val="single"/>
          </w:rPr>
          <w:t>https://www.research-collection.ethz.ch/bitstream/handle/20.500.11850/291404/2/TISDynamicsFinal.pdf</w:t>
        </w:r>
      </w:hyperlink>
    </w:p>
    <w:p w14:paraId="7E3C5FF4"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Mavrokefalidis, D. (2024). </w:t>
      </w:r>
      <w:r w:rsidRPr="008172AE">
        <w:rPr>
          <w:rFonts w:ascii="Times New Roman" w:eastAsia="Times New Roman" w:hAnsi="Times New Roman" w:cs="Times New Roman"/>
          <w:i/>
          <w:color w:val="000000" w:themeColor="text1"/>
          <w:sz w:val="24"/>
          <w:szCs w:val="24"/>
        </w:rPr>
        <w:t xml:space="preserve">‘UK energy bills rise by £100m due to wind farm </w:t>
      </w:r>
      <w:proofErr w:type="gramStart"/>
      <w:r w:rsidRPr="008172AE">
        <w:rPr>
          <w:rFonts w:ascii="Times New Roman" w:eastAsia="Times New Roman" w:hAnsi="Times New Roman" w:cs="Times New Roman"/>
          <w:i/>
          <w:color w:val="000000" w:themeColor="text1"/>
          <w:sz w:val="24"/>
          <w:szCs w:val="24"/>
        </w:rPr>
        <w:t>shutdowns’</w:t>
      </w:r>
      <w:proofErr w:type="gramEnd"/>
      <w:r w:rsidRPr="008172AE">
        <w:rPr>
          <w:rFonts w:ascii="Times New Roman" w:eastAsia="Times New Roman" w:hAnsi="Times New Roman" w:cs="Times New Roman"/>
          <w:color w:val="000000" w:themeColor="text1"/>
          <w:sz w:val="24"/>
          <w:szCs w:val="24"/>
        </w:rPr>
        <w:t xml:space="preserve">. Available at: </w:t>
      </w:r>
      <w:hyperlink r:id="rId73">
        <w:r w:rsidRPr="008172AE">
          <w:rPr>
            <w:rFonts w:ascii="Times New Roman" w:eastAsia="Times New Roman" w:hAnsi="Times New Roman" w:cs="Times New Roman"/>
            <w:color w:val="000000" w:themeColor="text1"/>
            <w:sz w:val="24"/>
            <w:szCs w:val="24"/>
            <w:u w:val="single"/>
          </w:rPr>
          <w:t>https://www.energylivenews.com/2024/10/14/uk-energy-bills-rise-by-100m-due-to-wind-farm-shutdowns/</w:t>
        </w:r>
      </w:hyperlink>
      <w:r w:rsidRPr="008172AE">
        <w:rPr>
          <w:rFonts w:ascii="Times New Roman" w:eastAsia="Times New Roman" w:hAnsi="Times New Roman" w:cs="Times New Roman"/>
          <w:color w:val="000000" w:themeColor="text1"/>
          <w:sz w:val="24"/>
          <w:szCs w:val="24"/>
        </w:rPr>
        <w:t xml:space="preserve"> [Accessed on 15 November 2024].</w:t>
      </w:r>
    </w:p>
    <w:p w14:paraId="6D3A133E"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t xml:space="preserve">Mohajan, H.K., (2020). ‘Quantitative research: A successful investigation in natural and social </w:t>
      </w:r>
      <w:proofErr w:type="gramStart"/>
      <w:r w:rsidRPr="008172AE">
        <w:rPr>
          <w:rFonts w:ascii="Times New Roman" w:eastAsia="Times New Roman" w:hAnsi="Times New Roman" w:cs="Times New Roman"/>
          <w:color w:val="000000" w:themeColor="text1"/>
          <w:sz w:val="24"/>
          <w:szCs w:val="24"/>
          <w:highlight w:val="white"/>
        </w:rPr>
        <w:t>sciences’</w:t>
      </w:r>
      <w:proofErr w:type="gramEnd"/>
      <w:r w:rsidRPr="008172AE">
        <w:rPr>
          <w:rFonts w:ascii="Times New Roman" w:eastAsia="Times New Roman" w:hAnsi="Times New Roman" w:cs="Times New Roman"/>
          <w:color w:val="000000" w:themeColor="text1"/>
          <w:sz w:val="24"/>
          <w:szCs w:val="24"/>
          <w:highlight w:val="white"/>
        </w:rPr>
        <w:t>. </w:t>
      </w:r>
      <w:r w:rsidRPr="008172AE">
        <w:rPr>
          <w:rFonts w:ascii="Times New Roman" w:eastAsia="Times New Roman" w:hAnsi="Times New Roman" w:cs="Times New Roman"/>
          <w:i/>
          <w:color w:val="000000" w:themeColor="text1"/>
          <w:sz w:val="24"/>
          <w:szCs w:val="24"/>
          <w:highlight w:val="white"/>
        </w:rPr>
        <w:t>Journal of Economic Development, Environment and People</w:t>
      </w:r>
      <w:r w:rsidRPr="008172AE">
        <w:rPr>
          <w:rFonts w:ascii="Times New Roman" w:eastAsia="Times New Roman" w:hAnsi="Times New Roman" w:cs="Times New Roman"/>
          <w:color w:val="000000" w:themeColor="text1"/>
          <w:sz w:val="24"/>
          <w:szCs w:val="24"/>
          <w:highlight w:val="white"/>
        </w:rPr>
        <w:t>, </w:t>
      </w:r>
      <w:r w:rsidRPr="008172AE">
        <w:rPr>
          <w:rFonts w:ascii="Times New Roman" w:eastAsia="Times New Roman" w:hAnsi="Times New Roman" w:cs="Times New Roman"/>
          <w:i/>
          <w:color w:val="000000" w:themeColor="text1"/>
          <w:sz w:val="24"/>
          <w:szCs w:val="24"/>
          <w:highlight w:val="white"/>
        </w:rPr>
        <w:t>9</w:t>
      </w:r>
      <w:r w:rsidRPr="008172AE">
        <w:rPr>
          <w:rFonts w:ascii="Times New Roman" w:eastAsia="Times New Roman" w:hAnsi="Times New Roman" w:cs="Times New Roman"/>
          <w:color w:val="000000" w:themeColor="text1"/>
          <w:sz w:val="24"/>
          <w:szCs w:val="24"/>
          <w:highlight w:val="white"/>
        </w:rPr>
        <w:t xml:space="preserve">(4), pp.50-79. </w:t>
      </w:r>
      <w:hyperlink r:id="rId74">
        <w:r w:rsidRPr="008172AE">
          <w:rPr>
            <w:rFonts w:ascii="Times New Roman" w:eastAsia="Times New Roman" w:hAnsi="Times New Roman" w:cs="Times New Roman"/>
            <w:color w:val="000000" w:themeColor="text1"/>
            <w:sz w:val="24"/>
            <w:szCs w:val="24"/>
            <w:highlight w:val="white"/>
            <w:u w:val="single"/>
          </w:rPr>
          <w:t>https://www.ceeol.com/search/article-detail?id=939590</w:t>
        </w:r>
      </w:hyperlink>
    </w:p>
    <w:p w14:paraId="6801183F"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lastRenderedPageBreak/>
        <w:t>Mtisi, S., (2022). ‘The qualitative case study research strategy as applied on a rural enterprise development doctoral research project’. </w:t>
      </w:r>
      <w:r w:rsidRPr="008172AE">
        <w:rPr>
          <w:rFonts w:ascii="Times New Roman" w:eastAsia="Times New Roman" w:hAnsi="Times New Roman" w:cs="Times New Roman"/>
          <w:i/>
          <w:color w:val="000000" w:themeColor="text1"/>
          <w:sz w:val="24"/>
          <w:szCs w:val="24"/>
          <w:highlight w:val="white"/>
        </w:rPr>
        <w:t>International Journal of Qualitative Methods</w:t>
      </w:r>
      <w:r w:rsidRPr="008172AE">
        <w:rPr>
          <w:rFonts w:ascii="Times New Roman" w:eastAsia="Times New Roman" w:hAnsi="Times New Roman" w:cs="Times New Roman"/>
          <w:color w:val="000000" w:themeColor="text1"/>
          <w:sz w:val="24"/>
          <w:szCs w:val="24"/>
          <w:highlight w:val="white"/>
        </w:rPr>
        <w:t>, </w:t>
      </w:r>
      <w:r w:rsidRPr="008172AE">
        <w:rPr>
          <w:rFonts w:ascii="Times New Roman" w:eastAsia="Times New Roman" w:hAnsi="Times New Roman" w:cs="Times New Roman"/>
          <w:i/>
          <w:color w:val="000000" w:themeColor="text1"/>
          <w:sz w:val="24"/>
          <w:szCs w:val="24"/>
          <w:highlight w:val="white"/>
        </w:rPr>
        <w:t>21</w:t>
      </w:r>
      <w:r w:rsidRPr="008172AE">
        <w:rPr>
          <w:rFonts w:ascii="Times New Roman" w:eastAsia="Times New Roman" w:hAnsi="Times New Roman" w:cs="Times New Roman"/>
          <w:color w:val="000000" w:themeColor="text1"/>
          <w:sz w:val="24"/>
          <w:szCs w:val="24"/>
          <w:highlight w:val="white"/>
        </w:rPr>
        <w:t xml:space="preserve">, p.16094069221145849. </w:t>
      </w:r>
      <w:hyperlink r:id="rId75">
        <w:r w:rsidRPr="008172AE">
          <w:rPr>
            <w:rFonts w:ascii="Times New Roman" w:eastAsia="Times New Roman" w:hAnsi="Times New Roman" w:cs="Times New Roman"/>
            <w:color w:val="000000" w:themeColor="text1"/>
            <w:sz w:val="24"/>
            <w:szCs w:val="24"/>
            <w:highlight w:val="white"/>
            <w:u w:val="single"/>
          </w:rPr>
          <w:t>https://journals.sagepub.com/doi/abs/10.1177/16094069221145849</w:t>
        </w:r>
      </w:hyperlink>
    </w:p>
    <w:p w14:paraId="0D0C2A4B"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Murgas, B., </w:t>
      </w:r>
      <w:proofErr w:type="spellStart"/>
      <w:r w:rsidRPr="008172AE">
        <w:rPr>
          <w:rFonts w:ascii="Times New Roman" w:eastAsia="Times New Roman" w:hAnsi="Times New Roman" w:cs="Times New Roman"/>
          <w:color w:val="000000" w:themeColor="text1"/>
          <w:sz w:val="24"/>
          <w:szCs w:val="24"/>
        </w:rPr>
        <w:t>Henao</w:t>
      </w:r>
      <w:proofErr w:type="spellEnd"/>
      <w:r w:rsidRPr="008172AE">
        <w:rPr>
          <w:rFonts w:ascii="Times New Roman" w:eastAsia="Times New Roman" w:hAnsi="Times New Roman" w:cs="Times New Roman"/>
          <w:color w:val="000000" w:themeColor="text1"/>
          <w:sz w:val="24"/>
          <w:szCs w:val="24"/>
        </w:rPr>
        <w:t xml:space="preserve">, A. and Guzman, L. (2021) ‘Evaluation of investments in wind energy projects, under uncertainty. state of the art review’, </w:t>
      </w:r>
      <w:r w:rsidRPr="008172AE">
        <w:rPr>
          <w:rFonts w:ascii="Times New Roman" w:eastAsia="Times New Roman" w:hAnsi="Times New Roman" w:cs="Times New Roman"/>
          <w:i/>
          <w:color w:val="000000" w:themeColor="text1"/>
          <w:sz w:val="24"/>
          <w:szCs w:val="24"/>
        </w:rPr>
        <w:t>Applied Sciences</w:t>
      </w:r>
      <w:r w:rsidRPr="008172AE">
        <w:rPr>
          <w:rFonts w:ascii="Times New Roman" w:eastAsia="Times New Roman" w:hAnsi="Times New Roman" w:cs="Times New Roman"/>
          <w:color w:val="000000" w:themeColor="text1"/>
          <w:sz w:val="24"/>
          <w:szCs w:val="24"/>
        </w:rPr>
        <w:t xml:space="preserve">, </w:t>
      </w:r>
      <w:r w:rsidRPr="008172AE">
        <w:rPr>
          <w:rFonts w:ascii="Times New Roman" w:eastAsia="Times New Roman" w:hAnsi="Times New Roman" w:cs="Times New Roman"/>
          <w:i/>
          <w:color w:val="000000" w:themeColor="text1"/>
          <w:sz w:val="24"/>
          <w:szCs w:val="24"/>
        </w:rPr>
        <w:t>11</w:t>
      </w:r>
      <w:r w:rsidRPr="008172AE">
        <w:rPr>
          <w:rFonts w:ascii="Times New Roman" w:eastAsia="Times New Roman" w:hAnsi="Times New Roman" w:cs="Times New Roman"/>
          <w:color w:val="000000" w:themeColor="text1"/>
          <w:sz w:val="24"/>
          <w:szCs w:val="24"/>
        </w:rPr>
        <w:t>(21), p.10213. https://www.mdpi.com/2076-3417/11/21/10213</w:t>
      </w:r>
    </w:p>
    <w:p w14:paraId="26BF26F6"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National Grid (2024). </w:t>
      </w:r>
      <w:r w:rsidRPr="008172AE">
        <w:rPr>
          <w:rFonts w:ascii="Times New Roman" w:eastAsia="Times New Roman" w:hAnsi="Times New Roman" w:cs="Times New Roman"/>
          <w:i/>
          <w:color w:val="000000" w:themeColor="text1"/>
          <w:sz w:val="24"/>
          <w:szCs w:val="24"/>
        </w:rPr>
        <w:t>The history of wind energy</w:t>
      </w:r>
      <w:r w:rsidRPr="008172AE">
        <w:rPr>
          <w:rFonts w:ascii="Times New Roman" w:eastAsia="Times New Roman" w:hAnsi="Times New Roman" w:cs="Times New Roman"/>
          <w:color w:val="000000" w:themeColor="text1"/>
          <w:sz w:val="24"/>
          <w:szCs w:val="24"/>
        </w:rPr>
        <w:t xml:space="preserve">. Available at: </w:t>
      </w:r>
      <w:hyperlink r:id="rId76" w:anchor=":~:text=In%20November%201991%2C%20the%20Delabole,wind%20farm%20in%20the%20UK.&amp;text=The%20world's%20first%20offshore%20wind,Denmark%20with%2011%20450kW%20turbines">
        <w:r w:rsidRPr="008172AE">
          <w:rPr>
            <w:rFonts w:ascii="Times New Roman" w:eastAsia="Times New Roman" w:hAnsi="Times New Roman" w:cs="Times New Roman"/>
            <w:color w:val="000000" w:themeColor="text1"/>
            <w:sz w:val="24"/>
            <w:szCs w:val="24"/>
            <w:u w:val="single"/>
          </w:rPr>
          <w:t>https://www.nationalgrid.com/stories/energy-explained/history-wind-energy#:~:text=In%20November%201991%2C%20the%20Delabole,wind%20farm%20in%20the%20UK.&amp;text=The%20world's%20first%20offshore%20wind,Denmark%20with%2011%20450kW%20turbines</w:t>
        </w:r>
      </w:hyperlink>
      <w:r w:rsidRPr="008172AE">
        <w:rPr>
          <w:rFonts w:ascii="Times New Roman" w:eastAsia="Times New Roman" w:hAnsi="Times New Roman" w:cs="Times New Roman"/>
          <w:color w:val="000000" w:themeColor="text1"/>
          <w:sz w:val="24"/>
          <w:szCs w:val="24"/>
        </w:rPr>
        <w:t>. (Accessed: 16 October 2024)</w:t>
      </w:r>
    </w:p>
    <w:p w14:paraId="0E466930"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Neso.energy  (2024), </w:t>
      </w:r>
      <w:r w:rsidRPr="008172AE">
        <w:rPr>
          <w:rFonts w:ascii="Times New Roman" w:eastAsia="Times New Roman" w:hAnsi="Times New Roman" w:cs="Times New Roman"/>
          <w:i/>
          <w:color w:val="000000" w:themeColor="text1"/>
          <w:sz w:val="24"/>
          <w:szCs w:val="24"/>
        </w:rPr>
        <w:t>Great Britain’s Monthly Energy Stats 2024,</w:t>
      </w:r>
      <w:r w:rsidRPr="008172AE">
        <w:rPr>
          <w:rFonts w:ascii="Times New Roman" w:eastAsia="Times New Roman" w:hAnsi="Times New Roman" w:cs="Times New Roman"/>
          <w:color w:val="000000" w:themeColor="text1"/>
          <w:sz w:val="24"/>
          <w:szCs w:val="24"/>
        </w:rPr>
        <w:t xml:space="preserve"> Available at:</w:t>
      </w:r>
      <w:hyperlink r:id="rId77">
        <w:r w:rsidRPr="008172AE">
          <w:rPr>
            <w:rFonts w:ascii="Times New Roman" w:eastAsia="Times New Roman" w:hAnsi="Times New Roman" w:cs="Times New Roman"/>
            <w:color w:val="000000" w:themeColor="text1"/>
            <w:sz w:val="24"/>
            <w:szCs w:val="24"/>
          </w:rPr>
          <w:t xml:space="preserve"> </w:t>
        </w:r>
      </w:hyperlink>
      <w:hyperlink r:id="rId78">
        <w:r w:rsidRPr="008172AE">
          <w:rPr>
            <w:rFonts w:ascii="Times New Roman" w:eastAsia="Times New Roman" w:hAnsi="Times New Roman" w:cs="Times New Roman"/>
            <w:color w:val="000000" w:themeColor="text1"/>
            <w:sz w:val="24"/>
            <w:szCs w:val="24"/>
            <w:u w:val="single"/>
          </w:rPr>
          <w:t>https://www.neso.energy/energy-101/great-britains-monthly-energy-stats</w:t>
        </w:r>
      </w:hyperlink>
      <w:r w:rsidRPr="008172AE">
        <w:rPr>
          <w:rFonts w:ascii="Times New Roman" w:eastAsia="Times New Roman" w:hAnsi="Times New Roman" w:cs="Times New Roman"/>
          <w:color w:val="000000" w:themeColor="text1"/>
          <w:sz w:val="24"/>
          <w:szCs w:val="24"/>
        </w:rPr>
        <w:t xml:space="preserve"> [Accessed on 15 November 2024]</w:t>
      </w:r>
    </w:p>
    <w:p w14:paraId="3E3E044B"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u w:val="single"/>
        </w:rPr>
      </w:pPr>
      <w:r w:rsidRPr="008172AE">
        <w:rPr>
          <w:rFonts w:ascii="Times New Roman" w:eastAsia="Times New Roman" w:hAnsi="Times New Roman" w:cs="Times New Roman"/>
          <w:color w:val="000000" w:themeColor="text1"/>
          <w:sz w:val="24"/>
          <w:szCs w:val="24"/>
        </w:rPr>
        <w:t xml:space="preserve">Olawale, S.R., </w:t>
      </w:r>
      <w:proofErr w:type="spellStart"/>
      <w:r w:rsidRPr="008172AE">
        <w:rPr>
          <w:rFonts w:ascii="Times New Roman" w:eastAsia="Times New Roman" w:hAnsi="Times New Roman" w:cs="Times New Roman"/>
          <w:color w:val="000000" w:themeColor="text1"/>
          <w:sz w:val="24"/>
          <w:szCs w:val="24"/>
        </w:rPr>
        <w:t>Chinagozi</w:t>
      </w:r>
      <w:proofErr w:type="spellEnd"/>
      <w:r w:rsidRPr="008172AE">
        <w:rPr>
          <w:rFonts w:ascii="Times New Roman" w:eastAsia="Times New Roman" w:hAnsi="Times New Roman" w:cs="Times New Roman"/>
          <w:color w:val="000000" w:themeColor="text1"/>
          <w:sz w:val="24"/>
          <w:szCs w:val="24"/>
        </w:rPr>
        <w:t xml:space="preserve">, O.G. and Joe, O.N. (2023). ‘Exploratory research design in management science: A review of literature on conduct and application’. </w:t>
      </w:r>
      <w:r w:rsidRPr="008172AE">
        <w:rPr>
          <w:rFonts w:ascii="Times New Roman" w:eastAsia="Times New Roman" w:hAnsi="Times New Roman" w:cs="Times New Roman"/>
          <w:i/>
          <w:color w:val="000000" w:themeColor="text1"/>
          <w:sz w:val="24"/>
          <w:szCs w:val="24"/>
        </w:rPr>
        <w:t>International Journal of Research and Innovation in Social Science</w:t>
      </w:r>
      <w:r w:rsidRPr="008172AE">
        <w:rPr>
          <w:rFonts w:ascii="Times New Roman" w:eastAsia="Times New Roman" w:hAnsi="Times New Roman" w:cs="Times New Roman"/>
          <w:color w:val="000000" w:themeColor="text1"/>
          <w:sz w:val="24"/>
          <w:szCs w:val="24"/>
        </w:rPr>
        <w:t xml:space="preserve">, </w:t>
      </w:r>
      <w:r w:rsidRPr="008172AE">
        <w:rPr>
          <w:rFonts w:ascii="Times New Roman" w:eastAsia="Times New Roman" w:hAnsi="Times New Roman" w:cs="Times New Roman"/>
          <w:i/>
          <w:color w:val="000000" w:themeColor="text1"/>
          <w:sz w:val="24"/>
          <w:szCs w:val="24"/>
        </w:rPr>
        <w:t>7</w:t>
      </w:r>
      <w:r w:rsidRPr="008172AE">
        <w:rPr>
          <w:rFonts w:ascii="Times New Roman" w:eastAsia="Times New Roman" w:hAnsi="Times New Roman" w:cs="Times New Roman"/>
          <w:color w:val="000000" w:themeColor="text1"/>
          <w:sz w:val="24"/>
          <w:szCs w:val="24"/>
        </w:rPr>
        <w:t>(4), pp.1384-1395.</w:t>
      </w:r>
      <w:hyperlink r:id="rId79">
        <w:r w:rsidRPr="008172AE">
          <w:rPr>
            <w:rFonts w:ascii="Times New Roman" w:eastAsia="Times New Roman" w:hAnsi="Times New Roman" w:cs="Times New Roman"/>
            <w:color w:val="000000" w:themeColor="text1"/>
            <w:sz w:val="24"/>
            <w:szCs w:val="24"/>
            <w:u w:val="single"/>
          </w:rPr>
          <w:t>https://www.researchgate.net/profile/Rahmon-Saka/publication/370960798_Exploratory_Research_Design_in_Management_Science_A_Review_of_Literature_on_Conduct_and_Application/links/663bc00708aa54017aee05c9/Exploratory-Research-Design-in-Management-Science-A-Review-of-Literature-on-Conduct-and-Application.pdf</w:t>
        </w:r>
      </w:hyperlink>
    </w:p>
    <w:p w14:paraId="6C379160"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u w:val="single"/>
        </w:rPr>
      </w:pPr>
      <w:r w:rsidRPr="008172AE">
        <w:rPr>
          <w:rFonts w:ascii="Times New Roman" w:eastAsia="Times New Roman" w:hAnsi="Times New Roman" w:cs="Times New Roman"/>
          <w:color w:val="000000" w:themeColor="text1"/>
          <w:sz w:val="24"/>
          <w:szCs w:val="24"/>
        </w:rPr>
        <w:lastRenderedPageBreak/>
        <w:t xml:space="preserve">Pacheco-Romero, M., </w:t>
      </w:r>
      <w:proofErr w:type="spellStart"/>
      <w:r w:rsidRPr="008172AE">
        <w:rPr>
          <w:rFonts w:ascii="Times New Roman" w:eastAsia="Times New Roman" w:hAnsi="Times New Roman" w:cs="Times New Roman"/>
          <w:color w:val="000000" w:themeColor="text1"/>
          <w:sz w:val="24"/>
          <w:szCs w:val="24"/>
        </w:rPr>
        <w:t>Kuemmerle</w:t>
      </w:r>
      <w:proofErr w:type="spellEnd"/>
      <w:r w:rsidRPr="008172AE">
        <w:rPr>
          <w:rFonts w:ascii="Times New Roman" w:eastAsia="Times New Roman" w:hAnsi="Times New Roman" w:cs="Times New Roman"/>
          <w:color w:val="000000" w:themeColor="text1"/>
          <w:sz w:val="24"/>
          <w:szCs w:val="24"/>
        </w:rPr>
        <w:t xml:space="preserve">, T., Levers, C., Alcaraz-Segura, D. and Cabello, J. (2021). Integrating inductive and deductive analysis to identify and characterize archetypical social-ecological systems and their changes. </w:t>
      </w:r>
      <w:r w:rsidRPr="008172AE">
        <w:rPr>
          <w:rFonts w:ascii="Times New Roman" w:eastAsia="Times New Roman" w:hAnsi="Times New Roman" w:cs="Times New Roman"/>
          <w:i/>
          <w:color w:val="000000" w:themeColor="text1"/>
          <w:sz w:val="24"/>
          <w:szCs w:val="24"/>
        </w:rPr>
        <w:t>Landscape and Urban Planning</w:t>
      </w:r>
      <w:r w:rsidRPr="008172AE">
        <w:rPr>
          <w:rFonts w:ascii="Times New Roman" w:eastAsia="Times New Roman" w:hAnsi="Times New Roman" w:cs="Times New Roman"/>
          <w:color w:val="000000" w:themeColor="text1"/>
          <w:sz w:val="24"/>
          <w:szCs w:val="24"/>
        </w:rPr>
        <w:t xml:space="preserve">, </w:t>
      </w:r>
      <w:r w:rsidRPr="008172AE">
        <w:rPr>
          <w:rFonts w:ascii="Times New Roman" w:eastAsia="Times New Roman" w:hAnsi="Times New Roman" w:cs="Times New Roman"/>
          <w:i/>
          <w:color w:val="000000" w:themeColor="text1"/>
          <w:sz w:val="24"/>
          <w:szCs w:val="24"/>
        </w:rPr>
        <w:t>215</w:t>
      </w:r>
      <w:r w:rsidRPr="008172AE">
        <w:rPr>
          <w:rFonts w:ascii="Times New Roman" w:eastAsia="Times New Roman" w:hAnsi="Times New Roman" w:cs="Times New Roman"/>
          <w:color w:val="000000" w:themeColor="text1"/>
          <w:sz w:val="24"/>
          <w:szCs w:val="24"/>
        </w:rPr>
        <w:t>, p.104199.</w:t>
      </w:r>
      <w:hyperlink r:id="rId80">
        <w:r w:rsidRPr="008172AE">
          <w:rPr>
            <w:rFonts w:ascii="Times New Roman" w:eastAsia="Times New Roman" w:hAnsi="Times New Roman" w:cs="Times New Roman"/>
            <w:color w:val="000000" w:themeColor="text1"/>
            <w:sz w:val="24"/>
            <w:szCs w:val="24"/>
            <w:u w:val="single"/>
          </w:rPr>
          <w:t>https://www.sciencedirect.com/science/article/pii/S0169204621001626/pdfft?md5=e810df3f06ba1f6eaa5fdff8c5e5f6a4&amp;pid=1-s2.0-S0169204621001626-main.pdf</w:t>
        </w:r>
      </w:hyperlink>
    </w:p>
    <w:p w14:paraId="2AD111CD"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t xml:space="preserve">Pandey, P. and Pandey, M.M., 2021. </w:t>
      </w:r>
      <w:r w:rsidRPr="008172AE">
        <w:rPr>
          <w:rFonts w:ascii="Times New Roman" w:eastAsia="Times New Roman" w:hAnsi="Times New Roman" w:cs="Times New Roman"/>
          <w:i/>
          <w:color w:val="000000" w:themeColor="text1"/>
          <w:sz w:val="24"/>
          <w:szCs w:val="24"/>
          <w:highlight w:val="white"/>
        </w:rPr>
        <w:t>Research methodology tools and techniques</w:t>
      </w:r>
      <w:r w:rsidRPr="008172AE">
        <w:rPr>
          <w:rFonts w:ascii="Times New Roman" w:eastAsia="Times New Roman" w:hAnsi="Times New Roman" w:cs="Times New Roman"/>
          <w:color w:val="000000" w:themeColor="text1"/>
          <w:sz w:val="24"/>
          <w:szCs w:val="24"/>
          <w:highlight w:val="white"/>
        </w:rPr>
        <w:t xml:space="preserve">. Bridge </w:t>
      </w:r>
      <w:proofErr w:type="spellStart"/>
      <w:r w:rsidRPr="008172AE">
        <w:rPr>
          <w:rFonts w:ascii="Times New Roman" w:eastAsia="Times New Roman" w:hAnsi="Times New Roman" w:cs="Times New Roman"/>
          <w:color w:val="000000" w:themeColor="text1"/>
          <w:sz w:val="24"/>
          <w:szCs w:val="24"/>
          <w:highlight w:val="white"/>
        </w:rPr>
        <w:t>Center</w:t>
      </w:r>
      <w:proofErr w:type="spellEnd"/>
      <w:r w:rsidRPr="008172AE">
        <w:rPr>
          <w:rFonts w:ascii="Times New Roman" w:eastAsia="Times New Roman" w:hAnsi="Times New Roman" w:cs="Times New Roman"/>
          <w:color w:val="000000" w:themeColor="text1"/>
          <w:sz w:val="24"/>
          <w:szCs w:val="24"/>
          <w:highlight w:val="white"/>
        </w:rPr>
        <w:t xml:space="preserve">. </w:t>
      </w:r>
      <w:hyperlink r:id="rId81">
        <w:r w:rsidRPr="008172AE">
          <w:rPr>
            <w:rFonts w:ascii="Times New Roman" w:eastAsia="Times New Roman" w:hAnsi="Times New Roman" w:cs="Times New Roman"/>
            <w:color w:val="000000" w:themeColor="text1"/>
            <w:sz w:val="24"/>
            <w:szCs w:val="24"/>
            <w:highlight w:val="white"/>
            <w:u w:val="single"/>
          </w:rPr>
          <w:t>http://dspace.vnbrims.org:13000/jspui/bitstream/123456789/4666/1/RESEARCH%20METHODOLOGY%20TOOLS%20AND%20TECHNIQUES.pdf</w:t>
        </w:r>
      </w:hyperlink>
    </w:p>
    <w:p w14:paraId="31A4BE1D"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proofErr w:type="spellStart"/>
      <w:r w:rsidRPr="008172AE">
        <w:rPr>
          <w:rFonts w:ascii="Times New Roman" w:eastAsia="Times New Roman" w:hAnsi="Times New Roman" w:cs="Times New Roman"/>
          <w:color w:val="000000" w:themeColor="text1"/>
          <w:sz w:val="24"/>
          <w:szCs w:val="24"/>
          <w:highlight w:val="white"/>
        </w:rPr>
        <w:t>Potrč</w:t>
      </w:r>
      <w:proofErr w:type="spellEnd"/>
      <w:r w:rsidRPr="008172AE">
        <w:rPr>
          <w:rFonts w:ascii="Times New Roman" w:eastAsia="Times New Roman" w:hAnsi="Times New Roman" w:cs="Times New Roman"/>
          <w:color w:val="000000" w:themeColor="text1"/>
          <w:sz w:val="24"/>
          <w:szCs w:val="24"/>
          <w:highlight w:val="white"/>
        </w:rPr>
        <w:t xml:space="preserve">, S., </w:t>
      </w:r>
      <w:proofErr w:type="spellStart"/>
      <w:r w:rsidRPr="008172AE">
        <w:rPr>
          <w:rFonts w:ascii="Times New Roman" w:eastAsia="Times New Roman" w:hAnsi="Times New Roman" w:cs="Times New Roman"/>
          <w:color w:val="000000" w:themeColor="text1"/>
          <w:sz w:val="24"/>
          <w:szCs w:val="24"/>
          <w:highlight w:val="white"/>
        </w:rPr>
        <w:t>Čuček</w:t>
      </w:r>
      <w:proofErr w:type="spellEnd"/>
      <w:r w:rsidRPr="008172AE">
        <w:rPr>
          <w:rFonts w:ascii="Times New Roman" w:eastAsia="Times New Roman" w:hAnsi="Times New Roman" w:cs="Times New Roman"/>
          <w:color w:val="000000" w:themeColor="text1"/>
          <w:sz w:val="24"/>
          <w:szCs w:val="24"/>
          <w:highlight w:val="white"/>
        </w:rPr>
        <w:t xml:space="preserve">, L., Martin, M. and </w:t>
      </w:r>
      <w:proofErr w:type="spellStart"/>
      <w:r w:rsidRPr="008172AE">
        <w:rPr>
          <w:rFonts w:ascii="Times New Roman" w:eastAsia="Times New Roman" w:hAnsi="Times New Roman" w:cs="Times New Roman"/>
          <w:color w:val="000000" w:themeColor="text1"/>
          <w:sz w:val="24"/>
          <w:szCs w:val="24"/>
          <w:highlight w:val="white"/>
        </w:rPr>
        <w:t>Kravanja</w:t>
      </w:r>
      <w:proofErr w:type="spellEnd"/>
      <w:r w:rsidRPr="008172AE">
        <w:rPr>
          <w:rFonts w:ascii="Times New Roman" w:eastAsia="Times New Roman" w:hAnsi="Times New Roman" w:cs="Times New Roman"/>
          <w:color w:val="000000" w:themeColor="text1"/>
          <w:sz w:val="24"/>
          <w:szCs w:val="24"/>
          <w:highlight w:val="white"/>
        </w:rPr>
        <w:t xml:space="preserve">, Z., (2021). ‘Sustainable renewable energy supply networks optimization–The gradual transition to a renewable energy system within the European Union by 2050’. </w:t>
      </w:r>
      <w:r w:rsidRPr="008172AE">
        <w:rPr>
          <w:rFonts w:ascii="Times New Roman" w:eastAsia="Times New Roman" w:hAnsi="Times New Roman" w:cs="Times New Roman"/>
          <w:i/>
          <w:color w:val="000000" w:themeColor="text1"/>
          <w:sz w:val="24"/>
          <w:szCs w:val="24"/>
          <w:highlight w:val="white"/>
        </w:rPr>
        <w:t>Renewable and Sustainable Energy Reviews</w:t>
      </w:r>
      <w:r w:rsidRPr="008172AE">
        <w:rPr>
          <w:rFonts w:ascii="Times New Roman" w:eastAsia="Times New Roman" w:hAnsi="Times New Roman" w:cs="Times New Roman"/>
          <w:color w:val="000000" w:themeColor="text1"/>
          <w:sz w:val="24"/>
          <w:szCs w:val="24"/>
          <w:highlight w:val="white"/>
        </w:rPr>
        <w:t xml:space="preserve">, </w:t>
      </w:r>
      <w:r w:rsidRPr="008172AE">
        <w:rPr>
          <w:rFonts w:ascii="Times New Roman" w:eastAsia="Times New Roman" w:hAnsi="Times New Roman" w:cs="Times New Roman"/>
          <w:i/>
          <w:color w:val="000000" w:themeColor="text1"/>
          <w:sz w:val="24"/>
          <w:szCs w:val="24"/>
          <w:highlight w:val="white"/>
        </w:rPr>
        <w:t>146</w:t>
      </w:r>
      <w:r w:rsidRPr="008172AE">
        <w:rPr>
          <w:rFonts w:ascii="Times New Roman" w:eastAsia="Times New Roman" w:hAnsi="Times New Roman" w:cs="Times New Roman"/>
          <w:color w:val="000000" w:themeColor="text1"/>
          <w:sz w:val="24"/>
          <w:szCs w:val="24"/>
          <w:highlight w:val="white"/>
        </w:rPr>
        <w:t xml:space="preserve">, p.111186. </w:t>
      </w:r>
      <w:hyperlink r:id="rId82">
        <w:r w:rsidRPr="008172AE">
          <w:rPr>
            <w:rFonts w:ascii="Times New Roman" w:eastAsia="Times New Roman" w:hAnsi="Times New Roman" w:cs="Times New Roman"/>
            <w:color w:val="000000" w:themeColor="text1"/>
            <w:sz w:val="24"/>
            <w:szCs w:val="24"/>
            <w:highlight w:val="white"/>
            <w:u w:val="single"/>
          </w:rPr>
          <w:t>https://www.sciencedirect.com/science/article/pii/S1364032121004743</w:t>
        </w:r>
      </w:hyperlink>
    </w:p>
    <w:p w14:paraId="181E33CE"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u w:val="single"/>
        </w:rPr>
      </w:pPr>
      <w:r w:rsidRPr="008172AE">
        <w:rPr>
          <w:rFonts w:ascii="Times New Roman" w:eastAsia="Times New Roman" w:hAnsi="Times New Roman" w:cs="Times New Roman"/>
          <w:color w:val="000000" w:themeColor="text1"/>
          <w:sz w:val="24"/>
          <w:szCs w:val="24"/>
        </w:rPr>
        <w:t xml:space="preserve">Prasad, M. (2021). ‘Pragmatism as problem solving’. </w:t>
      </w:r>
      <w:r w:rsidRPr="008172AE">
        <w:rPr>
          <w:rFonts w:ascii="Times New Roman" w:eastAsia="Times New Roman" w:hAnsi="Times New Roman" w:cs="Times New Roman"/>
          <w:i/>
          <w:color w:val="000000" w:themeColor="text1"/>
          <w:sz w:val="24"/>
          <w:szCs w:val="24"/>
        </w:rPr>
        <w:t>Socius</w:t>
      </w:r>
      <w:r w:rsidRPr="008172AE">
        <w:rPr>
          <w:rFonts w:ascii="Times New Roman" w:eastAsia="Times New Roman" w:hAnsi="Times New Roman" w:cs="Times New Roman"/>
          <w:color w:val="000000" w:themeColor="text1"/>
          <w:sz w:val="24"/>
          <w:szCs w:val="24"/>
        </w:rPr>
        <w:t xml:space="preserve">, </w:t>
      </w:r>
      <w:r w:rsidRPr="008172AE">
        <w:rPr>
          <w:rFonts w:ascii="Times New Roman" w:eastAsia="Times New Roman" w:hAnsi="Times New Roman" w:cs="Times New Roman"/>
          <w:i/>
          <w:color w:val="000000" w:themeColor="text1"/>
          <w:sz w:val="24"/>
          <w:szCs w:val="24"/>
        </w:rPr>
        <w:t>7</w:t>
      </w:r>
      <w:r w:rsidRPr="008172AE">
        <w:rPr>
          <w:rFonts w:ascii="Times New Roman" w:eastAsia="Times New Roman" w:hAnsi="Times New Roman" w:cs="Times New Roman"/>
          <w:color w:val="000000" w:themeColor="text1"/>
          <w:sz w:val="24"/>
          <w:szCs w:val="24"/>
        </w:rPr>
        <w:t>, p.2378023121993991.</w:t>
      </w:r>
      <w:hyperlink r:id="rId83">
        <w:r w:rsidRPr="008172AE">
          <w:rPr>
            <w:rFonts w:ascii="Times New Roman" w:eastAsia="Times New Roman" w:hAnsi="Times New Roman" w:cs="Times New Roman"/>
            <w:color w:val="000000" w:themeColor="text1"/>
            <w:sz w:val="24"/>
            <w:szCs w:val="24"/>
            <w:u w:val="single"/>
          </w:rPr>
          <w:t>https://journals.sagepub.com/doi/pdf/10.1177/2378023121993991</w:t>
        </w:r>
      </w:hyperlink>
    </w:p>
    <w:p w14:paraId="59B6346F"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proofErr w:type="spellStart"/>
      <w:r w:rsidRPr="008172AE">
        <w:rPr>
          <w:rFonts w:ascii="Times New Roman" w:eastAsia="Times New Roman" w:hAnsi="Times New Roman" w:cs="Times New Roman"/>
          <w:color w:val="000000" w:themeColor="text1"/>
          <w:sz w:val="24"/>
          <w:szCs w:val="24"/>
        </w:rPr>
        <w:t>Raybould</w:t>
      </w:r>
      <w:proofErr w:type="spellEnd"/>
      <w:r w:rsidRPr="008172AE">
        <w:rPr>
          <w:rFonts w:ascii="Times New Roman" w:eastAsia="Times New Roman" w:hAnsi="Times New Roman" w:cs="Times New Roman"/>
          <w:color w:val="000000" w:themeColor="text1"/>
          <w:sz w:val="24"/>
          <w:szCs w:val="24"/>
        </w:rPr>
        <w:t xml:space="preserve">, B., Cheung, W.M., Connor, C. and Butcher, R. (2020)‘An investigation into UK government policy and legislation to renewable energy and greenhouse gas reduction commitments’, </w:t>
      </w:r>
      <w:r w:rsidRPr="008172AE">
        <w:rPr>
          <w:rFonts w:ascii="Times New Roman" w:eastAsia="Times New Roman" w:hAnsi="Times New Roman" w:cs="Times New Roman"/>
          <w:i/>
          <w:color w:val="000000" w:themeColor="text1"/>
          <w:sz w:val="24"/>
          <w:szCs w:val="24"/>
        </w:rPr>
        <w:t>Clean Technologies and Environmental Policy</w:t>
      </w:r>
      <w:r w:rsidRPr="008172AE">
        <w:rPr>
          <w:rFonts w:ascii="Times New Roman" w:eastAsia="Times New Roman" w:hAnsi="Times New Roman" w:cs="Times New Roman"/>
          <w:color w:val="000000" w:themeColor="text1"/>
          <w:sz w:val="24"/>
          <w:szCs w:val="24"/>
        </w:rPr>
        <w:t>, 22, pp.371-387.</w:t>
      </w:r>
    </w:p>
    <w:p w14:paraId="3E0674EB"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Renewableuk (2024), </w:t>
      </w:r>
      <w:r w:rsidRPr="008172AE">
        <w:rPr>
          <w:rFonts w:ascii="Times New Roman" w:eastAsia="Times New Roman" w:hAnsi="Times New Roman" w:cs="Times New Roman"/>
          <w:i/>
          <w:color w:val="000000" w:themeColor="text1"/>
          <w:sz w:val="24"/>
          <w:szCs w:val="24"/>
        </w:rPr>
        <w:t>Building the UK's renewable energy future 2024.</w:t>
      </w:r>
      <w:r w:rsidRPr="008172AE">
        <w:rPr>
          <w:rFonts w:ascii="Times New Roman" w:eastAsia="Times New Roman" w:hAnsi="Times New Roman" w:cs="Times New Roman"/>
          <w:color w:val="000000" w:themeColor="text1"/>
          <w:sz w:val="24"/>
          <w:szCs w:val="24"/>
        </w:rPr>
        <w:t xml:space="preserve"> available at: https://www.renewableuk.com/  [Accessed on 15 November 2024]</w:t>
      </w:r>
    </w:p>
    <w:p w14:paraId="18C0391C"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t xml:space="preserve">Saharan, V.A., </w:t>
      </w:r>
      <w:proofErr w:type="spellStart"/>
      <w:r w:rsidRPr="008172AE">
        <w:rPr>
          <w:rFonts w:ascii="Times New Roman" w:eastAsia="Times New Roman" w:hAnsi="Times New Roman" w:cs="Times New Roman"/>
          <w:color w:val="000000" w:themeColor="text1"/>
          <w:sz w:val="24"/>
          <w:szCs w:val="24"/>
          <w:highlight w:val="white"/>
        </w:rPr>
        <w:t>Kulhari</w:t>
      </w:r>
      <w:proofErr w:type="spellEnd"/>
      <w:r w:rsidRPr="008172AE">
        <w:rPr>
          <w:rFonts w:ascii="Times New Roman" w:eastAsia="Times New Roman" w:hAnsi="Times New Roman" w:cs="Times New Roman"/>
          <w:color w:val="000000" w:themeColor="text1"/>
          <w:sz w:val="24"/>
          <w:szCs w:val="24"/>
          <w:highlight w:val="white"/>
        </w:rPr>
        <w:t xml:space="preserve">, H., Jadhav, H., Pooja, D., Banerjee, S. and Singh, A., 2020. Introduction to research methodology. In </w:t>
      </w:r>
      <w:r w:rsidRPr="008172AE">
        <w:rPr>
          <w:rFonts w:ascii="Times New Roman" w:eastAsia="Times New Roman" w:hAnsi="Times New Roman" w:cs="Times New Roman"/>
          <w:i/>
          <w:color w:val="000000" w:themeColor="text1"/>
          <w:sz w:val="24"/>
          <w:szCs w:val="24"/>
          <w:highlight w:val="white"/>
        </w:rPr>
        <w:t xml:space="preserve">Principles of Research Methodology and Ethics in Pharmaceutical </w:t>
      </w:r>
      <w:r w:rsidRPr="008172AE">
        <w:rPr>
          <w:rFonts w:ascii="Times New Roman" w:eastAsia="Times New Roman" w:hAnsi="Times New Roman" w:cs="Times New Roman"/>
          <w:i/>
          <w:color w:val="000000" w:themeColor="text1"/>
          <w:sz w:val="24"/>
          <w:szCs w:val="24"/>
          <w:highlight w:val="white"/>
        </w:rPr>
        <w:lastRenderedPageBreak/>
        <w:t>Sciences</w:t>
      </w:r>
      <w:r w:rsidRPr="008172AE">
        <w:rPr>
          <w:rFonts w:ascii="Times New Roman" w:eastAsia="Times New Roman" w:hAnsi="Times New Roman" w:cs="Times New Roman"/>
          <w:color w:val="000000" w:themeColor="text1"/>
          <w:sz w:val="24"/>
          <w:szCs w:val="24"/>
          <w:highlight w:val="white"/>
        </w:rPr>
        <w:t xml:space="preserve"> (pp. 1-46). CRC Press. </w:t>
      </w:r>
      <w:hyperlink r:id="rId84">
        <w:r w:rsidRPr="008172AE">
          <w:rPr>
            <w:rFonts w:ascii="Times New Roman" w:eastAsia="Times New Roman" w:hAnsi="Times New Roman" w:cs="Times New Roman"/>
            <w:color w:val="000000" w:themeColor="text1"/>
            <w:sz w:val="24"/>
            <w:szCs w:val="24"/>
            <w:highlight w:val="white"/>
            <w:u w:val="single"/>
          </w:rPr>
          <w:t>https://www.taylorfrancis.com/chapters/edit/10.1201/9781003088226-1/introduction-research-methodology-vikas-anand-saharan-hitesh-kulhari-hemant-jadhav-deep-pooja-surojit-banerjee-anupama-singh</w:t>
        </w:r>
      </w:hyperlink>
    </w:p>
    <w:p w14:paraId="215BA391"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Santhakumar, S., Smart, G., Noonan, M., </w:t>
      </w:r>
      <w:proofErr w:type="spellStart"/>
      <w:r w:rsidRPr="008172AE">
        <w:rPr>
          <w:rFonts w:ascii="Times New Roman" w:eastAsia="Times New Roman" w:hAnsi="Times New Roman" w:cs="Times New Roman"/>
          <w:color w:val="000000" w:themeColor="text1"/>
          <w:sz w:val="24"/>
          <w:szCs w:val="24"/>
        </w:rPr>
        <w:t>Meerman</w:t>
      </w:r>
      <w:proofErr w:type="spellEnd"/>
      <w:r w:rsidRPr="008172AE">
        <w:rPr>
          <w:rFonts w:ascii="Times New Roman" w:eastAsia="Times New Roman" w:hAnsi="Times New Roman" w:cs="Times New Roman"/>
          <w:color w:val="000000" w:themeColor="text1"/>
          <w:sz w:val="24"/>
          <w:szCs w:val="24"/>
        </w:rPr>
        <w:t xml:space="preserve">, H. and </w:t>
      </w:r>
      <w:proofErr w:type="spellStart"/>
      <w:r w:rsidRPr="008172AE">
        <w:rPr>
          <w:rFonts w:ascii="Times New Roman" w:eastAsia="Times New Roman" w:hAnsi="Times New Roman" w:cs="Times New Roman"/>
          <w:color w:val="000000" w:themeColor="text1"/>
          <w:sz w:val="24"/>
          <w:szCs w:val="24"/>
        </w:rPr>
        <w:t>Faaij</w:t>
      </w:r>
      <w:proofErr w:type="spellEnd"/>
      <w:r w:rsidRPr="008172AE">
        <w:rPr>
          <w:rFonts w:ascii="Times New Roman" w:eastAsia="Times New Roman" w:hAnsi="Times New Roman" w:cs="Times New Roman"/>
          <w:color w:val="000000" w:themeColor="text1"/>
          <w:sz w:val="24"/>
          <w:szCs w:val="24"/>
        </w:rPr>
        <w:t xml:space="preserve">, A. (2022)‘Technological progress observed for fixed-bottom offshore wind in the EU and </w:t>
      </w:r>
      <w:proofErr w:type="spellStart"/>
      <w:r w:rsidRPr="008172AE">
        <w:rPr>
          <w:rFonts w:ascii="Times New Roman" w:eastAsia="Times New Roman" w:hAnsi="Times New Roman" w:cs="Times New Roman"/>
          <w:color w:val="000000" w:themeColor="text1"/>
          <w:sz w:val="24"/>
          <w:szCs w:val="24"/>
        </w:rPr>
        <w:t>UK’,</w:t>
      </w:r>
      <w:r w:rsidRPr="008172AE">
        <w:rPr>
          <w:rFonts w:ascii="Times New Roman" w:eastAsia="Times New Roman" w:hAnsi="Times New Roman" w:cs="Times New Roman"/>
          <w:i/>
          <w:color w:val="000000" w:themeColor="text1"/>
          <w:sz w:val="24"/>
          <w:szCs w:val="24"/>
        </w:rPr>
        <w:t>Technological</w:t>
      </w:r>
      <w:proofErr w:type="spellEnd"/>
      <w:r w:rsidRPr="008172AE">
        <w:rPr>
          <w:rFonts w:ascii="Times New Roman" w:eastAsia="Times New Roman" w:hAnsi="Times New Roman" w:cs="Times New Roman"/>
          <w:i/>
          <w:color w:val="000000" w:themeColor="text1"/>
          <w:sz w:val="24"/>
          <w:szCs w:val="24"/>
        </w:rPr>
        <w:t xml:space="preserve"> Forecasting and Social Change</w:t>
      </w:r>
      <w:r w:rsidRPr="008172AE">
        <w:rPr>
          <w:rFonts w:ascii="Times New Roman" w:eastAsia="Times New Roman" w:hAnsi="Times New Roman" w:cs="Times New Roman"/>
          <w:color w:val="000000" w:themeColor="text1"/>
          <w:sz w:val="24"/>
          <w:szCs w:val="24"/>
        </w:rPr>
        <w:t>, 182, p.121856.</w:t>
      </w:r>
    </w:p>
    <w:p w14:paraId="539EB496"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t xml:space="preserve">Satalkina, L. and Steiner, G., (2020). Digital entrepreneurship and its role in innovation systems: A systematic literature review as a basis for future research avenues for sustainable transitions. </w:t>
      </w:r>
      <w:r w:rsidRPr="008172AE">
        <w:rPr>
          <w:rFonts w:ascii="Times New Roman" w:eastAsia="Times New Roman" w:hAnsi="Times New Roman" w:cs="Times New Roman"/>
          <w:i/>
          <w:color w:val="000000" w:themeColor="text1"/>
          <w:sz w:val="24"/>
          <w:szCs w:val="24"/>
          <w:highlight w:val="white"/>
        </w:rPr>
        <w:t>Sustainability</w:t>
      </w:r>
      <w:r w:rsidRPr="008172AE">
        <w:rPr>
          <w:rFonts w:ascii="Times New Roman" w:eastAsia="Times New Roman" w:hAnsi="Times New Roman" w:cs="Times New Roman"/>
          <w:color w:val="000000" w:themeColor="text1"/>
          <w:sz w:val="24"/>
          <w:szCs w:val="24"/>
          <w:highlight w:val="white"/>
        </w:rPr>
        <w:t xml:space="preserve">, </w:t>
      </w:r>
      <w:r w:rsidRPr="008172AE">
        <w:rPr>
          <w:rFonts w:ascii="Times New Roman" w:eastAsia="Times New Roman" w:hAnsi="Times New Roman" w:cs="Times New Roman"/>
          <w:i/>
          <w:color w:val="000000" w:themeColor="text1"/>
          <w:sz w:val="24"/>
          <w:szCs w:val="24"/>
          <w:highlight w:val="white"/>
        </w:rPr>
        <w:t>12</w:t>
      </w:r>
      <w:r w:rsidRPr="008172AE">
        <w:rPr>
          <w:rFonts w:ascii="Times New Roman" w:eastAsia="Times New Roman" w:hAnsi="Times New Roman" w:cs="Times New Roman"/>
          <w:color w:val="000000" w:themeColor="text1"/>
          <w:sz w:val="24"/>
          <w:szCs w:val="24"/>
          <w:highlight w:val="white"/>
        </w:rPr>
        <w:t xml:space="preserve">(7), p.2764. </w:t>
      </w:r>
      <w:hyperlink r:id="rId85">
        <w:r w:rsidRPr="008172AE">
          <w:rPr>
            <w:rFonts w:ascii="Times New Roman" w:eastAsia="Times New Roman" w:hAnsi="Times New Roman" w:cs="Times New Roman"/>
            <w:color w:val="000000" w:themeColor="text1"/>
            <w:sz w:val="24"/>
            <w:szCs w:val="24"/>
            <w:highlight w:val="white"/>
            <w:u w:val="single"/>
          </w:rPr>
          <w:t>https://doi.org/10.3390/su12072764</w:t>
        </w:r>
      </w:hyperlink>
    </w:p>
    <w:p w14:paraId="0A82C034" w14:textId="77777777" w:rsidR="007C5593" w:rsidRPr="008172AE" w:rsidRDefault="000A5866" w:rsidP="008172AE">
      <w:pPr>
        <w:pBdr>
          <w:top w:val="nil"/>
          <w:left w:val="nil"/>
          <w:bottom w:val="nil"/>
          <w:right w:val="nil"/>
          <w:between w:val="nil"/>
        </w:pBd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Saunders, M., Lewis, P. and Thornhill, A. (2009). Research methods for business students. FT Prentice Hall.</w:t>
      </w:r>
    </w:p>
    <w:p w14:paraId="551438F8"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Scott, E. (2024). </w:t>
      </w:r>
      <w:r w:rsidRPr="008172AE">
        <w:rPr>
          <w:rFonts w:ascii="Times New Roman" w:eastAsia="Times New Roman" w:hAnsi="Times New Roman" w:cs="Times New Roman"/>
          <w:i/>
          <w:color w:val="000000" w:themeColor="text1"/>
          <w:sz w:val="24"/>
          <w:szCs w:val="24"/>
        </w:rPr>
        <w:t>Offshore wind energy</w:t>
      </w:r>
      <w:r w:rsidRPr="008172AE">
        <w:rPr>
          <w:rFonts w:ascii="Times New Roman" w:eastAsia="Times New Roman" w:hAnsi="Times New Roman" w:cs="Times New Roman"/>
          <w:color w:val="000000" w:themeColor="text1"/>
          <w:sz w:val="24"/>
          <w:szCs w:val="24"/>
        </w:rPr>
        <w:t xml:space="preserve">. Available at: </w:t>
      </w:r>
      <w:hyperlink r:id="rId86">
        <w:r w:rsidRPr="008172AE">
          <w:rPr>
            <w:rFonts w:ascii="Times New Roman" w:eastAsia="Times New Roman" w:hAnsi="Times New Roman" w:cs="Times New Roman"/>
            <w:color w:val="000000" w:themeColor="text1"/>
            <w:sz w:val="24"/>
            <w:szCs w:val="24"/>
            <w:u w:val="single"/>
          </w:rPr>
          <w:t>https://lordslibrary.parliament.uk/offshore-wind-energy/</w:t>
        </w:r>
      </w:hyperlink>
      <w:r w:rsidRPr="008172AE">
        <w:rPr>
          <w:rFonts w:ascii="Times New Roman" w:eastAsia="Times New Roman" w:hAnsi="Times New Roman" w:cs="Times New Roman"/>
          <w:color w:val="000000" w:themeColor="text1"/>
          <w:sz w:val="24"/>
          <w:szCs w:val="24"/>
        </w:rPr>
        <w:t xml:space="preserve">. (Accessed: 8 October 2024)  </w:t>
      </w:r>
    </w:p>
    <w:p w14:paraId="03DA7723"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t xml:space="preserve">Siedlecki, S.L., (2020). ‘Understanding descriptive research designs and </w:t>
      </w:r>
      <w:proofErr w:type="gramStart"/>
      <w:r w:rsidRPr="008172AE">
        <w:rPr>
          <w:rFonts w:ascii="Times New Roman" w:eastAsia="Times New Roman" w:hAnsi="Times New Roman" w:cs="Times New Roman"/>
          <w:color w:val="000000" w:themeColor="text1"/>
          <w:sz w:val="24"/>
          <w:szCs w:val="24"/>
          <w:highlight w:val="white"/>
        </w:rPr>
        <w:t>methods’</w:t>
      </w:r>
      <w:proofErr w:type="gramEnd"/>
      <w:r w:rsidRPr="008172AE">
        <w:rPr>
          <w:rFonts w:ascii="Times New Roman" w:eastAsia="Times New Roman" w:hAnsi="Times New Roman" w:cs="Times New Roman"/>
          <w:color w:val="000000" w:themeColor="text1"/>
          <w:sz w:val="24"/>
          <w:szCs w:val="24"/>
          <w:highlight w:val="white"/>
        </w:rPr>
        <w:t>. </w:t>
      </w:r>
      <w:r w:rsidRPr="008172AE">
        <w:rPr>
          <w:rFonts w:ascii="Times New Roman" w:eastAsia="Times New Roman" w:hAnsi="Times New Roman" w:cs="Times New Roman"/>
          <w:i/>
          <w:color w:val="000000" w:themeColor="text1"/>
          <w:sz w:val="24"/>
          <w:szCs w:val="24"/>
          <w:highlight w:val="white"/>
        </w:rPr>
        <w:t>Clinical Nurse Specialist</w:t>
      </w:r>
      <w:r w:rsidRPr="008172AE">
        <w:rPr>
          <w:rFonts w:ascii="Times New Roman" w:eastAsia="Times New Roman" w:hAnsi="Times New Roman" w:cs="Times New Roman"/>
          <w:color w:val="000000" w:themeColor="text1"/>
          <w:sz w:val="24"/>
          <w:szCs w:val="24"/>
          <w:highlight w:val="white"/>
        </w:rPr>
        <w:t>, </w:t>
      </w:r>
      <w:r w:rsidRPr="008172AE">
        <w:rPr>
          <w:rFonts w:ascii="Times New Roman" w:eastAsia="Times New Roman" w:hAnsi="Times New Roman" w:cs="Times New Roman"/>
          <w:i/>
          <w:color w:val="000000" w:themeColor="text1"/>
          <w:sz w:val="24"/>
          <w:szCs w:val="24"/>
          <w:highlight w:val="white"/>
        </w:rPr>
        <w:t>34</w:t>
      </w:r>
      <w:r w:rsidRPr="008172AE">
        <w:rPr>
          <w:rFonts w:ascii="Times New Roman" w:eastAsia="Times New Roman" w:hAnsi="Times New Roman" w:cs="Times New Roman"/>
          <w:color w:val="000000" w:themeColor="text1"/>
          <w:sz w:val="24"/>
          <w:szCs w:val="24"/>
          <w:highlight w:val="white"/>
        </w:rPr>
        <w:t xml:space="preserve">(1), pp.8-12. </w:t>
      </w:r>
      <w:hyperlink r:id="rId87">
        <w:r w:rsidRPr="008172AE">
          <w:rPr>
            <w:rFonts w:ascii="Times New Roman" w:eastAsia="Times New Roman" w:hAnsi="Times New Roman" w:cs="Times New Roman"/>
            <w:color w:val="000000" w:themeColor="text1"/>
            <w:sz w:val="24"/>
            <w:szCs w:val="24"/>
            <w:highlight w:val="white"/>
            <w:u w:val="single"/>
          </w:rPr>
          <w:t>https://journals.lww.com/cns-journal/fulltext/2020/01000/understanding_descriptive_research_designs_and.4.aspx</w:t>
        </w:r>
      </w:hyperlink>
    </w:p>
    <w:p w14:paraId="6F19228C"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Statista (2024). </w:t>
      </w:r>
      <w:r w:rsidRPr="008172AE">
        <w:rPr>
          <w:rFonts w:ascii="Times New Roman" w:eastAsia="Times New Roman" w:hAnsi="Times New Roman" w:cs="Times New Roman"/>
          <w:i/>
          <w:color w:val="000000" w:themeColor="text1"/>
          <w:sz w:val="24"/>
          <w:szCs w:val="24"/>
        </w:rPr>
        <w:t>Wind Energy - United Kingdom</w:t>
      </w:r>
      <w:r w:rsidRPr="008172AE">
        <w:rPr>
          <w:rFonts w:ascii="Times New Roman" w:eastAsia="Times New Roman" w:hAnsi="Times New Roman" w:cs="Times New Roman"/>
          <w:color w:val="000000" w:themeColor="text1"/>
          <w:sz w:val="24"/>
          <w:szCs w:val="24"/>
        </w:rPr>
        <w:t xml:space="preserve">. Available at: </w:t>
      </w:r>
      <w:hyperlink r:id="rId88">
        <w:r w:rsidRPr="008172AE">
          <w:rPr>
            <w:rFonts w:ascii="Times New Roman" w:eastAsia="Times New Roman" w:hAnsi="Times New Roman" w:cs="Times New Roman"/>
            <w:color w:val="000000" w:themeColor="text1"/>
            <w:sz w:val="24"/>
            <w:szCs w:val="24"/>
            <w:u w:val="single"/>
          </w:rPr>
          <w:t>https://www.statista.com/outlook/io/energy/renewable-energy/wind-energy/united-kingdom</w:t>
        </w:r>
      </w:hyperlink>
      <w:r w:rsidRPr="008172AE">
        <w:rPr>
          <w:rFonts w:ascii="Times New Roman" w:eastAsia="Times New Roman" w:hAnsi="Times New Roman" w:cs="Times New Roman"/>
          <w:color w:val="000000" w:themeColor="text1"/>
          <w:sz w:val="24"/>
          <w:szCs w:val="24"/>
        </w:rPr>
        <w:t xml:space="preserve"> [Accessed on 15 November 2024].</w:t>
      </w:r>
    </w:p>
    <w:p w14:paraId="324F54D7" w14:textId="77777777" w:rsidR="007C5593" w:rsidRPr="008172AE" w:rsidRDefault="000A5866" w:rsidP="008172AE">
      <w:pPr>
        <w:spacing w:line="480" w:lineRule="auto"/>
        <w:rPr>
          <w:rFonts w:ascii="Times New Roman" w:eastAsia="Times New Roman" w:hAnsi="Times New Roman" w:cs="Times New Roman"/>
          <w:i/>
          <w:color w:val="000000" w:themeColor="text1"/>
          <w:sz w:val="24"/>
          <w:szCs w:val="24"/>
        </w:rPr>
      </w:pPr>
      <w:r w:rsidRPr="008172AE">
        <w:rPr>
          <w:rFonts w:ascii="Times New Roman" w:eastAsia="Times New Roman" w:hAnsi="Times New Roman" w:cs="Times New Roman"/>
          <w:color w:val="000000" w:themeColor="text1"/>
          <w:sz w:val="24"/>
          <w:szCs w:val="24"/>
        </w:rPr>
        <w:lastRenderedPageBreak/>
        <w:t xml:space="preserve">Statista, (2024). </w:t>
      </w:r>
      <w:r w:rsidRPr="008172AE">
        <w:rPr>
          <w:rFonts w:ascii="Times New Roman" w:eastAsia="Times New Roman" w:hAnsi="Times New Roman" w:cs="Times New Roman"/>
          <w:i/>
          <w:color w:val="000000" w:themeColor="text1"/>
          <w:sz w:val="24"/>
          <w:szCs w:val="24"/>
        </w:rPr>
        <w:t xml:space="preserve">Wind energy generation in the United Kingdom (UK) 2000-2023. </w:t>
      </w:r>
      <w:r w:rsidRPr="008172AE">
        <w:rPr>
          <w:rFonts w:ascii="Times New Roman" w:eastAsia="Times New Roman" w:hAnsi="Times New Roman" w:cs="Times New Roman"/>
          <w:color w:val="000000" w:themeColor="text1"/>
          <w:sz w:val="24"/>
          <w:szCs w:val="24"/>
        </w:rPr>
        <w:t xml:space="preserve">[Online]. Available from: </w:t>
      </w:r>
      <w:hyperlink r:id="rId89">
        <w:r w:rsidRPr="008172AE">
          <w:rPr>
            <w:rFonts w:ascii="Times New Roman" w:eastAsia="Times New Roman" w:hAnsi="Times New Roman" w:cs="Times New Roman"/>
            <w:color w:val="000000" w:themeColor="text1"/>
            <w:sz w:val="24"/>
            <w:szCs w:val="24"/>
            <w:u w:val="single"/>
          </w:rPr>
          <w:t>https://www.statista.com/statistics/223328/uk-wind-power-generation/</w:t>
        </w:r>
      </w:hyperlink>
      <w:r w:rsidRPr="008172AE">
        <w:rPr>
          <w:rFonts w:ascii="Times New Roman" w:eastAsia="Times New Roman" w:hAnsi="Times New Roman" w:cs="Times New Roman"/>
          <w:color w:val="000000" w:themeColor="text1"/>
          <w:sz w:val="24"/>
          <w:szCs w:val="24"/>
        </w:rPr>
        <w:t xml:space="preserve"> [Accessed on: 23.11.2024]</w:t>
      </w:r>
    </w:p>
    <w:p w14:paraId="287678E0"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Taherdoost, H. (2022). ‘What are different research approaches? Comprehensive Review of Qualitative, quantitative, and mixed method research, their applications, types, and limitations’. </w:t>
      </w:r>
      <w:r w:rsidRPr="008172AE">
        <w:rPr>
          <w:rFonts w:ascii="Times New Roman" w:eastAsia="Times New Roman" w:hAnsi="Times New Roman" w:cs="Times New Roman"/>
          <w:i/>
          <w:color w:val="000000" w:themeColor="text1"/>
          <w:sz w:val="24"/>
          <w:szCs w:val="24"/>
        </w:rPr>
        <w:t>Journal of Management Science &amp; Engineering Research</w:t>
      </w:r>
      <w:r w:rsidRPr="008172AE">
        <w:rPr>
          <w:rFonts w:ascii="Times New Roman" w:eastAsia="Times New Roman" w:hAnsi="Times New Roman" w:cs="Times New Roman"/>
          <w:color w:val="000000" w:themeColor="text1"/>
          <w:sz w:val="24"/>
          <w:szCs w:val="24"/>
        </w:rPr>
        <w:t xml:space="preserve">, </w:t>
      </w:r>
      <w:r w:rsidRPr="008172AE">
        <w:rPr>
          <w:rFonts w:ascii="Times New Roman" w:eastAsia="Times New Roman" w:hAnsi="Times New Roman" w:cs="Times New Roman"/>
          <w:i/>
          <w:color w:val="000000" w:themeColor="text1"/>
          <w:sz w:val="24"/>
          <w:szCs w:val="24"/>
        </w:rPr>
        <w:t>5</w:t>
      </w:r>
      <w:r w:rsidRPr="008172AE">
        <w:rPr>
          <w:rFonts w:ascii="Times New Roman" w:eastAsia="Times New Roman" w:hAnsi="Times New Roman" w:cs="Times New Roman"/>
          <w:color w:val="000000" w:themeColor="text1"/>
          <w:sz w:val="24"/>
          <w:szCs w:val="24"/>
        </w:rPr>
        <w:t>(1), pp.53-63.</w:t>
      </w:r>
      <w:hyperlink r:id="rId90">
        <w:r w:rsidRPr="008172AE">
          <w:rPr>
            <w:rFonts w:ascii="Times New Roman" w:eastAsia="Times New Roman" w:hAnsi="Times New Roman" w:cs="Times New Roman"/>
            <w:color w:val="000000" w:themeColor="text1"/>
            <w:sz w:val="24"/>
            <w:szCs w:val="24"/>
            <w:u w:val="single"/>
          </w:rPr>
          <w:t>https://hal.science/hal-03741840/file/What%20Are%20Different%20Research%20Approaches%20Comprehensive%20Review%20of%20Qualitative%2C%20Quantitative%2C%20and%20Mixed%20Method%20Research%2C%20Their%20Applications%2C%20Types%2C%20and%20Limitations.pdf</w:t>
        </w:r>
      </w:hyperlink>
    </w:p>
    <w:p w14:paraId="6407E8C3"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Taylor, P., Yue, H., Campos‐</w:t>
      </w:r>
      <w:proofErr w:type="spellStart"/>
      <w:r w:rsidRPr="008172AE">
        <w:rPr>
          <w:rFonts w:ascii="Times New Roman" w:eastAsia="Times New Roman" w:hAnsi="Times New Roman" w:cs="Times New Roman"/>
          <w:color w:val="000000" w:themeColor="text1"/>
          <w:sz w:val="24"/>
          <w:szCs w:val="24"/>
        </w:rPr>
        <w:t>Gaona</w:t>
      </w:r>
      <w:proofErr w:type="spellEnd"/>
      <w:r w:rsidRPr="008172AE">
        <w:rPr>
          <w:rFonts w:ascii="Times New Roman" w:eastAsia="Times New Roman" w:hAnsi="Times New Roman" w:cs="Times New Roman"/>
          <w:color w:val="000000" w:themeColor="text1"/>
          <w:sz w:val="24"/>
          <w:szCs w:val="24"/>
        </w:rPr>
        <w:t xml:space="preserve">, D., Anaya‐Lara, O. and Jia, C. (2021)‘Turbine layout optimisation for large‐scale offshore wind farms–A grid‐based </w:t>
      </w:r>
      <w:proofErr w:type="spellStart"/>
      <w:r w:rsidRPr="008172AE">
        <w:rPr>
          <w:rFonts w:ascii="Times New Roman" w:eastAsia="Times New Roman" w:hAnsi="Times New Roman" w:cs="Times New Roman"/>
          <w:color w:val="000000" w:themeColor="text1"/>
          <w:sz w:val="24"/>
          <w:szCs w:val="24"/>
        </w:rPr>
        <w:t>method’,</w:t>
      </w:r>
      <w:r w:rsidRPr="008172AE">
        <w:rPr>
          <w:rFonts w:ascii="Times New Roman" w:eastAsia="Times New Roman" w:hAnsi="Times New Roman" w:cs="Times New Roman"/>
          <w:i/>
          <w:color w:val="000000" w:themeColor="text1"/>
          <w:sz w:val="24"/>
          <w:szCs w:val="24"/>
        </w:rPr>
        <w:t>IET</w:t>
      </w:r>
      <w:proofErr w:type="spellEnd"/>
      <w:r w:rsidRPr="008172AE">
        <w:rPr>
          <w:rFonts w:ascii="Times New Roman" w:eastAsia="Times New Roman" w:hAnsi="Times New Roman" w:cs="Times New Roman"/>
          <w:i/>
          <w:color w:val="000000" w:themeColor="text1"/>
          <w:sz w:val="24"/>
          <w:szCs w:val="24"/>
        </w:rPr>
        <w:t xml:space="preserve"> Renewable Power Generation</w:t>
      </w:r>
      <w:r w:rsidRPr="008172AE">
        <w:rPr>
          <w:rFonts w:ascii="Times New Roman" w:eastAsia="Times New Roman" w:hAnsi="Times New Roman" w:cs="Times New Roman"/>
          <w:color w:val="000000" w:themeColor="text1"/>
          <w:sz w:val="24"/>
          <w:szCs w:val="24"/>
        </w:rPr>
        <w:t>, 15(16), pp.3806-3822.</w:t>
      </w:r>
    </w:p>
    <w:p w14:paraId="1E79744F"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Thecc.org.uk (2024), </w:t>
      </w:r>
      <w:r w:rsidRPr="008172AE">
        <w:rPr>
          <w:rFonts w:ascii="Times New Roman" w:eastAsia="Times New Roman" w:hAnsi="Times New Roman" w:cs="Times New Roman"/>
          <w:i/>
          <w:color w:val="000000" w:themeColor="text1"/>
          <w:sz w:val="24"/>
          <w:szCs w:val="24"/>
        </w:rPr>
        <w:t xml:space="preserve">The UK’s independent adviser on </w:t>
      </w:r>
      <w:proofErr w:type="spellStart"/>
      <w:r w:rsidRPr="008172AE">
        <w:rPr>
          <w:rFonts w:ascii="Times New Roman" w:eastAsia="Times New Roman" w:hAnsi="Times New Roman" w:cs="Times New Roman"/>
          <w:i/>
          <w:color w:val="000000" w:themeColor="text1"/>
          <w:sz w:val="24"/>
          <w:szCs w:val="24"/>
        </w:rPr>
        <w:t>trackling</w:t>
      </w:r>
      <w:proofErr w:type="spellEnd"/>
      <w:r w:rsidRPr="008172AE">
        <w:rPr>
          <w:rFonts w:ascii="Times New Roman" w:eastAsia="Times New Roman" w:hAnsi="Times New Roman" w:cs="Times New Roman"/>
          <w:i/>
          <w:color w:val="000000" w:themeColor="text1"/>
          <w:sz w:val="24"/>
          <w:szCs w:val="24"/>
        </w:rPr>
        <w:t xml:space="preserve"> climate change 2024,</w:t>
      </w:r>
      <w:r w:rsidRPr="008172AE">
        <w:rPr>
          <w:rFonts w:ascii="Times New Roman" w:eastAsia="Times New Roman" w:hAnsi="Times New Roman" w:cs="Times New Roman"/>
          <w:color w:val="000000" w:themeColor="text1"/>
          <w:sz w:val="24"/>
          <w:szCs w:val="24"/>
        </w:rPr>
        <w:t xml:space="preserve"> Available at: https://www.theccc.org.uk/ [Accessed on 15 November 2024]</w:t>
      </w:r>
    </w:p>
    <w:p w14:paraId="346FAAA8" w14:textId="77777777" w:rsidR="007C5593" w:rsidRPr="008172AE" w:rsidRDefault="000A5866" w:rsidP="008172AE">
      <w:pPr>
        <w:spacing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UK (2024). The UK is leading the charge towards a net zero, nature-positive future. [Online]. Available from: </w:t>
      </w:r>
      <w:hyperlink r:id="rId91">
        <w:r w:rsidRPr="008172AE">
          <w:rPr>
            <w:rFonts w:ascii="Times New Roman" w:eastAsia="Times New Roman" w:hAnsi="Times New Roman" w:cs="Times New Roman"/>
            <w:color w:val="000000" w:themeColor="text1"/>
            <w:sz w:val="24"/>
            <w:szCs w:val="24"/>
            <w:u w:val="single"/>
          </w:rPr>
          <w:t>https://www.gov.uk/government/publications/offshore-wind-net-zero-investment-roadmap/offshore-wind-net-zero-investment-roadmap</w:t>
        </w:r>
      </w:hyperlink>
      <w:r w:rsidRPr="008172AE">
        <w:rPr>
          <w:rFonts w:ascii="Times New Roman" w:eastAsia="Times New Roman" w:hAnsi="Times New Roman" w:cs="Times New Roman"/>
          <w:color w:val="000000" w:themeColor="text1"/>
          <w:sz w:val="24"/>
          <w:szCs w:val="24"/>
        </w:rPr>
        <w:t xml:space="preserve"> [Accessed on: 23.11.2024]</w:t>
      </w:r>
    </w:p>
    <w:p w14:paraId="3AF2AC19"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Ukpanah, I. (2024). </w:t>
      </w:r>
      <w:r w:rsidRPr="008172AE">
        <w:rPr>
          <w:rFonts w:ascii="Times New Roman" w:eastAsia="Times New Roman" w:hAnsi="Times New Roman" w:cs="Times New Roman"/>
          <w:i/>
          <w:color w:val="000000" w:themeColor="text1"/>
          <w:sz w:val="24"/>
          <w:szCs w:val="24"/>
        </w:rPr>
        <w:t>UK's Wind Power: A Gust of Growth in the Renewable Energy Sector</w:t>
      </w:r>
      <w:r w:rsidRPr="008172AE">
        <w:rPr>
          <w:rFonts w:ascii="Times New Roman" w:eastAsia="Times New Roman" w:hAnsi="Times New Roman" w:cs="Times New Roman"/>
          <w:color w:val="000000" w:themeColor="text1"/>
          <w:sz w:val="24"/>
          <w:szCs w:val="24"/>
        </w:rPr>
        <w:t xml:space="preserve">. Available at: </w:t>
      </w:r>
      <w:hyperlink r:id="rId92">
        <w:r w:rsidRPr="008172AE">
          <w:rPr>
            <w:rFonts w:ascii="Times New Roman" w:eastAsia="Times New Roman" w:hAnsi="Times New Roman" w:cs="Times New Roman"/>
            <w:color w:val="000000" w:themeColor="text1"/>
            <w:sz w:val="24"/>
            <w:szCs w:val="24"/>
            <w:u w:val="single"/>
          </w:rPr>
          <w:t>https://www.greenmatch.co.uk/green-energy/wind</w:t>
        </w:r>
      </w:hyperlink>
      <w:r w:rsidRPr="008172AE">
        <w:rPr>
          <w:rFonts w:ascii="Times New Roman" w:eastAsia="Times New Roman" w:hAnsi="Times New Roman" w:cs="Times New Roman"/>
          <w:color w:val="000000" w:themeColor="text1"/>
          <w:sz w:val="24"/>
          <w:szCs w:val="24"/>
        </w:rPr>
        <w:t xml:space="preserve"> [Accessed on 15 November 2024].</w:t>
      </w:r>
    </w:p>
    <w:p w14:paraId="0AC11659"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highlight w:val="white"/>
        </w:rPr>
      </w:pPr>
      <w:r w:rsidRPr="008172AE">
        <w:rPr>
          <w:rFonts w:ascii="Times New Roman" w:eastAsia="Times New Roman" w:hAnsi="Times New Roman" w:cs="Times New Roman"/>
          <w:color w:val="000000" w:themeColor="text1"/>
          <w:sz w:val="24"/>
          <w:szCs w:val="24"/>
          <w:highlight w:val="white"/>
        </w:rPr>
        <w:lastRenderedPageBreak/>
        <w:t>Vaughn, L.M. and Jacquez, F., (2020). ‘Participatory research methods–choice points in the research process’. </w:t>
      </w:r>
      <w:r w:rsidRPr="008172AE">
        <w:rPr>
          <w:rFonts w:ascii="Times New Roman" w:eastAsia="Times New Roman" w:hAnsi="Times New Roman" w:cs="Times New Roman"/>
          <w:i/>
          <w:color w:val="000000" w:themeColor="text1"/>
          <w:sz w:val="24"/>
          <w:szCs w:val="24"/>
          <w:highlight w:val="white"/>
        </w:rPr>
        <w:t>Journal of Participatory Research Methods</w:t>
      </w:r>
      <w:r w:rsidRPr="008172AE">
        <w:rPr>
          <w:rFonts w:ascii="Times New Roman" w:eastAsia="Times New Roman" w:hAnsi="Times New Roman" w:cs="Times New Roman"/>
          <w:color w:val="000000" w:themeColor="text1"/>
          <w:sz w:val="24"/>
          <w:szCs w:val="24"/>
          <w:highlight w:val="white"/>
        </w:rPr>
        <w:t>, </w:t>
      </w:r>
      <w:r w:rsidRPr="008172AE">
        <w:rPr>
          <w:rFonts w:ascii="Times New Roman" w:eastAsia="Times New Roman" w:hAnsi="Times New Roman" w:cs="Times New Roman"/>
          <w:i/>
          <w:color w:val="000000" w:themeColor="text1"/>
          <w:sz w:val="24"/>
          <w:szCs w:val="24"/>
          <w:highlight w:val="white"/>
        </w:rPr>
        <w:t>1</w:t>
      </w:r>
      <w:r w:rsidRPr="008172AE">
        <w:rPr>
          <w:rFonts w:ascii="Times New Roman" w:eastAsia="Times New Roman" w:hAnsi="Times New Roman" w:cs="Times New Roman"/>
          <w:color w:val="000000" w:themeColor="text1"/>
          <w:sz w:val="24"/>
          <w:szCs w:val="24"/>
          <w:highlight w:val="white"/>
        </w:rPr>
        <w:t xml:space="preserve">(1). </w:t>
      </w:r>
      <w:hyperlink r:id="rId93">
        <w:r w:rsidRPr="008172AE">
          <w:rPr>
            <w:rFonts w:ascii="Times New Roman" w:eastAsia="Times New Roman" w:hAnsi="Times New Roman" w:cs="Times New Roman"/>
            <w:color w:val="000000" w:themeColor="text1"/>
            <w:sz w:val="24"/>
            <w:szCs w:val="24"/>
            <w:highlight w:val="white"/>
            <w:u w:val="single"/>
          </w:rPr>
          <w:t>https://jprm.scholasticahq.com/article/13244-participatory-research-</w:t>
        </w:r>
      </w:hyperlink>
    </w:p>
    <w:p w14:paraId="2C8310F3"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Welisch, M. and Poudineh, R. (2020)‘Auctions for allocation of offshore wind contracts for difference in the </w:t>
      </w:r>
      <w:proofErr w:type="spellStart"/>
      <w:r w:rsidRPr="008172AE">
        <w:rPr>
          <w:rFonts w:ascii="Times New Roman" w:eastAsia="Times New Roman" w:hAnsi="Times New Roman" w:cs="Times New Roman"/>
          <w:color w:val="000000" w:themeColor="text1"/>
          <w:sz w:val="24"/>
          <w:szCs w:val="24"/>
        </w:rPr>
        <w:t>UK’,</w:t>
      </w:r>
      <w:r w:rsidRPr="008172AE">
        <w:rPr>
          <w:rFonts w:ascii="Times New Roman" w:eastAsia="Times New Roman" w:hAnsi="Times New Roman" w:cs="Times New Roman"/>
          <w:i/>
          <w:color w:val="000000" w:themeColor="text1"/>
          <w:sz w:val="24"/>
          <w:szCs w:val="24"/>
        </w:rPr>
        <w:t>Renewable</w:t>
      </w:r>
      <w:proofErr w:type="spellEnd"/>
      <w:r w:rsidRPr="008172AE">
        <w:rPr>
          <w:rFonts w:ascii="Times New Roman" w:eastAsia="Times New Roman" w:hAnsi="Times New Roman" w:cs="Times New Roman"/>
          <w:i/>
          <w:color w:val="000000" w:themeColor="text1"/>
          <w:sz w:val="24"/>
          <w:szCs w:val="24"/>
        </w:rPr>
        <w:t xml:space="preserve"> Energy</w:t>
      </w:r>
      <w:r w:rsidRPr="008172AE">
        <w:rPr>
          <w:rFonts w:ascii="Times New Roman" w:eastAsia="Times New Roman" w:hAnsi="Times New Roman" w:cs="Times New Roman"/>
          <w:color w:val="000000" w:themeColor="text1"/>
          <w:sz w:val="24"/>
          <w:szCs w:val="24"/>
        </w:rPr>
        <w:t>, 147, pp.1266-1274.</w:t>
      </w:r>
    </w:p>
    <w:p w14:paraId="3B2E1218"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highlight w:val="white"/>
        </w:rPr>
        <w:t xml:space="preserve">Wood, J. and Emmett, K., (2019). Renewable electricity in the United Kingdom and recent electricity market reform: policy lessons for transition markets. </w:t>
      </w:r>
      <w:r w:rsidRPr="008172AE">
        <w:rPr>
          <w:rFonts w:ascii="Times New Roman" w:eastAsia="Times New Roman" w:hAnsi="Times New Roman" w:cs="Times New Roman"/>
          <w:i/>
          <w:color w:val="000000" w:themeColor="text1"/>
          <w:sz w:val="24"/>
          <w:szCs w:val="24"/>
          <w:highlight w:val="white"/>
        </w:rPr>
        <w:t>European Bank for Reconstruction and Development: London, UK</w:t>
      </w:r>
      <w:r w:rsidRPr="008172AE">
        <w:rPr>
          <w:rFonts w:ascii="Times New Roman" w:eastAsia="Times New Roman" w:hAnsi="Times New Roman" w:cs="Times New Roman"/>
          <w:color w:val="000000" w:themeColor="text1"/>
          <w:sz w:val="24"/>
          <w:szCs w:val="24"/>
          <w:highlight w:val="white"/>
        </w:rPr>
        <w:t xml:space="preserve">. </w:t>
      </w:r>
      <w:r w:rsidRPr="008172AE">
        <w:rPr>
          <w:rFonts w:ascii="Times New Roman" w:eastAsia="Times New Roman" w:hAnsi="Times New Roman" w:cs="Times New Roman"/>
          <w:i/>
          <w:color w:val="000000" w:themeColor="text1"/>
          <w:sz w:val="24"/>
          <w:szCs w:val="24"/>
          <w:highlight w:val="white"/>
        </w:rPr>
        <w:t>ERBD</w:t>
      </w:r>
      <w:r w:rsidRPr="008172AE">
        <w:rPr>
          <w:rFonts w:ascii="Times New Roman" w:eastAsia="Times New Roman" w:hAnsi="Times New Roman" w:cs="Times New Roman"/>
          <w:color w:val="000000" w:themeColor="text1"/>
          <w:sz w:val="24"/>
          <w:szCs w:val="24"/>
          <w:highlight w:val="white"/>
        </w:rPr>
        <w:t xml:space="preserve">, pp.1-8. </w:t>
      </w:r>
      <w:hyperlink r:id="rId94">
        <w:r w:rsidRPr="008172AE">
          <w:rPr>
            <w:rFonts w:ascii="Times New Roman" w:eastAsia="Times New Roman" w:hAnsi="Times New Roman" w:cs="Times New Roman"/>
            <w:color w:val="000000" w:themeColor="text1"/>
            <w:sz w:val="24"/>
            <w:szCs w:val="24"/>
            <w:highlight w:val="white"/>
            <w:u w:val="single"/>
          </w:rPr>
          <w:t>https://www.ebrd.com/downloads/research/news/lit112h.pdf</w:t>
        </w:r>
      </w:hyperlink>
    </w:p>
    <w:p w14:paraId="7178F80F"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WTO (2020). </w:t>
      </w:r>
      <w:r w:rsidRPr="008172AE">
        <w:rPr>
          <w:rFonts w:ascii="Times New Roman" w:eastAsia="Times New Roman" w:hAnsi="Times New Roman" w:cs="Times New Roman"/>
          <w:i/>
          <w:color w:val="000000" w:themeColor="text1"/>
          <w:sz w:val="24"/>
          <w:szCs w:val="24"/>
        </w:rPr>
        <w:t>Implementing Privatisation: The UK Experience</w:t>
      </w:r>
      <w:r w:rsidRPr="008172AE">
        <w:rPr>
          <w:rFonts w:ascii="Times New Roman" w:eastAsia="Times New Roman" w:hAnsi="Times New Roman" w:cs="Times New Roman"/>
          <w:color w:val="000000" w:themeColor="text1"/>
          <w:sz w:val="24"/>
          <w:szCs w:val="24"/>
        </w:rPr>
        <w:t xml:space="preserve">. Available at: </w:t>
      </w:r>
      <w:hyperlink r:id="rId95">
        <w:r w:rsidRPr="008172AE">
          <w:rPr>
            <w:rFonts w:ascii="Times New Roman" w:eastAsia="Times New Roman" w:hAnsi="Times New Roman" w:cs="Times New Roman"/>
            <w:color w:val="000000" w:themeColor="text1"/>
            <w:sz w:val="24"/>
            <w:szCs w:val="24"/>
            <w:u w:val="single"/>
          </w:rPr>
          <w:t>https://www.wto.org/english/tratop_e/serv_e/symp_mar02_uk_treasury_priv_guide_e.pdf</w:t>
        </w:r>
      </w:hyperlink>
      <w:r w:rsidRPr="008172AE">
        <w:rPr>
          <w:rFonts w:ascii="Times New Roman" w:eastAsia="Times New Roman" w:hAnsi="Times New Roman" w:cs="Times New Roman"/>
          <w:color w:val="000000" w:themeColor="text1"/>
          <w:sz w:val="24"/>
          <w:szCs w:val="24"/>
        </w:rPr>
        <w:t xml:space="preserve"> (Accessed: 16 October 2024)</w:t>
      </w:r>
    </w:p>
    <w:p w14:paraId="48D15361"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t xml:space="preserve">Xing, L., Li, J. and Yu, Z. (2022)‘Green finance strategies for the zero-carbon mechanism: Public spending as new determinants of sustainable </w:t>
      </w:r>
      <w:proofErr w:type="spellStart"/>
      <w:r w:rsidRPr="008172AE">
        <w:rPr>
          <w:rFonts w:ascii="Times New Roman" w:eastAsia="Times New Roman" w:hAnsi="Times New Roman" w:cs="Times New Roman"/>
          <w:color w:val="000000" w:themeColor="text1"/>
          <w:sz w:val="24"/>
          <w:szCs w:val="24"/>
        </w:rPr>
        <w:t>development’,</w:t>
      </w:r>
      <w:r w:rsidRPr="008172AE">
        <w:rPr>
          <w:rFonts w:ascii="Times New Roman" w:eastAsia="Times New Roman" w:hAnsi="Times New Roman" w:cs="Times New Roman"/>
          <w:i/>
          <w:color w:val="000000" w:themeColor="text1"/>
          <w:sz w:val="24"/>
          <w:szCs w:val="24"/>
        </w:rPr>
        <w:t>Frontiers</w:t>
      </w:r>
      <w:proofErr w:type="spellEnd"/>
      <w:r w:rsidRPr="008172AE">
        <w:rPr>
          <w:rFonts w:ascii="Times New Roman" w:eastAsia="Times New Roman" w:hAnsi="Times New Roman" w:cs="Times New Roman"/>
          <w:i/>
          <w:color w:val="000000" w:themeColor="text1"/>
          <w:sz w:val="24"/>
          <w:szCs w:val="24"/>
        </w:rPr>
        <w:t xml:space="preserve"> in Environmental Science</w:t>
      </w:r>
      <w:r w:rsidRPr="008172AE">
        <w:rPr>
          <w:rFonts w:ascii="Times New Roman" w:eastAsia="Times New Roman" w:hAnsi="Times New Roman" w:cs="Times New Roman"/>
          <w:color w:val="000000" w:themeColor="text1"/>
          <w:sz w:val="24"/>
          <w:szCs w:val="24"/>
        </w:rPr>
        <w:t>, 10, p.925678.</w:t>
      </w:r>
    </w:p>
    <w:p w14:paraId="21789ADD"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highlight w:val="white"/>
          <w:u w:val="single"/>
        </w:rPr>
      </w:pPr>
      <w:r w:rsidRPr="008172AE">
        <w:rPr>
          <w:rFonts w:ascii="Times New Roman" w:eastAsia="Times New Roman" w:hAnsi="Times New Roman" w:cs="Times New Roman"/>
          <w:color w:val="000000" w:themeColor="text1"/>
          <w:sz w:val="24"/>
          <w:szCs w:val="24"/>
          <w:highlight w:val="white"/>
        </w:rPr>
        <w:t>Younus, A.M. and Zaidan, M.N., (2022). The influence of quantitative research in business &amp; information technology: An appropriate research methodology philosophical reflection’. </w:t>
      </w:r>
      <w:r w:rsidRPr="008172AE">
        <w:rPr>
          <w:rFonts w:ascii="Times New Roman" w:eastAsia="Times New Roman" w:hAnsi="Times New Roman" w:cs="Times New Roman"/>
          <w:i/>
          <w:color w:val="000000" w:themeColor="text1"/>
          <w:sz w:val="24"/>
          <w:szCs w:val="24"/>
          <w:highlight w:val="white"/>
        </w:rPr>
        <w:t>American Journal of Interdisciplinary Research and Development</w:t>
      </w:r>
      <w:r w:rsidRPr="008172AE">
        <w:rPr>
          <w:rFonts w:ascii="Times New Roman" w:eastAsia="Times New Roman" w:hAnsi="Times New Roman" w:cs="Times New Roman"/>
          <w:color w:val="000000" w:themeColor="text1"/>
          <w:sz w:val="24"/>
          <w:szCs w:val="24"/>
          <w:highlight w:val="white"/>
        </w:rPr>
        <w:t>, </w:t>
      </w:r>
      <w:r w:rsidRPr="008172AE">
        <w:rPr>
          <w:rFonts w:ascii="Times New Roman" w:eastAsia="Times New Roman" w:hAnsi="Times New Roman" w:cs="Times New Roman"/>
          <w:i/>
          <w:color w:val="000000" w:themeColor="text1"/>
          <w:sz w:val="24"/>
          <w:szCs w:val="24"/>
          <w:highlight w:val="white"/>
        </w:rPr>
        <w:t>4</w:t>
      </w:r>
      <w:r w:rsidRPr="008172AE">
        <w:rPr>
          <w:rFonts w:ascii="Times New Roman" w:eastAsia="Times New Roman" w:hAnsi="Times New Roman" w:cs="Times New Roman"/>
          <w:color w:val="000000" w:themeColor="text1"/>
          <w:sz w:val="24"/>
          <w:szCs w:val="24"/>
          <w:highlight w:val="white"/>
        </w:rPr>
        <w:t xml:space="preserve">, pp.61-79. </w:t>
      </w:r>
      <w:hyperlink r:id="rId96">
        <w:r w:rsidRPr="008172AE">
          <w:rPr>
            <w:rFonts w:ascii="Times New Roman" w:eastAsia="Times New Roman" w:hAnsi="Times New Roman" w:cs="Times New Roman"/>
            <w:color w:val="000000" w:themeColor="text1"/>
            <w:sz w:val="24"/>
            <w:szCs w:val="24"/>
            <w:highlight w:val="white"/>
            <w:u w:val="single"/>
          </w:rPr>
          <w:t>http://www.ajird.journalspark.org/index.php/ajird/article/view/54</w:t>
        </w:r>
      </w:hyperlink>
    </w:p>
    <w:p w14:paraId="2AD9D5F8"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highlight w:val="white"/>
        </w:rPr>
        <w:t xml:space="preserve">Zhou, Y., Li, H. and Sun, H., (2022). </w:t>
      </w:r>
      <w:proofErr w:type="spellStart"/>
      <w:r w:rsidRPr="008172AE">
        <w:rPr>
          <w:rFonts w:ascii="Times New Roman" w:eastAsia="Times New Roman" w:hAnsi="Times New Roman" w:cs="Times New Roman"/>
          <w:color w:val="000000" w:themeColor="text1"/>
          <w:sz w:val="24"/>
          <w:szCs w:val="24"/>
          <w:highlight w:val="white"/>
        </w:rPr>
        <w:t>Metalloproteomics</w:t>
      </w:r>
      <w:proofErr w:type="spellEnd"/>
      <w:r w:rsidRPr="008172AE">
        <w:rPr>
          <w:rFonts w:ascii="Times New Roman" w:eastAsia="Times New Roman" w:hAnsi="Times New Roman" w:cs="Times New Roman"/>
          <w:color w:val="000000" w:themeColor="text1"/>
          <w:sz w:val="24"/>
          <w:szCs w:val="24"/>
          <w:highlight w:val="white"/>
        </w:rPr>
        <w:t xml:space="preserve"> for biomedical research: methodology and applications. </w:t>
      </w:r>
      <w:r w:rsidRPr="008172AE">
        <w:rPr>
          <w:rFonts w:ascii="Times New Roman" w:eastAsia="Times New Roman" w:hAnsi="Times New Roman" w:cs="Times New Roman"/>
          <w:i/>
          <w:color w:val="000000" w:themeColor="text1"/>
          <w:sz w:val="24"/>
          <w:szCs w:val="24"/>
        </w:rPr>
        <w:t>Annual Review of Biochemistry</w:t>
      </w:r>
      <w:r w:rsidRPr="008172AE">
        <w:rPr>
          <w:rFonts w:ascii="Times New Roman" w:eastAsia="Times New Roman" w:hAnsi="Times New Roman" w:cs="Times New Roman"/>
          <w:color w:val="000000" w:themeColor="text1"/>
          <w:sz w:val="24"/>
          <w:szCs w:val="24"/>
        </w:rPr>
        <w:t xml:space="preserve">, </w:t>
      </w:r>
      <w:r w:rsidRPr="008172AE">
        <w:rPr>
          <w:rFonts w:ascii="Times New Roman" w:eastAsia="Times New Roman" w:hAnsi="Times New Roman" w:cs="Times New Roman"/>
          <w:i/>
          <w:color w:val="000000" w:themeColor="text1"/>
          <w:sz w:val="24"/>
          <w:szCs w:val="24"/>
        </w:rPr>
        <w:t>91</w:t>
      </w:r>
      <w:r w:rsidRPr="008172AE">
        <w:rPr>
          <w:rFonts w:ascii="Times New Roman" w:eastAsia="Times New Roman" w:hAnsi="Times New Roman" w:cs="Times New Roman"/>
          <w:color w:val="000000" w:themeColor="text1"/>
          <w:sz w:val="24"/>
          <w:szCs w:val="24"/>
        </w:rPr>
        <w:t>(1), pp.449-473.</w:t>
      </w:r>
    </w:p>
    <w:p w14:paraId="01F26217" w14:textId="77777777" w:rsidR="007C5593" w:rsidRPr="008172AE" w:rsidRDefault="000A5866" w:rsidP="008172AE">
      <w:pPr>
        <w:spacing w:after="200" w:line="480" w:lineRule="auto"/>
        <w:rPr>
          <w:rFonts w:ascii="Times New Roman" w:eastAsia="Times New Roman" w:hAnsi="Times New Roman" w:cs="Times New Roman"/>
          <w:color w:val="000000" w:themeColor="text1"/>
          <w:sz w:val="24"/>
          <w:szCs w:val="24"/>
        </w:rPr>
      </w:pPr>
      <w:r w:rsidRPr="008172AE">
        <w:rPr>
          <w:rFonts w:ascii="Times New Roman" w:eastAsia="Times New Roman" w:hAnsi="Times New Roman" w:cs="Times New Roman"/>
          <w:color w:val="000000" w:themeColor="text1"/>
          <w:sz w:val="24"/>
          <w:szCs w:val="24"/>
        </w:rPr>
        <w:lastRenderedPageBreak/>
        <w:t xml:space="preserve">GOV.UK, (2024). </w:t>
      </w:r>
      <w:r w:rsidRPr="008172AE">
        <w:rPr>
          <w:rFonts w:ascii="Times New Roman" w:eastAsia="Times New Roman" w:hAnsi="Times New Roman" w:cs="Times New Roman"/>
          <w:i/>
          <w:color w:val="000000" w:themeColor="text1"/>
          <w:sz w:val="24"/>
          <w:szCs w:val="24"/>
        </w:rPr>
        <w:t>Energy Trends September 2024</w:t>
      </w:r>
      <w:r w:rsidRPr="008172AE">
        <w:rPr>
          <w:rFonts w:ascii="Times New Roman" w:eastAsia="Times New Roman" w:hAnsi="Times New Roman" w:cs="Times New Roman"/>
          <w:color w:val="000000" w:themeColor="text1"/>
          <w:sz w:val="24"/>
          <w:szCs w:val="24"/>
        </w:rPr>
        <w:t>. Available from: https://assets.publishing.service.gov.uk/media/66f423473b919067bb48270e/Energy_Trends_September_2024.pdf [Accessed on: 05.12.2024]</w:t>
      </w:r>
    </w:p>
    <w:p w14:paraId="4AA9BB69" w14:textId="77777777" w:rsidR="007C5593" w:rsidRPr="008172AE" w:rsidRDefault="007C5593" w:rsidP="008172AE">
      <w:pPr>
        <w:spacing w:line="480" w:lineRule="auto"/>
        <w:rPr>
          <w:rFonts w:ascii="Times New Roman" w:eastAsia="Times New Roman" w:hAnsi="Times New Roman" w:cs="Times New Roman"/>
          <w:color w:val="000000" w:themeColor="text1"/>
          <w:sz w:val="24"/>
          <w:szCs w:val="24"/>
          <w:highlight w:val="white"/>
        </w:rPr>
      </w:pPr>
    </w:p>
    <w:p w14:paraId="6C8787AE" w14:textId="77777777" w:rsidR="007C5593" w:rsidRPr="008172AE" w:rsidRDefault="000A5866" w:rsidP="008172AE">
      <w:pPr>
        <w:spacing w:line="480" w:lineRule="auto"/>
        <w:rPr>
          <w:rFonts w:ascii="Times New Roman" w:eastAsia="Times New Roman" w:hAnsi="Times New Roman" w:cs="Times New Roman"/>
          <w:color w:val="000000" w:themeColor="text1"/>
          <w:sz w:val="24"/>
          <w:szCs w:val="24"/>
          <w:highlight w:val="white"/>
        </w:rPr>
      </w:pPr>
      <w:r w:rsidRPr="008172AE">
        <w:rPr>
          <w:color w:val="000000" w:themeColor="text1"/>
        </w:rPr>
        <w:br w:type="page"/>
      </w:r>
    </w:p>
    <w:p w14:paraId="266D1B91" w14:textId="77777777" w:rsidR="007C5593" w:rsidRDefault="000A5866">
      <w:pPr>
        <w:pStyle w:val="Heading1"/>
      </w:pPr>
      <w:bookmarkStart w:id="123" w:name="_heading=h.j8sehv" w:colFirst="0" w:colLast="0"/>
      <w:bookmarkEnd w:id="123"/>
      <w:r>
        <w:lastRenderedPageBreak/>
        <w:t>Appendix: Survey Questionnaire</w:t>
      </w:r>
    </w:p>
    <w:p w14:paraId="42C75F2B" w14:textId="77777777" w:rsidR="007C5593" w:rsidRDefault="000A5866">
      <w:pPr>
        <w:spacing w:before="200" w:after="200" w:line="48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Introduction</w:t>
      </w:r>
    </w:p>
    <w:p w14:paraId="759AD81F" w14:textId="77777777" w:rsidR="007C5593" w:rsidRDefault="000A5866">
      <w:pPr>
        <w:spacing w:line="48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In this assignment this structured survey is used to evaluate the effectiveness of renewable wind energy policies in the UK. This survey is to provide new insights into how participants are aware of, perceive and have an opinion on wind energy policies and support for sustainability. The study highlights a viewpoint that can allow policymakers to identify key issues to overcome when implementing renewable energy strategies for a sustainable and energy efficient future.</w:t>
      </w:r>
    </w:p>
    <w:p w14:paraId="506225DB" w14:textId="77777777" w:rsidR="007C5593" w:rsidRDefault="000A5866">
      <w:pPr>
        <w:spacing w:before="200" w:after="200" w:line="48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Survey Questionnaire</w:t>
      </w:r>
    </w:p>
    <w:p w14:paraId="6053217E"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Question 1: Which age category do you belong to?</w:t>
      </w:r>
    </w:p>
    <w:p w14:paraId="7038BDEE" w14:textId="77777777" w:rsidR="007C5593" w:rsidRDefault="000A5866">
      <w:pPr>
        <w:numPr>
          <w:ilvl w:val="0"/>
          <w:numId w:val="5"/>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Under 25</w:t>
      </w:r>
    </w:p>
    <w:p w14:paraId="4BDB4786" w14:textId="77777777" w:rsidR="007C5593" w:rsidRDefault="000A5866">
      <w:pPr>
        <w:numPr>
          <w:ilvl w:val="0"/>
          <w:numId w:val="5"/>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25-45</w:t>
      </w:r>
    </w:p>
    <w:p w14:paraId="3653C775" w14:textId="77777777" w:rsidR="007C5593" w:rsidRDefault="000A5866">
      <w:pPr>
        <w:numPr>
          <w:ilvl w:val="0"/>
          <w:numId w:val="5"/>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45-65</w:t>
      </w:r>
    </w:p>
    <w:p w14:paraId="47179CEF" w14:textId="77777777" w:rsidR="007C5593" w:rsidRDefault="000A5866">
      <w:pPr>
        <w:numPr>
          <w:ilvl w:val="0"/>
          <w:numId w:val="5"/>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65 and above</w:t>
      </w:r>
    </w:p>
    <w:p w14:paraId="6FEC56F6"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Question 2: What is your gender?</w:t>
      </w:r>
    </w:p>
    <w:p w14:paraId="58D108E9" w14:textId="77777777" w:rsidR="007C5593" w:rsidRDefault="000A5866">
      <w:pPr>
        <w:numPr>
          <w:ilvl w:val="0"/>
          <w:numId w:val="6"/>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Male</w:t>
      </w:r>
    </w:p>
    <w:p w14:paraId="664FC210" w14:textId="77777777" w:rsidR="007C5593" w:rsidRDefault="000A5866">
      <w:pPr>
        <w:numPr>
          <w:ilvl w:val="0"/>
          <w:numId w:val="6"/>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Female</w:t>
      </w:r>
    </w:p>
    <w:p w14:paraId="1CD4BD7A" w14:textId="77777777" w:rsidR="007C5593" w:rsidRDefault="000A5866">
      <w:pPr>
        <w:numPr>
          <w:ilvl w:val="0"/>
          <w:numId w:val="6"/>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Others</w:t>
      </w:r>
    </w:p>
    <w:p w14:paraId="2875A6BF"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Question 3: Where do you live in the UK? </w:t>
      </w:r>
    </w:p>
    <w:p w14:paraId="448AB46B" w14:textId="77777777" w:rsidR="007C5593" w:rsidRDefault="000A5866">
      <w:pPr>
        <w:numPr>
          <w:ilvl w:val="0"/>
          <w:numId w:val="14"/>
        </w:numPr>
        <w:pBdr>
          <w:top w:val="nil"/>
          <w:left w:val="nil"/>
          <w:bottom w:val="nil"/>
          <w:right w:val="nil"/>
          <w:between w:val="nil"/>
        </w:pBdr>
        <w:spacing w:line="480" w:lineRule="auto"/>
        <w:jc w:val="both"/>
        <w:rPr>
          <w:sz w:val="24"/>
          <w:szCs w:val="24"/>
        </w:rPr>
      </w:pPr>
      <w:r>
        <w:rPr>
          <w:rFonts w:ascii="Times New Roman" w:eastAsia="Times New Roman" w:hAnsi="Times New Roman" w:cs="Times New Roman"/>
          <w:sz w:val="24"/>
          <w:szCs w:val="24"/>
        </w:rPr>
        <w:t xml:space="preserve">London and surrounding areas </w:t>
      </w:r>
    </w:p>
    <w:p w14:paraId="18384E35" w14:textId="77777777" w:rsidR="007C5593" w:rsidRDefault="000A5866">
      <w:pPr>
        <w:numPr>
          <w:ilvl w:val="0"/>
          <w:numId w:val="14"/>
        </w:numPr>
        <w:pBdr>
          <w:top w:val="nil"/>
          <w:left w:val="nil"/>
          <w:bottom w:val="nil"/>
          <w:right w:val="nil"/>
          <w:between w:val="nil"/>
        </w:pBdr>
        <w:spacing w:line="480" w:lineRule="auto"/>
        <w:jc w:val="both"/>
        <w:rPr>
          <w:sz w:val="24"/>
          <w:szCs w:val="24"/>
        </w:rPr>
      </w:pPr>
      <w:r>
        <w:rPr>
          <w:rFonts w:ascii="Times New Roman" w:eastAsia="Times New Roman" w:hAnsi="Times New Roman" w:cs="Times New Roman"/>
          <w:sz w:val="24"/>
          <w:szCs w:val="24"/>
        </w:rPr>
        <w:t>Rest of England</w:t>
      </w:r>
    </w:p>
    <w:p w14:paraId="431CF8DB" w14:textId="77777777" w:rsidR="007C5593" w:rsidRDefault="000A5866">
      <w:pPr>
        <w:numPr>
          <w:ilvl w:val="0"/>
          <w:numId w:val="14"/>
        </w:numPr>
        <w:pBdr>
          <w:top w:val="nil"/>
          <w:left w:val="nil"/>
          <w:bottom w:val="nil"/>
          <w:right w:val="nil"/>
          <w:between w:val="nil"/>
        </w:pBdr>
        <w:spacing w:line="480" w:lineRule="auto"/>
        <w:jc w:val="both"/>
        <w:rPr>
          <w:sz w:val="24"/>
          <w:szCs w:val="24"/>
        </w:rPr>
      </w:pPr>
      <w:r>
        <w:rPr>
          <w:rFonts w:ascii="Times New Roman" w:eastAsia="Times New Roman" w:hAnsi="Times New Roman" w:cs="Times New Roman"/>
          <w:sz w:val="24"/>
          <w:szCs w:val="24"/>
        </w:rPr>
        <w:t xml:space="preserve">Wales </w:t>
      </w:r>
    </w:p>
    <w:p w14:paraId="4983CCD7" w14:textId="77777777" w:rsidR="007C5593" w:rsidRDefault="000A5866">
      <w:pPr>
        <w:numPr>
          <w:ilvl w:val="0"/>
          <w:numId w:val="14"/>
        </w:numPr>
        <w:pBdr>
          <w:top w:val="nil"/>
          <w:left w:val="nil"/>
          <w:bottom w:val="nil"/>
          <w:right w:val="nil"/>
          <w:between w:val="nil"/>
        </w:pBdr>
        <w:spacing w:line="480" w:lineRule="auto"/>
        <w:jc w:val="both"/>
        <w:rPr>
          <w:sz w:val="24"/>
          <w:szCs w:val="24"/>
        </w:rPr>
      </w:pPr>
      <w:r>
        <w:rPr>
          <w:rFonts w:ascii="Times New Roman" w:eastAsia="Times New Roman" w:hAnsi="Times New Roman" w:cs="Times New Roman"/>
          <w:sz w:val="24"/>
          <w:szCs w:val="24"/>
        </w:rPr>
        <w:t>Scotland</w:t>
      </w:r>
    </w:p>
    <w:p w14:paraId="6056216E" w14:textId="77777777" w:rsidR="007C5593" w:rsidRDefault="000A5866">
      <w:pPr>
        <w:numPr>
          <w:ilvl w:val="0"/>
          <w:numId w:val="14"/>
        </w:numPr>
        <w:pBdr>
          <w:top w:val="nil"/>
          <w:left w:val="nil"/>
          <w:bottom w:val="nil"/>
          <w:right w:val="nil"/>
          <w:between w:val="nil"/>
        </w:pBdr>
        <w:spacing w:line="480" w:lineRule="auto"/>
        <w:jc w:val="both"/>
        <w:rPr>
          <w:sz w:val="24"/>
          <w:szCs w:val="24"/>
        </w:rPr>
      </w:pPr>
      <w:r>
        <w:rPr>
          <w:rFonts w:ascii="Times New Roman" w:eastAsia="Times New Roman" w:hAnsi="Times New Roman" w:cs="Times New Roman"/>
          <w:sz w:val="24"/>
          <w:szCs w:val="24"/>
        </w:rPr>
        <w:lastRenderedPageBreak/>
        <w:t>Northern Ireland</w:t>
      </w:r>
    </w:p>
    <w:p w14:paraId="634D642E"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4. Are you aware of how much energy is generated by wind power in the UK?</w:t>
      </w:r>
    </w:p>
    <w:p w14:paraId="2B093624" w14:textId="77777777" w:rsidR="007C5593" w:rsidRDefault="000A5866">
      <w:pPr>
        <w:numPr>
          <w:ilvl w:val="0"/>
          <w:numId w:val="2"/>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p w14:paraId="1B6EDF78" w14:textId="77777777" w:rsidR="007C5593" w:rsidRDefault="000A5866">
      <w:pPr>
        <w:numPr>
          <w:ilvl w:val="0"/>
          <w:numId w:val="2"/>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p w14:paraId="077FB0A6"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5: Do you live near wind turbines?</w:t>
      </w:r>
    </w:p>
    <w:p w14:paraId="48A890AB" w14:textId="77777777" w:rsidR="007C5593" w:rsidRDefault="000A5866">
      <w:pPr>
        <w:numPr>
          <w:ilvl w:val="0"/>
          <w:numId w:val="3"/>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p w14:paraId="05C2CB17" w14:textId="77777777" w:rsidR="007C5593" w:rsidRDefault="000A5866">
      <w:pPr>
        <w:numPr>
          <w:ilvl w:val="0"/>
          <w:numId w:val="3"/>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p w14:paraId="1CF5D21A"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6 : If yes, are you impacted by them in any way?</w:t>
      </w:r>
    </w:p>
    <w:p w14:paraId="1D89F162" w14:textId="77777777" w:rsidR="007C5593" w:rsidRDefault="000A5866">
      <w:pPr>
        <w:numPr>
          <w:ilvl w:val="0"/>
          <w:numId w:val="4"/>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p w14:paraId="4FFE1072" w14:textId="77777777" w:rsidR="007C5593" w:rsidRDefault="000A5866">
      <w:pPr>
        <w:numPr>
          <w:ilvl w:val="0"/>
          <w:numId w:val="4"/>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p w14:paraId="60C9C911"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yes, please explain…………………………………………………………..</w:t>
      </w:r>
    </w:p>
    <w:p w14:paraId="38338158"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Question 7:  Which strategies can avoid the challenges in the development of  Wind Energy in the UK?</w:t>
      </w:r>
    </w:p>
    <w:p w14:paraId="2AF5E396" w14:textId="77777777" w:rsidR="007C5593" w:rsidRDefault="000A5866">
      <w:pPr>
        <w:numPr>
          <w:ilvl w:val="0"/>
          <w:numId w:val="7"/>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Proper planning</w:t>
      </w:r>
    </w:p>
    <w:p w14:paraId="3628CA6F" w14:textId="77777777" w:rsidR="007C5593" w:rsidRDefault="000A5866">
      <w:pPr>
        <w:numPr>
          <w:ilvl w:val="0"/>
          <w:numId w:val="7"/>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Deployment of automation in the supply chain</w:t>
      </w:r>
    </w:p>
    <w:p w14:paraId="55EACF1A" w14:textId="77777777" w:rsidR="007C5593" w:rsidRDefault="000A5866">
      <w:pPr>
        <w:numPr>
          <w:ilvl w:val="0"/>
          <w:numId w:val="7"/>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Innovative approach </w:t>
      </w:r>
    </w:p>
    <w:p w14:paraId="2C17FCED" w14:textId="77777777" w:rsidR="007C5593" w:rsidRDefault="000A5866">
      <w:pPr>
        <w:numPr>
          <w:ilvl w:val="0"/>
          <w:numId w:val="7"/>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Proper research and evaluation </w:t>
      </w:r>
    </w:p>
    <w:p w14:paraId="2F4ED9D4" w14:textId="77777777" w:rsidR="007C5593" w:rsidRDefault="000A5866">
      <w:pPr>
        <w:numPr>
          <w:ilvl w:val="0"/>
          <w:numId w:val="7"/>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None of the above </w:t>
      </w:r>
    </w:p>
    <w:p w14:paraId="7F0769A9" w14:textId="3385E694" w:rsidR="007C5593" w:rsidRDefault="008172AE">
      <w:pPr>
        <w:numPr>
          <w:ilvl w:val="0"/>
          <w:numId w:val="7"/>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All</w:t>
      </w:r>
      <w:r w:rsidR="000A5866">
        <w:rPr>
          <w:rFonts w:ascii="Times New Roman" w:eastAsia="Times New Roman" w:hAnsi="Times New Roman" w:cs="Times New Roman"/>
          <w:sz w:val="24"/>
          <w:szCs w:val="24"/>
        </w:rPr>
        <w:t xml:space="preserve"> the above </w:t>
      </w:r>
    </w:p>
    <w:p w14:paraId="5A6D7BD1"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Question 8: What do you think are the main challenges in developing Wind Energy Policies in the UK?</w:t>
      </w:r>
    </w:p>
    <w:p w14:paraId="3533F1D8" w14:textId="77777777" w:rsidR="007C5593" w:rsidRDefault="000A5866">
      <w:pPr>
        <w:numPr>
          <w:ilvl w:val="0"/>
          <w:numId w:val="7"/>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Improper infrastructure </w:t>
      </w:r>
    </w:p>
    <w:p w14:paraId="24D1BB0B" w14:textId="77777777" w:rsidR="007C5593" w:rsidRDefault="000A5866">
      <w:pPr>
        <w:numPr>
          <w:ilvl w:val="0"/>
          <w:numId w:val="7"/>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Constraints in the production and management supply chain </w:t>
      </w:r>
    </w:p>
    <w:p w14:paraId="1D016B17" w14:textId="77777777" w:rsidR="007C5593" w:rsidRDefault="000A5866">
      <w:pPr>
        <w:numPr>
          <w:ilvl w:val="0"/>
          <w:numId w:val="7"/>
        </w:numPr>
        <w:pBdr>
          <w:top w:val="nil"/>
          <w:left w:val="nil"/>
          <w:bottom w:val="nil"/>
          <w:right w:val="nil"/>
          <w:between w:val="nil"/>
        </w:pBdr>
        <w:spacing w:line="480" w:lineRule="auto"/>
        <w:jc w:val="both"/>
      </w:pPr>
      <w:r>
        <w:rPr>
          <w:rFonts w:ascii="Times New Roman" w:eastAsia="Times New Roman" w:hAnsi="Times New Roman" w:cs="Times New Roman"/>
          <w:sz w:val="24"/>
          <w:szCs w:val="24"/>
        </w:rPr>
        <w:lastRenderedPageBreak/>
        <w:t>Uncertainty and inconsistent policy adoption</w:t>
      </w:r>
    </w:p>
    <w:p w14:paraId="5A761FE1" w14:textId="138D9DC5" w:rsidR="007C5593" w:rsidRDefault="008172AE">
      <w:pPr>
        <w:numPr>
          <w:ilvl w:val="0"/>
          <w:numId w:val="7"/>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All</w:t>
      </w:r>
      <w:r w:rsidR="000A5866">
        <w:rPr>
          <w:rFonts w:ascii="Times New Roman" w:eastAsia="Times New Roman" w:hAnsi="Times New Roman" w:cs="Times New Roman"/>
          <w:sz w:val="24"/>
          <w:szCs w:val="24"/>
        </w:rPr>
        <w:t xml:space="preserve"> the above </w:t>
      </w:r>
    </w:p>
    <w:p w14:paraId="00B1E25E" w14:textId="77777777" w:rsidR="007C5593" w:rsidRDefault="000A5866">
      <w:pPr>
        <w:numPr>
          <w:ilvl w:val="0"/>
          <w:numId w:val="7"/>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None of the above </w:t>
      </w:r>
    </w:p>
    <w:p w14:paraId="4345EBA4"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Question 9: How effective do you think the UK has been in developing renewable wind energy?</w:t>
      </w:r>
    </w:p>
    <w:p w14:paraId="6C6DD4F5" w14:textId="77777777" w:rsidR="007C5593" w:rsidRDefault="000A5866">
      <w:pPr>
        <w:numPr>
          <w:ilvl w:val="0"/>
          <w:numId w:val="8"/>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Significantly Effective</w:t>
      </w:r>
    </w:p>
    <w:p w14:paraId="4C8FB343" w14:textId="77777777" w:rsidR="007C5593" w:rsidRDefault="000A5866">
      <w:pPr>
        <w:numPr>
          <w:ilvl w:val="0"/>
          <w:numId w:val="8"/>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Moderately Effective</w:t>
      </w:r>
    </w:p>
    <w:p w14:paraId="3FDCFFB6" w14:textId="77777777" w:rsidR="007C5593" w:rsidRDefault="000A5866">
      <w:pPr>
        <w:numPr>
          <w:ilvl w:val="0"/>
          <w:numId w:val="8"/>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Moderately Ineffective</w:t>
      </w:r>
    </w:p>
    <w:p w14:paraId="1C4AB1F3" w14:textId="77777777" w:rsidR="007C5593" w:rsidRDefault="000A5866">
      <w:pPr>
        <w:numPr>
          <w:ilvl w:val="0"/>
          <w:numId w:val="8"/>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Significantly Ineffective</w:t>
      </w:r>
    </w:p>
    <w:p w14:paraId="78998008" w14:textId="77777777" w:rsidR="007C5593" w:rsidRDefault="000A5866">
      <w:pPr>
        <w:numPr>
          <w:ilvl w:val="0"/>
          <w:numId w:val="8"/>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No Change</w:t>
      </w:r>
    </w:p>
    <w:p w14:paraId="33D19B0F"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Question 10: To what extent do you think that renewable wind energy policies can help enhance energy efficiency and productivity in the UK?</w:t>
      </w:r>
    </w:p>
    <w:p w14:paraId="0B365483" w14:textId="77777777" w:rsidR="007C5593" w:rsidRDefault="000A5866">
      <w:pPr>
        <w:numPr>
          <w:ilvl w:val="0"/>
          <w:numId w:val="9"/>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To a good extent</w:t>
      </w:r>
    </w:p>
    <w:p w14:paraId="3E54D2B2" w14:textId="77777777" w:rsidR="007C5593" w:rsidRDefault="000A5866">
      <w:pPr>
        <w:numPr>
          <w:ilvl w:val="0"/>
          <w:numId w:val="9"/>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To a great extent</w:t>
      </w:r>
    </w:p>
    <w:p w14:paraId="5723DDD7" w14:textId="77777777" w:rsidR="007C5593" w:rsidRDefault="000A5866">
      <w:pPr>
        <w:numPr>
          <w:ilvl w:val="0"/>
          <w:numId w:val="9"/>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To a moderate extent</w:t>
      </w:r>
    </w:p>
    <w:p w14:paraId="16025F85" w14:textId="77777777" w:rsidR="007C5593" w:rsidRDefault="000A5866">
      <w:pPr>
        <w:numPr>
          <w:ilvl w:val="0"/>
          <w:numId w:val="9"/>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To a slight extent</w:t>
      </w:r>
    </w:p>
    <w:p w14:paraId="74171FB2" w14:textId="77777777" w:rsidR="007C5593" w:rsidRDefault="000A5866">
      <w:pPr>
        <w:numPr>
          <w:ilvl w:val="0"/>
          <w:numId w:val="9"/>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Won’t make any difference</w:t>
      </w:r>
    </w:p>
    <w:p w14:paraId="3627DA37"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11: Do you think technological advancements, such as improving wind turbines and better energy storage, can help make wind energy policies more effective in the UK?</w:t>
      </w:r>
    </w:p>
    <w:p w14:paraId="31EB2ED9" w14:textId="77777777" w:rsidR="007C5593" w:rsidRDefault="000A5866">
      <w:pPr>
        <w:numPr>
          <w:ilvl w:val="0"/>
          <w:numId w:val="10"/>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Very positively</w:t>
      </w:r>
    </w:p>
    <w:p w14:paraId="2670FD85" w14:textId="77777777" w:rsidR="007C5593" w:rsidRDefault="000A5866">
      <w:pPr>
        <w:numPr>
          <w:ilvl w:val="0"/>
          <w:numId w:val="10"/>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Positively</w:t>
      </w:r>
    </w:p>
    <w:p w14:paraId="57BAA41E" w14:textId="77777777" w:rsidR="007C5593" w:rsidRDefault="000A5866">
      <w:pPr>
        <w:numPr>
          <w:ilvl w:val="0"/>
          <w:numId w:val="10"/>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Negatively</w:t>
      </w:r>
    </w:p>
    <w:p w14:paraId="2E36F3B5" w14:textId="77777777" w:rsidR="007C5593" w:rsidRDefault="000A5866">
      <w:pPr>
        <w:numPr>
          <w:ilvl w:val="0"/>
          <w:numId w:val="10"/>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Very Negatively</w:t>
      </w:r>
    </w:p>
    <w:p w14:paraId="0D30344F" w14:textId="77777777" w:rsidR="007C5593" w:rsidRDefault="000A5866">
      <w:pPr>
        <w:numPr>
          <w:ilvl w:val="0"/>
          <w:numId w:val="10"/>
        </w:numPr>
        <w:pBdr>
          <w:top w:val="nil"/>
          <w:left w:val="nil"/>
          <w:bottom w:val="nil"/>
          <w:right w:val="nil"/>
          <w:between w:val="nil"/>
        </w:pBdr>
        <w:spacing w:line="480" w:lineRule="auto"/>
        <w:jc w:val="both"/>
      </w:pPr>
      <w:r>
        <w:rPr>
          <w:rFonts w:ascii="Times New Roman" w:eastAsia="Times New Roman" w:hAnsi="Times New Roman" w:cs="Times New Roman"/>
          <w:sz w:val="24"/>
          <w:szCs w:val="24"/>
        </w:rPr>
        <w:lastRenderedPageBreak/>
        <w:t>No Impact</w:t>
      </w:r>
    </w:p>
    <w:p w14:paraId="0D536E1A"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Question 12: What role do you think community engagement plays in the success of renewable wind energy projects in the UK?</w:t>
      </w:r>
    </w:p>
    <w:p w14:paraId="54B3A626" w14:textId="77777777" w:rsidR="007C5593" w:rsidRDefault="000A5866">
      <w:pPr>
        <w:numPr>
          <w:ilvl w:val="0"/>
          <w:numId w:val="11"/>
        </w:numPr>
        <w:spacing w:line="480" w:lineRule="auto"/>
        <w:jc w:val="both"/>
      </w:pPr>
      <w:r>
        <w:rPr>
          <w:rFonts w:ascii="Times New Roman" w:eastAsia="Times New Roman" w:hAnsi="Times New Roman" w:cs="Times New Roman"/>
          <w:sz w:val="24"/>
          <w:szCs w:val="24"/>
        </w:rPr>
        <w:t>Very Important</w:t>
      </w:r>
    </w:p>
    <w:p w14:paraId="0AF9DD52" w14:textId="77777777" w:rsidR="007C5593" w:rsidRDefault="000A5866">
      <w:pPr>
        <w:numPr>
          <w:ilvl w:val="0"/>
          <w:numId w:val="11"/>
        </w:numPr>
        <w:spacing w:line="480" w:lineRule="auto"/>
        <w:jc w:val="both"/>
      </w:pPr>
      <w:r>
        <w:rPr>
          <w:rFonts w:ascii="Times New Roman" w:eastAsia="Times New Roman" w:hAnsi="Times New Roman" w:cs="Times New Roman"/>
          <w:sz w:val="24"/>
          <w:szCs w:val="24"/>
        </w:rPr>
        <w:t>Important</w:t>
      </w:r>
    </w:p>
    <w:p w14:paraId="2EAC3A47" w14:textId="77777777" w:rsidR="007C5593" w:rsidRDefault="000A5866">
      <w:pPr>
        <w:numPr>
          <w:ilvl w:val="0"/>
          <w:numId w:val="11"/>
        </w:numPr>
        <w:spacing w:line="480" w:lineRule="auto"/>
        <w:jc w:val="both"/>
      </w:pPr>
      <w:r>
        <w:rPr>
          <w:rFonts w:ascii="Times New Roman" w:eastAsia="Times New Roman" w:hAnsi="Times New Roman" w:cs="Times New Roman"/>
          <w:sz w:val="24"/>
          <w:szCs w:val="24"/>
        </w:rPr>
        <w:t>Neutral</w:t>
      </w:r>
    </w:p>
    <w:p w14:paraId="20448512" w14:textId="77777777" w:rsidR="007C5593" w:rsidRDefault="000A5866">
      <w:pPr>
        <w:numPr>
          <w:ilvl w:val="0"/>
          <w:numId w:val="11"/>
        </w:numPr>
        <w:spacing w:line="480" w:lineRule="auto"/>
        <w:jc w:val="both"/>
      </w:pPr>
      <w:r>
        <w:rPr>
          <w:rFonts w:ascii="Times New Roman" w:eastAsia="Times New Roman" w:hAnsi="Times New Roman" w:cs="Times New Roman"/>
          <w:sz w:val="24"/>
          <w:szCs w:val="24"/>
        </w:rPr>
        <w:t>Not Important</w:t>
      </w:r>
    </w:p>
    <w:p w14:paraId="7FB1BDC1" w14:textId="77777777" w:rsidR="007C5593" w:rsidRDefault="000A5866">
      <w:pPr>
        <w:numPr>
          <w:ilvl w:val="0"/>
          <w:numId w:val="11"/>
        </w:numPr>
        <w:spacing w:line="480" w:lineRule="auto"/>
        <w:jc w:val="both"/>
      </w:pPr>
      <w:r>
        <w:rPr>
          <w:rFonts w:ascii="Times New Roman" w:eastAsia="Times New Roman" w:hAnsi="Times New Roman" w:cs="Times New Roman"/>
          <w:sz w:val="24"/>
          <w:szCs w:val="24"/>
        </w:rPr>
        <w:t>Not Important at All</w:t>
      </w:r>
    </w:p>
    <w:p w14:paraId="60C99A7C"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Question 13: To what extent, do you think that the use of renewable wind energy policies in the UK can provide a stable energy supply?</w:t>
      </w:r>
    </w:p>
    <w:p w14:paraId="31386D2D" w14:textId="77777777" w:rsidR="007C5593" w:rsidRDefault="000A5866">
      <w:pPr>
        <w:numPr>
          <w:ilvl w:val="0"/>
          <w:numId w:val="12"/>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Highly Effective</w:t>
      </w:r>
    </w:p>
    <w:p w14:paraId="5CC120ED" w14:textId="77777777" w:rsidR="007C5593" w:rsidRDefault="000A5866">
      <w:pPr>
        <w:numPr>
          <w:ilvl w:val="0"/>
          <w:numId w:val="12"/>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Effective</w:t>
      </w:r>
    </w:p>
    <w:p w14:paraId="78190C2C" w14:textId="77777777" w:rsidR="007C5593" w:rsidRDefault="000A5866">
      <w:pPr>
        <w:numPr>
          <w:ilvl w:val="0"/>
          <w:numId w:val="12"/>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Ineffective</w:t>
      </w:r>
    </w:p>
    <w:p w14:paraId="73F4D949" w14:textId="77777777" w:rsidR="007C5593" w:rsidRDefault="000A5866">
      <w:pPr>
        <w:numPr>
          <w:ilvl w:val="0"/>
          <w:numId w:val="12"/>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Highly Ineffective</w:t>
      </w:r>
    </w:p>
    <w:p w14:paraId="1340B58A" w14:textId="77777777" w:rsidR="007C5593" w:rsidRDefault="000A5866">
      <w:pPr>
        <w:numPr>
          <w:ilvl w:val="0"/>
          <w:numId w:val="12"/>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Neutral</w:t>
      </w:r>
    </w:p>
    <w:p w14:paraId="348137E4"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Question 14: A sustainable environment refers to the meaning of fulfilling the current needs without causing the harm of the resources for future generations. </w:t>
      </w:r>
    </w:p>
    <w:p w14:paraId="5C49E79D" w14:textId="77777777" w:rsidR="007C5593" w:rsidRDefault="000A5866">
      <w:p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Do you agree that wind energy policies in the UK can reduce air pollution and help to nurture a sustainable environment?</w:t>
      </w:r>
    </w:p>
    <w:p w14:paraId="1A475E4F" w14:textId="77777777" w:rsidR="007C5593" w:rsidRDefault="000A5866">
      <w:pPr>
        <w:numPr>
          <w:ilvl w:val="0"/>
          <w:numId w:val="13"/>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Very Positively</w:t>
      </w:r>
    </w:p>
    <w:p w14:paraId="3EF9C23C" w14:textId="77777777" w:rsidR="007C5593" w:rsidRDefault="000A5866">
      <w:pPr>
        <w:numPr>
          <w:ilvl w:val="0"/>
          <w:numId w:val="13"/>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Positive</w:t>
      </w:r>
    </w:p>
    <w:p w14:paraId="0E9D40DB" w14:textId="77777777" w:rsidR="007C5593" w:rsidRDefault="000A5866">
      <w:pPr>
        <w:numPr>
          <w:ilvl w:val="0"/>
          <w:numId w:val="13"/>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Negatively</w:t>
      </w:r>
    </w:p>
    <w:p w14:paraId="41CDC8DB" w14:textId="77777777" w:rsidR="007C5593" w:rsidRDefault="000A5866">
      <w:pPr>
        <w:numPr>
          <w:ilvl w:val="0"/>
          <w:numId w:val="13"/>
        </w:numPr>
        <w:pBdr>
          <w:top w:val="nil"/>
          <w:left w:val="nil"/>
          <w:bottom w:val="nil"/>
          <w:right w:val="nil"/>
          <w:between w:val="nil"/>
        </w:pBdr>
        <w:spacing w:line="480" w:lineRule="auto"/>
        <w:jc w:val="both"/>
      </w:pPr>
      <w:r>
        <w:rPr>
          <w:rFonts w:ascii="Times New Roman" w:eastAsia="Times New Roman" w:hAnsi="Times New Roman" w:cs="Times New Roman"/>
          <w:sz w:val="24"/>
          <w:szCs w:val="24"/>
        </w:rPr>
        <w:t>Very Negative</w:t>
      </w:r>
    </w:p>
    <w:p w14:paraId="0E9F5559" w14:textId="77777777" w:rsidR="007C5593" w:rsidRDefault="000A5866">
      <w:pPr>
        <w:spacing w:before="200"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End Note</w:t>
      </w:r>
    </w:p>
    <w:p w14:paraId="1199FE5E" w14:textId="77777777" w:rsidR="007C5593" w:rsidRDefault="000A5866">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Thank you for taking the time to participate in this survey. Your valuable insights and perspectives are crucial in helping us understand and evaluate the effectiveness of renewable wind energy policies in the UK.</w:t>
      </w:r>
    </w:p>
    <w:p w14:paraId="5BC0171E" w14:textId="77777777" w:rsidR="007C5593" w:rsidRDefault="007C5593">
      <w:pPr>
        <w:spacing w:line="480" w:lineRule="auto"/>
        <w:jc w:val="both"/>
        <w:rPr>
          <w:rFonts w:ascii="Times New Roman" w:eastAsia="Times New Roman" w:hAnsi="Times New Roman" w:cs="Times New Roman"/>
          <w:b/>
          <w:sz w:val="24"/>
          <w:szCs w:val="24"/>
          <w:highlight w:val="white"/>
        </w:rPr>
      </w:pPr>
    </w:p>
    <w:sectPr w:rsidR="007C5593" w:rsidSect="007132D5">
      <w:footerReference w:type="default" r:id="rId9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11455D" w14:textId="77777777" w:rsidR="002C40E0" w:rsidRDefault="002C40E0" w:rsidP="007C5593">
      <w:pPr>
        <w:spacing w:line="240" w:lineRule="auto"/>
      </w:pPr>
      <w:r>
        <w:separator/>
      </w:r>
    </w:p>
  </w:endnote>
  <w:endnote w:type="continuationSeparator" w:id="0">
    <w:p w14:paraId="662A52CD" w14:textId="77777777" w:rsidR="002C40E0" w:rsidRDefault="002C40E0" w:rsidP="007C55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angal">
    <w:panose1 w:val="02040503050203030202"/>
    <w:charset w:val="01"/>
    <w:family w:val="roman"/>
    <w:pitch w:val="variable"/>
    <w:sig w:usb0="0000A003" w:usb1="00000000" w:usb2="00000000" w:usb3="00000000" w:csb0="00000001" w:csb1="00000000"/>
  </w:font>
  <w:font w:name="Aptos">
    <w:altName w:val="Calibri"/>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C08FD5" w14:textId="77777777" w:rsidR="007C5593" w:rsidRDefault="007C5593">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sidR="000A5866">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5D77AD">
      <w:rPr>
        <w:rFonts w:ascii="Times New Roman" w:eastAsia="Times New Roman" w:hAnsi="Times New Roman" w:cs="Times New Roman"/>
        <w:noProof/>
        <w:color w:val="000000"/>
        <w:sz w:val="20"/>
        <w:szCs w:val="20"/>
      </w:rPr>
      <w:t>9</w:t>
    </w:r>
    <w:r>
      <w:rPr>
        <w:rFonts w:ascii="Times New Roman" w:eastAsia="Times New Roman" w:hAnsi="Times New Roman" w:cs="Times New Roman"/>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DC05B" w14:textId="77777777" w:rsidR="002C40E0" w:rsidRDefault="002C40E0" w:rsidP="007C5593">
      <w:pPr>
        <w:spacing w:line="240" w:lineRule="auto"/>
      </w:pPr>
      <w:r>
        <w:separator/>
      </w:r>
    </w:p>
  </w:footnote>
  <w:footnote w:type="continuationSeparator" w:id="0">
    <w:p w14:paraId="34CD0DEE" w14:textId="77777777" w:rsidR="002C40E0" w:rsidRDefault="002C40E0" w:rsidP="007C559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300A8"/>
    <w:multiLevelType w:val="multilevel"/>
    <w:tmpl w:val="D0CC9A2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11E065DA"/>
    <w:multiLevelType w:val="multilevel"/>
    <w:tmpl w:val="63FA004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3AC63AA"/>
    <w:multiLevelType w:val="multilevel"/>
    <w:tmpl w:val="66D20C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28479F"/>
    <w:multiLevelType w:val="multilevel"/>
    <w:tmpl w:val="C5C819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36426C"/>
    <w:multiLevelType w:val="multilevel"/>
    <w:tmpl w:val="BC32495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B0C7F17"/>
    <w:multiLevelType w:val="multilevel"/>
    <w:tmpl w:val="D7FA0E4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40763EC9"/>
    <w:multiLevelType w:val="multilevel"/>
    <w:tmpl w:val="C20E29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6E90EED"/>
    <w:multiLevelType w:val="multilevel"/>
    <w:tmpl w:val="8C2CD53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537A292D"/>
    <w:multiLevelType w:val="multilevel"/>
    <w:tmpl w:val="C82483E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5CB9798B"/>
    <w:multiLevelType w:val="multilevel"/>
    <w:tmpl w:val="2F147FC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639E75EA"/>
    <w:multiLevelType w:val="multilevel"/>
    <w:tmpl w:val="B7FA97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CB22ACA"/>
    <w:multiLevelType w:val="multilevel"/>
    <w:tmpl w:val="719AAB8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15:restartNumberingAfterBreak="0">
    <w:nsid w:val="6E701BB8"/>
    <w:multiLevelType w:val="multilevel"/>
    <w:tmpl w:val="4258B20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77362DD1"/>
    <w:multiLevelType w:val="multilevel"/>
    <w:tmpl w:val="BFA82C9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796217427">
    <w:abstractNumId w:val="3"/>
  </w:num>
  <w:num w:numId="2" w16cid:durableId="1881086126">
    <w:abstractNumId w:val="10"/>
  </w:num>
  <w:num w:numId="3" w16cid:durableId="695887728">
    <w:abstractNumId w:val="6"/>
  </w:num>
  <w:num w:numId="4" w16cid:durableId="628434603">
    <w:abstractNumId w:val="2"/>
  </w:num>
  <w:num w:numId="5" w16cid:durableId="1298418758">
    <w:abstractNumId w:val="0"/>
  </w:num>
  <w:num w:numId="6" w16cid:durableId="769544818">
    <w:abstractNumId w:val="7"/>
  </w:num>
  <w:num w:numId="7" w16cid:durableId="1674256966">
    <w:abstractNumId w:val="9"/>
  </w:num>
  <w:num w:numId="8" w16cid:durableId="1963807400">
    <w:abstractNumId w:val="5"/>
  </w:num>
  <w:num w:numId="9" w16cid:durableId="63456806">
    <w:abstractNumId w:val="8"/>
  </w:num>
  <w:num w:numId="10" w16cid:durableId="391461568">
    <w:abstractNumId w:val="1"/>
  </w:num>
  <w:num w:numId="11" w16cid:durableId="1163664610">
    <w:abstractNumId w:val="13"/>
  </w:num>
  <w:num w:numId="12" w16cid:durableId="177235009">
    <w:abstractNumId w:val="11"/>
  </w:num>
  <w:num w:numId="13" w16cid:durableId="1399982560">
    <w:abstractNumId w:val="12"/>
  </w:num>
  <w:num w:numId="14" w16cid:durableId="20199165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593"/>
    <w:rsid w:val="000A5866"/>
    <w:rsid w:val="0015231C"/>
    <w:rsid w:val="002C40E0"/>
    <w:rsid w:val="00316B62"/>
    <w:rsid w:val="00334638"/>
    <w:rsid w:val="0037012F"/>
    <w:rsid w:val="00387D73"/>
    <w:rsid w:val="003E5E21"/>
    <w:rsid w:val="00433615"/>
    <w:rsid w:val="004C629F"/>
    <w:rsid w:val="005D77AD"/>
    <w:rsid w:val="007132D5"/>
    <w:rsid w:val="00795E7A"/>
    <w:rsid w:val="007C5593"/>
    <w:rsid w:val="008172AE"/>
    <w:rsid w:val="00BE6D39"/>
    <w:rsid w:val="00D0193B"/>
    <w:rsid w:val="00D64FEC"/>
    <w:rsid w:val="00E77383"/>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27E11"/>
  <w15:docId w15:val="{91FF6E76-1114-47E7-B6BB-5B1FFB181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593"/>
  </w:style>
  <w:style w:type="paragraph" w:styleId="Heading1">
    <w:name w:val="heading 1"/>
    <w:basedOn w:val="Normal"/>
    <w:next w:val="Normal"/>
    <w:uiPriority w:val="9"/>
    <w:qFormat/>
    <w:rsid w:val="007C5593"/>
    <w:pPr>
      <w:keepNext/>
      <w:keepLines/>
      <w:spacing w:before="240" w:after="240" w:line="48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7C5593"/>
    <w:pPr>
      <w:keepNext/>
      <w:keepLines/>
      <w:spacing w:before="200" w:after="200" w:line="48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rsid w:val="007C5593"/>
    <w:pPr>
      <w:pBdr>
        <w:top w:val="nil"/>
        <w:left w:val="nil"/>
        <w:bottom w:val="nil"/>
        <w:right w:val="nil"/>
        <w:between w:val="nil"/>
      </w:pBdr>
      <w:spacing w:before="120" w:after="120" w:line="480" w:lineRule="auto"/>
      <w:jc w:val="both"/>
      <w:outlineLvl w:val="2"/>
    </w:pPr>
    <w:rPr>
      <w:rFonts w:ascii="Times New Roman" w:eastAsia="Times New Roman" w:hAnsi="Times New Roman" w:cs="Times New Roman"/>
      <w:b/>
      <w:i/>
      <w:color w:val="000000"/>
      <w:sz w:val="24"/>
      <w:szCs w:val="24"/>
    </w:rPr>
  </w:style>
  <w:style w:type="paragraph" w:styleId="Heading4">
    <w:name w:val="heading 4"/>
    <w:basedOn w:val="Normal"/>
    <w:next w:val="Normal"/>
    <w:uiPriority w:val="9"/>
    <w:unhideWhenUsed/>
    <w:qFormat/>
    <w:rsid w:val="007C5593"/>
    <w:pPr>
      <w:keepNext/>
      <w:keepLines/>
      <w:spacing w:line="480" w:lineRule="auto"/>
      <w:jc w:val="center"/>
      <w:outlineLvl w:val="3"/>
    </w:pPr>
    <w:rPr>
      <w:rFonts w:ascii="Times New Roman" w:eastAsia="Times New Roman" w:hAnsi="Times New Roman" w:cs="Times New Roman"/>
      <w:b/>
      <w:sz w:val="24"/>
      <w:szCs w:val="24"/>
    </w:rPr>
  </w:style>
  <w:style w:type="paragraph" w:styleId="Heading5">
    <w:name w:val="heading 5"/>
    <w:basedOn w:val="Normal"/>
    <w:next w:val="Normal"/>
    <w:uiPriority w:val="9"/>
    <w:unhideWhenUsed/>
    <w:qFormat/>
    <w:rsid w:val="007C5593"/>
    <w:pPr>
      <w:keepNext/>
      <w:keepLines/>
      <w:spacing w:before="240" w:after="80" w:line="480" w:lineRule="auto"/>
      <w:jc w:val="center"/>
      <w:outlineLvl w:val="4"/>
    </w:pPr>
    <w:rPr>
      <w:rFonts w:ascii="Times New Roman" w:eastAsia="Times New Roman" w:hAnsi="Times New Roman" w:cs="Times New Roman"/>
      <w:b/>
      <w:color w:val="0D0D0D"/>
      <w:sz w:val="24"/>
      <w:szCs w:val="24"/>
    </w:rPr>
  </w:style>
  <w:style w:type="paragraph" w:styleId="Heading6">
    <w:name w:val="heading 6"/>
    <w:basedOn w:val="Normal"/>
    <w:next w:val="Normal"/>
    <w:uiPriority w:val="9"/>
    <w:unhideWhenUsed/>
    <w:qFormat/>
    <w:rsid w:val="007C5593"/>
    <w:pPr>
      <w:keepNext/>
      <w:keepLines/>
      <w:spacing w:before="140" w:after="140" w:line="480" w:lineRule="auto"/>
      <w:jc w:val="both"/>
      <w:outlineLvl w:val="5"/>
    </w:pPr>
    <w:rPr>
      <w:rFonts w:ascii="Times New Roman" w:eastAsia="Times New Roman" w:hAnsi="Times New Roman" w:cs="Times New Roman"/>
      <w:b/>
      <w:i/>
      <w:color w:val="FF000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C5593"/>
  </w:style>
  <w:style w:type="paragraph" w:styleId="Title">
    <w:name w:val="Title"/>
    <w:basedOn w:val="Normal"/>
    <w:next w:val="Normal"/>
    <w:uiPriority w:val="10"/>
    <w:qFormat/>
    <w:rsid w:val="007C5593"/>
    <w:pPr>
      <w:keepNext/>
      <w:keepLines/>
      <w:spacing w:after="60"/>
    </w:pPr>
    <w:rPr>
      <w:sz w:val="52"/>
      <w:szCs w:val="52"/>
    </w:rPr>
  </w:style>
  <w:style w:type="paragraph" w:styleId="Subtitle">
    <w:name w:val="Subtitle"/>
    <w:basedOn w:val="Normal"/>
    <w:next w:val="Normal"/>
    <w:rsid w:val="007C5593"/>
    <w:pPr>
      <w:keepNext/>
      <w:keepLines/>
      <w:spacing w:after="320"/>
    </w:pPr>
    <w:rPr>
      <w:color w:val="666666"/>
      <w:sz w:val="30"/>
      <w:szCs w:val="30"/>
    </w:rPr>
  </w:style>
  <w:style w:type="table" w:customStyle="1" w:styleId="a">
    <w:basedOn w:val="TableNormal"/>
    <w:rsid w:val="007C5593"/>
    <w:tblPr>
      <w:tblStyleRowBandSize w:val="1"/>
      <w:tblStyleColBandSize w:val="1"/>
      <w:tblCellMar>
        <w:left w:w="115" w:type="dxa"/>
        <w:right w:w="115" w:type="dxa"/>
      </w:tblCellMar>
    </w:tblPr>
  </w:style>
  <w:style w:type="table" w:customStyle="1" w:styleId="a0">
    <w:basedOn w:val="TableNormal"/>
    <w:rsid w:val="007C5593"/>
    <w:tblPr>
      <w:tblStyleRowBandSize w:val="1"/>
      <w:tblStyleColBandSize w:val="1"/>
      <w:tblCellMar>
        <w:left w:w="115" w:type="dxa"/>
        <w:right w:w="115" w:type="dxa"/>
      </w:tblCellMar>
    </w:tblPr>
  </w:style>
  <w:style w:type="table" w:customStyle="1" w:styleId="a1">
    <w:basedOn w:val="TableNormal"/>
    <w:rsid w:val="007C5593"/>
    <w:tblPr>
      <w:tblStyleRowBandSize w:val="1"/>
      <w:tblStyleColBandSize w:val="1"/>
      <w:tblCellMar>
        <w:left w:w="115" w:type="dxa"/>
        <w:right w:w="115" w:type="dxa"/>
      </w:tblCellMar>
    </w:tblPr>
  </w:style>
  <w:style w:type="table" w:customStyle="1" w:styleId="a2">
    <w:basedOn w:val="TableNormal"/>
    <w:rsid w:val="007C5593"/>
    <w:tblPr>
      <w:tblStyleRowBandSize w:val="1"/>
      <w:tblStyleColBandSize w:val="1"/>
      <w:tblCellMar>
        <w:left w:w="115" w:type="dxa"/>
        <w:right w:w="115" w:type="dxa"/>
      </w:tblCellMar>
    </w:tblPr>
  </w:style>
  <w:style w:type="table" w:customStyle="1" w:styleId="a3">
    <w:basedOn w:val="TableNormal"/>
    <w:rsid w:val="007C5593"/>
    <w:tblPr>
      <w:tblStyleRowBandSize w:val="1"/>
      <w:tblStyleColBandSize w:val="1"/>
      <w:tblCellMar>
        <w:left w:w="115" w:type="dxa"/>
        <w:right w:w="115" w:type="dxa"/>
      </w:tblCellMar>
    </w:tblPr>
  </w:style>
  <w:style w:type="table" w:customStyle="1" w:styleId="a4">
    <w:basedOn w:val="TableNormal"/>
    <w:rsid w:val="007C5593"/>
    <w:tblPr>
      <w:tblStyleRowBandSize w:val="1"/>
      <w:tblStyleColBandSize w:val="1"/>
      <w:tblCellMar>
        <w:left w:w="115" w:type="dxa"/>
        <w:right w:w="115" w:type="dxa"/>
      </w:tblCellMar>
    </w:tblPr>
  </w:style>
  <w:style w:type="table" w:customStyle="1" w:styleId="a5">
    <w:basedOn w:val="TableNormal"/>
    <w:rsid w:val="007C5593"/>
    <w:tblPr>
      <w:tblStyleRowBandSize w:val="1"/>
      <w:tblStyleColBandSize w:val="1"/>
      <w:tblCellMar>
        <w:left w:w="115" w:type="dxa"/>
        <w:right w:w="115" w:type="dxa"/>
      </w:tblCellMar>
    </w:tblPr>
  </w:style>
  <w:style w:type="table" w:customStyle="1" w:styleId="a6">
    <w:basedOn w:val="TableNormal"/>
    <w:rsid w:val="007C5593"/>
    <w:tblPr>
      <w:tblStyleRowBandSize w:val="1"/>
      <w:tblStyleColBandSize w:val="1"/>
      <w:tblCellMar>
        <w:left w:w="115" w:type="dxa"/>
        <w:right w:w="115" w:type="dxa"/>
      </w:tblCellMar>
    </w:tblPr>
  </w:style>
  <w:style w:type="table" w:customStyle="1" w:styleId="a7">
    <w:basedOn w:val="TableNormal"/>
    <w:rsid w:val="007C5593"/>
    <w:tblPr>
      <w:tblStyleRowBandSize w:val="1"/>
      <w:tblStyleColBandSize w:val="1"/>
      <w:tblCellMar>
        <w:left w:w="115" w:type="dxa"/>
        <w:right w:w="115" w:type="dxa"/>
      </w:tblCellMar>
    </w:tblPr>
  </w:style>
  <w:style w:type="table" w:customStyle="1" w:styleId="a8">
    <w:basedOn w:val="TableNormal"/>
    <w:rsid w:val="007C5593"/>
    <w:tblPr>
      <w:tblStyleRowBandSize w:val="1"/>
      <w:tblStyleColBandSize w:val="1"/>
      <w:tblCellMar>
        <w:left w:w="115" w:type="dxa"/>
        <w:right w:w="115" w:type="dxa"/>
      </w:tblCellMar>
    </w:tblPr>
  </w:style>
  <w:style w:type="table" w:customStyle="1" w:styleId="a9">
    <w:basedOn w:val="TableNormal"/>
    <w:rsid w:val="007C5593"/>
    <w:tblPr>
      <w:tblStyleRowBandSize w:val="1"/>
      <w:tblStyleColBandSize w:val="1"/>
      <w:tblCellMar>
        <w:left w:w="115" w:type="dxa"/>
        <w:right w:w="115" w:type="dxa"/>
      </w:tblCellMar>
    </w:tblPr>
  </w:style>
  <w:style w:type="table" w:customStyle="1" w:styleId="aa">
    <w:basedOn w:val="TableNormal"/>
    <w:rsid w:val="007C5593"/>
    <w:tblPr>
      <w:tblStyleRowBandSize w:val="1"/>
      <w:tblStyleColBandSize w:val="1"/>
      <w:tblCellMar>
        <w:left w:w="115" w:type="dxa"/>
        <w:right w:w="115" w:type="dxa"/>
      </w:tblCellMar>
    </w:tblPr>
  </w:style>
  <w:style w:type="table" w:customStyle="1" w:styleId="ab">
    <w:basedOn w:val="TableNormal"/>
    <w:rsid w:val="007C5593"/>
    <w:tblPr>
      <w:tblStyleRowBandSize w:val="1"/>
      <w:tblStyleColBandSize w:val="1"/>
      <w:tblCellMar>
        <w:left w:w="115" w:type="dxa"/>
        <w:right w:w="115" w:type="dxa"/>
      </w:tblCellMar>
    </w:tblPr>
  </w:style>
  <w:style w:type="table" w:customStyle="1" w:styleId="ac">
    <w:basedOn w:val="TableNormal"/>
    <w:rsid w:val="007C5593"/>
    <w:tblPr>
      <w:tblStyleRowBandSize w:val="1"/>
      <w:tblStyleColBandSize w:val="1"/>
      <w:tblCellMar>
        <w:left w:w="115" w:type="dxa"/>
        <w:right w:w="115" w:type="dxa"/>
      </w:tblCellMar>
    </w:tblPr>
  </w:style>
  <w:style w:type="paragraph" w:styleId="TOC1">
    <w:name w:val="toc 1"/>
    <w:basedOn w:val="Normal"/>
    <w:next w:val="Normal"/>
    <w:autoRedefine/>
    <w:uiPriority w:val="39"/>
    <w:unhideWhenUsed/>
    <w:rsid w:val="00DB5B79"/>
    <w:pPr>
      <w:spacing w:after="100"/>
    </w:pPr>
  </w:style>
  <w:style w:type="paragraph" w:styleId="TOC2">
    <w:name w:val="toc 2"/>
    <w:basedOn w:val="Normal"/>
    <w:next w:val="Normal"/>
    <w:autoRedefine/>
    <w:uiPriority w:val="39"/>
    <w:unhideWhenUsed/>
    <w:rsid w:val="00DB5B79"/>
    <w:pPr>
      <w:spacing w:after="100"/>
      <w:ind w:left="220"/>
    </w:pPr>
  </w:style>
  <w:style w:type="paragraph" w:styleId="TOC3">
    <w:name w:val="toc 3"/>
    <w:basedOn w:val="Normal"/>
    <w:next w:val="Normal"/>
    <w:autoRedefine/>
    <w:uiPriority w:val="39"/>
    <w:unhideWhenUsed/>
    <w:rsid w:val="00DB5B79"/>
    <w:pPr>
      <w:spacing w:after="100"/>
      <w:ind w:left="440"/>
    </w:pPr>
  </w:style>
  <w:style w:type="character" w:styleId="Hyperlink">
    <w:name w:val="Hyperlink"/>
    <w:basedOn w:val="DefaultParagraphFont"/>
    <w:uiPriority w:val="99"/>
    <w:unhideWhenUsed/>
    <w:rsid w:val="00DB5B79"/>
    <w:rPr>
      <w:color w:val="0000FF" w:themeColor="hyperlink"/>
      <w:u w:val="single"/>
    </w:rPr>
  </w:style>
  <w:style w:type="paragraph" w:styleId="Revision">
    <w:name w:val="Revision"/>
    <w:hidden/>
    <w:uiPriority w:val="99"/>
    <w:semiHidden/>
    <w:rsid w:val="004E13F8"/>
    <w:pPr>
      <w:spacing w:line="240" w:lineRule="auto"/>
    </w:pPr>
  </w:style>
  <w:style w:type="character" w:styleId="CommentReference">
    <w:name w:val="annotation reference"/>
    <w:basedOn w:val="DefaultParagraphFont"/>
    <w:uiPriority w:val="99"/>
    <w:semiHidden/>
    <w:unhideWhenUsed/>
    <w:rsid w:val="004E13F8"/>
    <w:rPr>
      <w:sz w:val="16"/>
      <w:szCs w:val="16"/>
    </w:rPr>
  </w:style>
  <w:style w:type="paragraph" w:styleId="CommentText">
    <w:name w:val="annotation text"/>
    <w:basedOn w:val="Normal"/>
    <w:link w:val="CommentTextChar"/>
    <w:uiPriority w:val="99"/>
    <w:unhideWhenUsed/>
    <w:rsid w:val="004E13F8"/>
    <w:pPr>
      <w:spacing w:line="240" w:lineRule="auto"/>
    </w:pPr>
    <w:rPr>
      <w:sz w:val="20"/>
      <w:szCs w:val="20"/>
    </w:rPr>
  </w:style>
  <w:style w:type="character" w:customStyle="1" w:styleId="CommentTextChar">
    <w:name w:val="Comment Text Char"/>
    <w:basedOn w:val="DefaultParagraphFont"/>
    <w:link w:val="CommentText"/>
    <w:uiPriority w:val="99"/>
    <w:rsid w:val="004E13F8"/>
    <w:rPr>
      <w:sz w:val="20"/>
      <w:szCs w:val="20"/>
    </w:rPr>
  </w:style>
  <w:style w:type="paragraph" w:styleId="CommentSubject">
    <w:name w:val="annotation subject"/>
    <w:basedOn w:val="CommentText"/>
    <w:next w:val="CommentText"/>
    <w:link w:val="CommentSubjectChar"/>
    <w:uiPriority w:val="99"/>
    <w:semiHidden/>
    <w:unhideWhenUsed/>
    <w:rsid w:val="004E13F8"/>
    <w:rPr>
      <w:b/>
      <w:bCs/>
    </w:rPr>
  </w:style>
  <w:style w:type="character" w:customStyle="1" w:styleId="CommentSubjectChar">
    <w:name w:val="Comment Subject Char"/>
    <w:basedOn w:val="CommentTextChar"/>
    <w:link w:val="CommentSubject"/>
    <w:uiPriority w:val="99"/>
    <w:semiHidden/>
    <w:rsid w:val="004E13F8"/>
    <w:rPr>
      <w:b/>
      <w:bCs/>
      <w:sz w:val="20"/>
      <w:szCs w:val="20"/>
    </w:rPr>
  </w:style>
  <w:style w:type="table" w:customStyle="1" w:styleId="ad">
    <w:basedOn w:val="TableNormal"/>
    <w:rsid w:val="007C5593"/>
    <w:tblPr>
      <w:tblStyleRowBandSize w:val="1"/>
      <w:tblStyleColBandSize w:val="1"/>
      <w:tblCellMar>
        <w:left w:w="115" w:type="dxa"/>
        <w:right w:w="115" w:type="dxa"/>
      </w:tblCellMar>
    </w:tblPr>
  </w:style>
  <w:style w:type="table" w:customStyle="1" w:styleId="ae">
    <w:basedOn w:val="TableNormal"/>
    <w:rsid w:val="007C5593"/>
    <w:tblPr>
      <w:tblStyleRowBandSize w:val="1"/>
      <w:tblStyleColBandSize w:val="1"/>
      <w:tblCellMar>
        <w:left w:w="115" w:type="dxa"/>
        <w:right w:w="115" w:type="dxa"/>
      </w:tblCellMar>
    </w:tblPr>
  </w:style>
  <w:style w:type="table" w:customStyle="1" w:styleId="af">
    <w:basedOn w:val="TableNormal"/>
    <w:rsid w:val="007C5593"/>
    <w:tblPr>
      <w:tblStyleRowBandSize w:val="1"/>
      <w:tblStyleColBandSize w:val="1"/>
      <w:tblCellMar>
        <w:left w:w="115" w:type="dxa"/>
        <w:right w:w="115" w:type="dxa"/>
      </w:tblCellMar>
    </w:tblPr>
  </w:style>
  <w:style w:type="table" w:customStyle="1" w:styleId="af0">
    <w:basedOn w:val="TableNormal"/>
    <w:rsid w:val="007C5593"/>
    <w:tblPr>
      <w:tblStyleRowBandSize w:val="1"/>
      <w:tblStyleColBandSize w:val="1"/>
      <w:tblCellMar>
        <w:left w:w="115" w:type="dxa"/>
        <w:right w:w="115" w:type="dxa"/>
      </w:tblCellMar>
    </w:tblPr>
  </w:style>
  <w:style w:type="table" w:customStyle="1" w:styleId="af1">
    <w:basedOn w:val="TableNormal"/>
    <w:rsid w:val="007C5593"/>
    <w:tblPr>
      <w:tblStyleRowBandSize w:val="1"/>
      <w:tblStyleColBandSize w:val="1"/>
      <w:tblCellMar>
        <w:left w:w="115" w:type="dxa"/>
        <w:right w:w="115" w:type="dxa"/>
      </w:tblCellMar>
    </w:tblPr>
  </w:style>
  <w:style w:type="table" w:customStyle="1" w:styleId="af2">
    <w:basedOn w:val="TableNormal"/>
    <w:rsid w:val="007C5593"/>
    <w:tblPr>
      <w:tblStyleRowBandSize w:val="1"/>
      <w:tblStyleColBandSize w:val="1"/>
      <w:tblCellMar>
        <w:left w:w="115" w:type="dxa"/>
        <w:right w:w="115" w:type="dxa"/>
      </w:tblCellMar>
    </w:tblPr>
  </w:style>
  <w:style w:type="table" w:customStyle="1" w:styleId="af3">
    <w:basedOn w:val="TableNormal"/>
    <w:rsid w:val="007C5593"/>
    <w:tblPr>
      <w:tblStyleRowBandSize w:val="1"/>
      <w:tblStyleColBandSize w:val="1"/>
      <w:tblCellMar>
        <w:left w:w="115" w:type="dxa"/>
        <w:right w:w="115" w:type="dxa"/>
      </w:tblCellMar>
    </w:tblPr>
  </w:style>
  <w:style w:type="table" w:customStyle="1" w:styleId="af4">
    <w:basedOn w:val="TableNormal"/>
    <w:rsid w:val="007C5593"/>
    <w:tblPr>
      <w:tblStyleRowBandSize w:val="1"/>
      <w:tblStyleColBandSize w:val="1"/>
      <w:tblCellMar>
        <w:left w:w="115" w:type="dxa"/>
        <w:right w:w="115" w:type="dxa"/>
      </w:tblCellMar>
    </w:tblPr>
  </w:style>
  <w:style w:type="table" w:customStyle="1" w:styleId="af5">
    <w:basedOn w:val="TableNormal"/>
    <w:rsid w:val="007C5593"/>
    <w:tblPr>
      <w:tblStyleRowBandSize w:val="1"/>
      <w:tblStyleColBandSize w:val="1"/>
      <w:tblCellMar>
        <w:left w:w="115" w:type="dxa"/>
        <w:right w:w="115" w:type="dxa"/>
      </w:tblCellMar>
    </w:tblPr>
  </w:style>
  <w:style w:type="table" w:customStyle="1" w:styleId="af6">
    <w:basedOn w:val="TableNormal"/>
    <w:rsid w:val="007C5593"/>
    <w:tblPr>
      <w:tblStyleRowBandSize w:val="1"/>
      <w:tblStyleColBandSize w:val="1"/>
      <w:tblCellMar>
        <w:left w:w="115" w:type="dxa"/>
        <w:right w:w="115" w:type="dxa"/>
      </w:tblCellMar>
    </w:tblPr>
  </w:style>
  <w:style w:type="table" w:customStyle="1" w:styleId="af7">
    <w:basedOn w:val="TableNormal"/>
    <w:rsid w:val="007C5593"/>
    <w:tblPr>
      <w:tblStyleRowBandSize w:val="1"/>
      <w:tblStyleColBandSize w:val="1"/>
      <w:tblCellMar>
        <w:left w:w="115" w:type="dxa"/>
        <w:right w:w="115" w:type="dxa"/>
      </w:tblCellMar>
    </w:tblPr>
  </w:style>
  <w:style w:type="table" w:customStyle="1" w:styleId="af8">
    <w:basedOn w:val="TableNormal"/>
    <w:rsid w:val="007C5593"/>
    <w:tblPr>
      <w:tblStyleRowBandSize w:val="1"/>
      <w:tblStyleColBandSize w:val="1"/>
      <w:tblCellMar>
        <w:left w:w="115" w:type="dxa"/>
        <w:right w:w="115" w:type="dxa"/>
      </w:tblCellMar>
    </w:tblPr>
  </w:style>
  <w:style w:type="table" w:customStyle="1" w:styleId="af9">
    <w:basedOn w:val="TableNormal"/>
    <w:rsid w:val="007C5593"/>
    <w:tblPr>
      <w:tblStyleRowBandSize w:val="1"/>
      <w:tblStyleColBandSize w:val="1"/>
      <w:tblCellMar>
        <w:left w:w="115" w:type="dxa"/>
        <w:right w:w="115" w:type="dxa"/>
      </w:tblCellMar>
    </w:tblPr>
  </w:style>
  <w:style w:type="table" w:customStyle="1" w:styleId="afa">
    <w:basedOn w:val="TableNormal"/>
    <w:rsid w:val="007C5593"/>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795E7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5E7A"/>
    <w:rPr>
      <w:rFonts w:ascii="Tahoma" w:hAnsi="Tahoma" w:cs="Tahoma"/>
      <w:sz w:val="16"/>
      <w:szCs w:val="16"/>
    </w:rPr>
  </w:style>
  <w:style w:type="paragraph" w:styleId="TOC4">
    <w:name w:val="toc 4"/>
    <w:basedOn w:val="Normal"/>
    <w:next w:val="Normal"/>
    <w:autoRedefine/>
    <w:uiPriority w:val="39"/>
    <w:unhideWhenUsed/>
    <w:rsid w:val="005D77AD"/>
    <w:pPr>
      <w:spacing w:after="100"/>
      <w:ind w:left="660"/>
    </w:pPr>
  </w:style>
  <w:style w:type="paragraph" w:styleId="TOC6">
    <w:name w:val="toc 6"/>
    <w:basedOn w:val="Normal"/>
    <w:next w:val="Normal"/>
    <w:autoRedefine/>
    <w:uiPriority w:val="39"/>
    <w:unhideWhenUsed/>
    <w:rsid w:val="005D77AD"/>
    <w:pPr>
      <w:spacing w:after="100"/>
      <w:ind w:left="1100"/>
    </w:pPr>
  </w:style>
  <w:style w:type="paragraph" w:styleId="TOC5">
    <w:name w:val="toc 5"/>
    <w:basedOn w:val="Normal"/>
    <w:next w:val="Normal"/>
    <w:autoRedefine/>
    <w:uiPriority w:val="39"/>
    <w:unhideWhenUsed/>
    <w:rsid w:val="005D77AD"/>
    <w:pPr>
      <w:spacing w:after="100"/>
      <w:ind w:left="880"/>
    </w:pPr>
  </w:style>
  <w:style w:type="paragraph" w:styleId="TOC7">
    <w:name w:val="toc 7"/>
    <w:basedOn w:val="Normal"/>
    <w:next w:val="Normal"/>
    <w:autoRedefine/>
    <w:uiPriority w:val="39"/>
    <w:unhideWhenUsed/>
    <w:rsid w:val="005D77AD"/>
    <w:pPr>
      <w:spacing w:after="100"/>
      <w:ind w:left="1320"/>
    </w:pPr>
    <w:rPr>
      <w:rFonts w:asciiTheme="minorHAnsi" w:eastAsiaTheme="minorEastAsia" w:hAnsiTheme="minorHAnsi" w:cstheme="minorBidi"/>
      <w:lang w:val="en-US"/>
    </w:rPr>
  </w:style>
  <w:style w:type="paragraph" w:styleId="TOC8">
    <w:name w:val="toc 8"/>
    <w:basedOn w:val="Normal"/>
    <w:next w:val="Normal"/>
    <w:autoRedefine/>
    <w:uiPriority w:val="39"/>
    <w:unhideWhenUsed/>
    <w:rsid w:val="005D77AD"/>
    <w:pPr>
      <w:spacing w:after="100"/>
      <w:ind w:left="1540"/>
    </w:pPr>
    <w:rPr>
      <w:rFonts w:asciiTheme="minorHAnsi" w:eastAsiaTheme="minorEastAsia" w:hAnsiTheme="minorHAnsi" w:cstheme="minorBidi"/>
      <w:lang w:val="en-US"/>
    </w:rPr>
  </w:style>
  <w:style w:type="paragraph" w:styleId="TOC9">
    <w:name w:val="toc 9"/>
    <w:basedOn w:val="Normal"/>
    <w:next w:val="Normal"/>
    <w:autoRedefine/>
    <w:uiPriority w:val="39"/>
    <w:unhideWhenUsed/>
    <w:rsid w:val="005D77AD"/>
    <w:pPr>
      <w:spacing w:after="100"/>
      <w:ind w:left="1760"/>
    </w:pPr>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hyperlink" Target="https://journals.sagepub.com/doi/pdf/10.1177/10780874221091594" TargetMode="External"/><Relationship Id="rId63" Type="http://schemas.openxmlformats.org/officeDocument/2006/relationships/hyperlink" Target="https://www.iea.org/policies/4182-renewables-obligation-ro" TargetMode="External"/><Relationship Id="rId68" Type="http://schemas.openxmlformats.org/officeDocument/2006/relationships/hyperlink" Target="https://journals.sagepub.com/doi/pdf/10.1177/2059799120937242" TargetMode="External"/><Relationship Id="rId84" Type="http://schemas.openxmlformats.org/officeDocument/2006/relationships/hyperlink" Target="https://www.taylorfrancis.com/chapters/edit/10.1201/9781003088226-1/introduction-research-methodology-vikas-anand-saharan-hitesh-kulhari-hemant-jadhav-deep-pooja-surojit-banerjee-anupama-singh" TargetMode="External"/><Relationship Id="rId89" Type="http://schemas.openxmlformats.org/officeDocument/2006/relationships/hyperlink" Target="https://www.statista.com/statistics/223328/uk-wind-power-generation/"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hyperlink" Target="https://www.gov.uk/government/publications/policy-statement-on-onshore-wind/policy-statement-on-onshore-wind" TargetMode="External"/><Relationship Id="rId58" Type="http://schemas.openxmlformats.org/officeDocument/2006/relationships/hyperlink" Target="https://onlinelibrary.wiley.com/doi/pdfdirect/10.1002/eet.1963" TargetMode="External"/><Relationship Id="rId74" Type="http://schemas.openxmlformats.org/officeDocument/2006/relationships/hyperlink" Target="https://www.ceeol.com/search/article-detail?id=939590" TargetMode="External"/><Relationship Id="rId79" Type="http://schemas.openxmlformats.org/officeDocument/2006/relationships/hyperlink" Target="https://www.researchgate.net/profile/Rahmon-Saka/publication/370960798_Exploratory_Research_Design_in_Management_Science_A_Review_of_Literature_on_Conduct_and_Application/links/663bc00708aa54017aee05c9/Exploratory-Research-Design-in-Management-Science-A-Review-of-Literature-on-Conduct-and-Application.pdf" TargetMode="External"/><Relationship Id="rId5" Type="http://schemas.openxmlformats.org/officeDocument/2006/relationships/webSettings" Target="webSettings.xml"/><Relationship Id="rId90" Type="http://schemas.openxmlformats.org/officeDocument/2006/relationships/hyperlink" Target="https://hal.science/hal-03741840/file/What%20Are%20Different%20Research%20Approaches%20Comprehensive%20Review%20of%20Qualitative%2C%20Quantitative%2C%20and%20Mixed%20Method%20Research%2C%20Their%20Applications%2C%20Types%2C%20and%20Limitations.pdf" TargetMode="External"/><Relationship Id="rId95" Type="http://schemas.openxmlformats.org/officeDocument/2006/relationships/hyperlink" Target="https://www.wto.org/english/tratop_e/serv_e/symp_mar02_uk_treasury_priv_guide_e.pdf"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www.sciencedirect.com/science/article/pii/S0959652620331802" TargetMode="External"/><Relationship Id="rId48" Type="http://schemas.openxmlformats.org/officeDocument/2006/relationships/hyperlink" Target="https://link.springer.com/content/pdf/10.1007/s11135-020-01072-9.pdf" TargetMode="External"/><Relationship Id="rId64" Type="http://schemas.openxmlformats.org/officeDocument/2006/relationships/hyperlink" Target="https://www.gwec.net/wp-content/uploads/2012/06/IRENA_GWEC_WindReport_Full.pdf" TargetMode="External"/><Relationship Id="rId69" Type="http://schemas.openxmlformats.org/officeDocument/2006/relationships/hyperlink" Target="https://books.google.com/books?hl=en&amp;lr=&amp;id=obG1EAAAQBAJ&amp;oi=fnd&amp;pg=PA9&amp;dq=research+methodology+&amp;ots=-h-8-qlHIN&amp;sig=90u18x-ltTno2-5sxHnLm1liJs8" TargetMode="External"/><Relationship Id="rId80" Type="http://schemas.openxmlformats.org/officeDocument/2006/relationships/hyperlink" Target="https://www.sciencedirect.com/science/article/pii/S0169204621001626/pdfft?md5=e810df3f06ba1f6eaa5fdff8c5e5f6a4&amp;pid=1-s2.0-S0169204621001626-main.pdf" TargetMode="External"/><Relationship Id="rId85" Type="http://schemas.openxmlformats.org/officeDocument/2006/relationships/hyperlink" Target="https://doi.org/10.3390/su12072764"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iopscience.iop.org/article/10.1088/1757-899X/1055/1/012055/pdf" TargetMode="External"/><Relationship Id="rId59" Type="http://schemas.openxmlformats.org/officeDocument/2006/relationships/hyperlink" Target="https://pubs.acs.org/doi/abs/10.1021/bk-2022-1409.ch007" TargetMode="External"/><Relationship Id="rId67" Type="http://schemas.openxmlformats.org/officeDocument/2006/relationships/hyperlink" Target="https://www.researchgate.net/profile/Indunil-Karunarathna/publication/383155720_The_Crucial_Role_of_Data_Collection_in_Research_Techniques_Challenges_and_Best_Practices/links/66bef1c6311cbb09493d6200/The-Crucial-Role-of-Data-Collection-in-Research-Techniques-Challenges-and-Best-Practices.pdf"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www.great.gov.uk/international/content/investment/sectors/offshore-wind/" TargetMode="External"/><Relationship Id="rId62" Type="http://schemas.openxmlformats.org/officeDocument/2006/relationships/hyperlink" Target="https://www.iea.org/policies/5731-contract-for-difference-cfd" TargetMode="External"/><Relationship Id="rId70" Type="http://schemas.openxmlformats.org/officeDocument/2006/relationships/hyperlink" Target="https://www.legislation.gov.uk/ukpga/1982/23/contents" TargetMode="External"/><Relationship Id="rId75" Type="http://schemas.openxmlformats.org/officeDocument/2006/relationships/hyperlink" Target="https://journals.sagepub.com/doi/abs/10.1177/16094069221145849" TargetMode="External"/><Relationship Id="rId83" Type="http://schemas.openxmlformats.org/officeDocument/2006/relationships/hyperlink" Target="https://journals.sagepub.com/doi/pdf/10.1177/2378023121993991" TargetMode="External"/><Relationship Id="rId88" Type="http://schemas.openxmlformats.org/officeDocument/2006/relationships/hyperlink" Target="https://www.statista.com/outlook/io/energy/renewable-energy/wind-energy/united-kingdom" TargetMode="External"/><Relationship Id="rId91" Type="http://schemas.openxmlformats.org/officeDocument/2006/relationships/hyperlink" Target="https://www.gov.uk/government/publications/offshore-wind-net-zero-investment-roadmap/offshore-wind-net-zero-investment-roadmap" TargetMode="External"/><Relationship Id="rId96" Type="http://schemas.openxmlformats.org/officeDocument/2006/relationships/hyperlink" Target="http://www.ajird.journalspark.org/index.php/ajird/article/view/5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garymarks.web.unc.edu/wp-content/uploads/sites/13018/2020/11/charbit_2020_from-de-jure-to-de-facto-decentralised-policies_a-multilevel-governance-perspective-final.pdf" TargetMode="External"/><Relationship Id="rId57" Type="http://schemas.openxmlformats.org/officeDocument/2006/relationships/hyperlink" Target="http://ecsdev.org/ojs/index.php/ejsd/article/download/1230/1210"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gajrc.com/media/articles/GAJHSS_23_39-43_VMGJbOK.pdf" TargetMode="External"/><Relationship Id="rId52" Type="http://schemas.openxmlformats.org/officeDocument/2006/relationships/hyperlink" Target="https://www.ncbi.nlm.nih.gov/pmc/articles/PMC9258244/" TargetMode="External"/><Relationship Id="rId60" Type="http://schemas.openxmlformats.org/officeDocument/2006/relationships/hyperlink" Target="https://www.google.com/url?sa=t&amp;source=web&amp;rct=j&amp;opi=89978449&amp;url=https://assets.publishing.service.gov.uk/media/64c615a47aea5b00126a8e73/renewables-obligation-fixed-price-certificates-cfe.pdf&amp;ved=2ahUKEwjH7POZ6o-KAxUgUGwGHZHjNDMQFnoECDQQAQ&amp;usg=AOvVaw3FjmD3AnvfZx6QNeL7xffh" TargetMode="External"/><Relationship Id="rId65" Type="http://schemas.openxmlformats.org/officeDocument/2006/relationships/hyperlink" Target="https://www.sciencedirect.com/science/article/pii/S0002945923016066" TargetMode="External"/><Relationship Id="rId73" Type="http://schemas.openxmlformats.org/officeDocument/2006/relationships/hyperlink" Target="https://www.energylivenews.com/2024/10/14/uk-energy-bills-rise-by-100m-due-to-wind-farm-shutdowns/" TargetMode="External"/><Relationship Id="rId78" Type="http://schemas.openxmlformats.org/officeDocument/2006/relationships/hyperlink" Target="https://www.neso.energy/energy-101/great-britains-monthly-energy-stats" TargetMode="External"/><Relationship Id="rId81" Type="http://schemas.openxmlformats.org/officeDocument/2006/relationships/hyperlink" Target="http://dspace.vnbrims.org:13000/jspui/bitstream/123456789/4666/1/RESEARCH%20METHODOLOGY%20TOOLS%20AND%20TECHNIQUES.pdf" TargetMode="External"/><Relationship Id="rId86" Type="http://schemas.openxmlformats.org/officeDocument/2006/relationships/hyperlink" Target="https://lordslibrary.parliament.uk/offshore-wind-energy/" TargetMode="External"/><Relationship Id="rId94" Type="http://schemas.openxmlformats.org/officeDocument/2006/relationships/hyperlink" Target="https://www.ebrd.com/downloads/research/news/lit112h.pdf" TargetMode="External"/><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hyperlink" Target="https://assets.publishing.service.gov.uk/media/5ebd57b0e90e071e33ce887d/cfd-ar4-proposed-amendments-consultation.pdf" TargetMode="External"/><Relationship Id="rId55" Type="http://schemas.openxmlformats.org/officeDocument/2006/relationships/hyperlink" Target="https://www.gov.uk/government/collections/contracts-for-difference" TargetMode="External"/><Relationship Id="rId76" Type="http://schemas.openxmlformats.org/officeDocument/2006/relationships/hyperlink" Target="https://www.nationalgrid.com/stories/energy-explained/history-wind-energy" TargetMode="External"/><Relationship Id="rId9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lse.ac.uk/granthaminstitute/explainers/how-important-is-onshore-wind-power-to-the-uk/" TargetMode="External"/><Relationship Id="rId92" Type="http://schemas.openxmlformats.org/officeDocument/2006/relationships/hyperlink" Target="https://www.greenmatch.co.uk/green-energy/wind"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hyperlink" Target="https://onlinelibrary.wiley.com/doi/pdf/10.1155/2021/4270998" TargetMode="External"/><Relationship Id="rId66" Type="http://schemas.openxmlformats.org/officeDocument/2006/relationships/hyperlink" Target="https://synapse.koreamed.org/articles/1149215" TargetMode="External"/><Relationship Id="rId87" Type="http://schemas.openxmlformats.org/officeDocument/2006/relationships/hyperlink" Target="https://journals.lww.com/cns-journal/fulltext/2020/01000/understanding_descriptive_research_designs_and.4.aspx" TargetMode="External"/><Relationship Id="rId61" Type="http://schemas.openxmlformats.org/officeDocument/2006/relationships/hyperlink" Target="https://www.nrdc.org/stories/wind-energy" TargetMode="External"/><Relationship Id="rId82" Type="http://schemas.openxmlformats.org/officeDocument/2006/relationships/hyperlink" Target="https://www.sciencedirect.com/science/article/pii/S1364032121004743"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hyperlink" Target="https://www.greeneconomy.co.uk/news-and-resources/news/falling-short-challenges-and-solutions-for-the-uk-s-struggling-wind-energy-sector/" TargetMode="External"/><Relationship Id="rId77" Type="http://schemas.openxmlformats.org/officeDocument/2006/relationships/hyperlink" Target="https://www.neso.energy/energy-101/great-britains-monthly-energy-stats" TargetMode="External"/><Relationship Id="rId8" Type="http://schemas.openxmlformats.org/officeDocument/2006/relationships/image" Target="media/image1.png"/><Relationship Id="rId51" Type="http://schemas.openxmlformats.org/officeDocument/2006/relationships/hyperlink" Target="https://journals.sagepub.com/doi/abs/10.1177/1744987119880234" TargetMode="External"/><Relationship Id="rId72" Type="http://schemas.openxmlformats.org/officeDocument/2006/relationships/hyperlink" Target="https://www.research-collection.ethz.ch/bitstream/handle/20.500.11850/291404/2/TISDynamicsFinal.pdf" TargetMode="External"/><Relationship Id="rId93" Type="http://schemas.openxmlformats.org/officeDocument/2006/relationships/hyperlink" Target="https://jprm.scholasticahq.com/article/13244-participatory-research-" TargetMode="External"/><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5iuSZvvbpl1lgsdIBDSKSgYfptA==">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112</Pages>
  <Words>21911</Words>
  <Characters>124895</Characters>
  <Application>Microsoft Office Word</Application>
  <DocSecurity>0</DocSecurity>
  <Lines>1040</Lines>
  <Paragraphs>293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MALIK S. (2148100)</cp:lastModifiedBy>
  <cp:revision>2</cp:revision>
  <dcterms:created xsi:type="dcterms:W3CDTF">2024-12-05T23:38:00Z</dcterms:created>
  <dcterms:modified xsi:type="dcterms:W3CDTF">2024-12-05T23:38:00Z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3c585fb6bcb00528fa5f7b0b05726f2aedd4880440642ab564fbdce972c22af0</vt:lpwstr>
  </property>
</Properties>
</file>