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B53A3E" w14:textId="77777777" w:rsidR="00EB65AA" w:rsidRDefault="00EB65AA" w:rsidP="00EB65AA">
      <w:pPr>
        <w:spacing w:line="360" w:lineRule="auto"/>
        <w:jc w:val="both"/>
        <w:rPr>
          <w:rFonts w:ascii="Arial" w:hAnsi="Arial" w:cs="Arial"/>
        </w:rPr>
      </w:pPr>
      <w:r>
        <w:rPr>
          <w:rFonts w:ascii="Arial" w:hAnsi="Arial" w:cs="Arial"/>
        </w:rPr>
        <w:t>In general, someone over the age of 65 may be labelled as an old person. It is difficult to apply a strict definition as someone aged over 75 may be fitter and healthier than someone aged 60.  We are in an aging population where more than one of five of us are already over 60 and this is due to increase from 14.9 million in 2014 to 18.5 million in 2025 (NHS UK n.d)</w:t>
      </w:r>
    </w:p>
    <w:p w14:paraId="57883098" w14:textId="77777777" w:rsidR="00EB65AA" w:rsidRDefault="00EB65AA" w:rsidP="00EB65AA">
      <w:pPr>
        <w:spacing w:line="360" w:lineRule="auto"/>
        <w:jc w:val="both"/>
        <w:rPr>
          <w:rFonts w:ascii="Arial" w:hAnsi="Arial" w:cs="Arial"/>
        </w:rPr>
      </w:pPr>
      <w:r>
        <w:rPr>
          <w:rFonts w:ascii="Arial" w:hAnsi="Arial" w:cs="Arial"/>
        </w:rPr>
        <w:t xml:space="preserve">Over the last hundred years we have seen an ageing of the population which has radically changed the system of society, but it was only until the 1980’s that little had been written about the social impact of aging or the experience of change in older people in Britain. From the mid sixteenth century to the late nineteenth century less than 10% of the population was aged 60 or over in England (Laslett and Richard 1996). In modern times there has been success in more people living longer lives, there are fewer death rates and more prosperity for the older generation. Many older men and women are able to add a new stage in their life whether it be life after work or post retirement due to the social security systems we have in place. Longer morbidity means men and women go on working for longer and contributing to the economy. The population over pension age is increasing as well as the labour force so there is no reason for a demographic aging crisis for years to come (Wilson 2000). </w:t>
      </w:r>
    </w:p>
    <w:p w14:paraId="1EBD096B" w14:textId="77777777" w:rsidR="00EB65AA" w:rsidRDefault="00EB65AA" w:rsidP="00EB65AA">
      <w:pPr>
        <w:spacing w:line="360" w:lineRule="auto"/>
        <w:jc w:val="both"/>
        <w:rPr>
          <w:rFonts w:ascii="Arial" w:hAnsi="Arial" w:cs="Arial"/>
        </w:rPr>
      </w:pPr>
      <w:r>
        <w:rPr>
          <w:rFonts w:ascii="Arial" w:hAnsi="Arial" w:cs="Arial"/>
        </w:rPr>
        <w:t xml:space="preserve">The Office for National Statistics (2018) has commented on the fact that over the past 140 years the UK population as doubled thus reaching a new high of 66 million people in 2017. It has been forecasted that there will be around 73 million people in the UK by 2041 due to more births than deaths and more people settling into the UK rather than leaving. As well as the population growing in the UK, it is projected that more than a quarter of UK residents will be aged 65 or over within the next 50 years.  </w:t>
      </w:r>
    </w:p>
    <w:p w14:paraId="551F0B50" w14:textId="77777777" w:rsidR="00EB65AA" w:rsidRPr="00DE2F87" w:rsidRDefault="00EB65AA" w:rsidP="00EB65AA">
      <w:pPr>
        <w:spacing w:line="360" w:lineRule="auto"/>
        <w:jc w:val="both"/>
        <w:rPr>
          <w:rFonts w:ascii="Arial" w:hAnsi="Arial" w:cs="Arial"/>
        </w:rPr>
      </w:pPr>
      <w:r w:rsidRPr="008154DC">
        <w:rPr>
          <w:rFonts w:ascii="Arial" w:hAnsi="Arial" w:cs="Arial"/>
          <w:shd w:val="clear" w:color="auto" w:fill="FFFFFF"/>
        </w:rPr>
        <w:t>Charlesworth</w:t>
      </w:r>
      <w:r>
        <w:rPr>
          <w:rFonts w:ascii="Arial" w:hAnsi="Arial" w:cs="Arial"/>
          <w:shd w:val="clear" w:color="auto" w:fill="FFFFFF"/>
        </w:rPr>
        <w:t xml:space="preserve"> </w:t>
      </w:r>
      <w:r w:rsidRPr="008154DC">
        <w:rPr>
          <w:rFonts w:ascii="Arial" w:hAnsi="Arial" w:cs="Arial"/>
          <w:shd w:val="clear" w:color="auto" w:fill="FFFFFF"/>
        </w:rPr>
        <w:t>&amp; Johnson</w:t>
      </w:r>
      <w:r>
        <w:rPr>
          <w:rFonts w:ascii="Arial" w:hAnsi="Arial" w:cs="Arial"/>
          <w:shd w:val="clear" w:color="auto" w:fill="FFFFFF"/>
        </w:rPr>
        <w:t xml:space="preserve"> </w:t>
      </w:r>
      <w:r w:rsidRPr="008154DC">
        <w:rPr>
          <w:rFonts w:ascii="Arial" w:hAnsi="Arial" w:cs="Arial"/>
          <w:shd w:val="clear" w:color="auto" w:fill="FFFFFF"/>
        </w:rPr>
        <w:t>(2018)</w:t>
      </w:r>
      <w:r>
        <w:rPr>
          <w:rFonts w:ascii="Arial" w:hAnsi="Arial" w:cs="Arial"/>
          <w:shd w:val="clear" w:color="auto" w:fill="FFFFFF"/>
        </w:rPr>
        <w:t xml:space="preserve"> have stated that t</w:t>
      </w:r>
      <w:r>
        <w:rPr>
          <w:rFonts w:ascii="Arial" w:hAnsi="Arial" w:cs="Arial"/>
        </w:rPr>
        <w:t xml:space="preserve">he NHS is over 70 years old and has been through reforms, crisis, and ups and downs in funding. The NHS spending has risen dramatically over the years, health and social care systems struggle to cope with the growing demand. The population is getting bigger and older and the cost to maintain the health care of the elderly is becoming unbearable. Social care funding will need to be increased to meet the demand of an ageing population and the increasing number of younger adults with disabilities. England’s social care system acknowledged problems such as limited eligibility, low quality, and the unfairness of the current uncapped means test did bring about reform, but funding needs to be increased at a faster rate. </w:t>
      </w:r>
    </w:p>
    <w:p w14:paraId="2301D3CE" w14:textId="77777777" w:rsidR="00EB65AA" w:rsidRPr="00357A86" w:rsidRDefault="00EB65AA" w:rsidP="00EB65AA">
      <w:pPr>
        <w:spacing w:line="360" w:lineRule="auto"/>
        <w:jc w:val="both"/>
        <w:rPr>
          <w:rFonts w:ascii="Arial" w:hAnsi="Arial" w:cs="Arial"/>
          <w:b/>
          <w:bCs/>
          <w:u w:val="single"/>
        </w:rPr>
      </w:pPr>
      <w:r>
        <w:rPr>
          <w:rFonts w:ascii="Arial" w:hAnsi="Arial" w:cs="Arial"/>
        </w:rPr>
        <w:t xml:space="preserve">Ingham et al (2009) have stated that there are implications of an increasing old age nation as they are supposedly a burden on the working population. It is assumed the rest of the economical active working population will have to provide for the health, education, pension, and social security benefits for those who are not in employment. Concern was expressed by over half of the governments representing the United Nations’ Department of Economic and </w:t>
      </w:r>
      <w:r>
        <w:rPr>
          <w:rFonts w:ascii="Arial" w:hAnsi="Arial" w:cs="Arial"/>
        </w:rPr>
        <w:lastRenderedPageBreak/>
        <w:t xml:space="preserve">Social Affairs about the ageing of their populations. It was noted that six major regions will see a vast increase in their old age dependency ratio by 2050. Europe has the world’s highest old age dependency ratio and is expected to grow from 22 per 100 persons of the working population to 51 per 100 by the year 2050. Other countries such as Africa have projected that their old age dependency will increase from 6 per 100 to 11 per 100 of persons of the working population. </w:t>
      </w:r>
    </w:p>
    <w:p w14:paraId="18275437" w14:textId="77777777" w:rsidR="00EB65AA" w:rsidRDefault="00EB65AA" w:rsidP="00EB65AA">
      <w:pPr>
        <w:spacing w:line="360" w:lineRule="auto"/>
        <w:jc w:val="both"/>
        <w:rPr>
          <w:rFonts w:ascii="Arial" w:hAnsi="Arial" w:cs="Arial"/>
        </w:rPr>
      </w:pPr>
      <w:r>
        <w:rPr>
          <w:rFonts w:ascii="Arial" w:hAnsi="Arial" w:cs="Arial"/>
        </w:rPr>
        <w:t xml:space="preserve">The World Health Organisation (2021) has noted that negative attitudes towards ageing and old people have huge significant consequences on their physical and mental health. Older people are at risk of depression and social isolations as they feel they are a burden and feel that their lives are less valuable than others. Recent research found that old people with negative views on their own aging do not recover as well from disability and live an average of 7.5 years less than those with positive attitudes. Liu et al (2013) has stated that older people are more prone to have chronic diseases and disabilities and will have contact with health services. The quality of care that will be provided for an individual will be affected by the attitude of the healthcare professionals. </w:t>
      </w:r>
    </w:p>
    <w:p w14:paraId="37D6754F" w14:textId="77777777" w:rsidR="00EB65AA" w:rsidRDefault="00EB65AA" w:rsidP="00EB65AA">
      <w:pPr>
        <w:spacing w:line="360" w:lineRule="auto"/>
        <w:jc w:val="both"/>
        <w:rPr>
          <w:rFonts w:ascii="Arial" w:hAnsi="Arial" w:cs="Arial"/>
        </w:rPr>
      </w:pPr>
      <w:r w:rsidRPr="002B3FB9">
        <w:rPr>
          <w:rFonts w:ascii="Arial" w:hAnsi="Arial" w:cs="Arial"/>
          <w:shd w:val="clear" w:color="auto" w:fill="FFFFFF"/>
        </w:rPr>
        <w:t>Mabry</w:t>
      </w:r>
      <w:r>
        <w:rPr>
          <w:rFonts w:ascii="Arial" w:hAnsi="Arial" w:cs="Arial"/>
          <w:shd w:val="clear" w:color="auto" w:fill="FFFFFF"/>
        </w:rPr>
        <w:t xml:space="preserve"> </w:t>
      </w:r>
      <w:r w:rsidRPr="002B3FB9">
        <w:rPr>
          <w:rFonts w:ascii="Arial" w:hAnsi="Arial" w:cs="Arial"/>
          <w:shd w:val="clear" w:color="auto" w:fill="FFFFFF"/>
        </w:rPr>
        <w:t>&amp; Bengtson (2005)</w:t>
      </w:r>
      <w:r>
        <w:rPr>
          <w:rFonts w:ascii="Arial" w:hAnsi="Arial" w:cs="Arial"/>
          <w:shd w:val="clear" w:color="auto" w:fill="FFFFFF"/>
        </w:rPr>
        <w:t xml:space="preserve"> state that </w:t>
      </w:r>
      <w:r>
        <w:rPr>
          <w:rFonts w:ascii="Arial" w:hAnsi="Arial" w:cs="Arial"/>
        </w:rPr>
        <w:t xml:space="preserve">the disengagement theory supports the elderly in disengaging from society as retirement plans, pensions, and old age economic support policies offer rewards. The theory also states that old people should disengage from their social roles before they are unable to meet the challenges faced in such roles due to their decline in ability. </w:t>
      </w:r>
      <w:r w:rsidRPr="00852DF6">
        <w:rPr>
          <w:rFonts w:ascii="Arial" w:hAnsi="Arial" w:cs="Arial"/>
          <w:shd w:val="clear" w:color="auto" w:fill="FFFFFF"/>
        </w:rPr>
        <w:t>Segel-Karpas</w:t>
      </w:r>
      <w:r>
        <w:rPr>
          <w:rFonts w:ascii="Arial" w:hAnsi="Arial" w:cs="Arial"/>
          <w:shd w:val="clear" w:color="auto" w:fill="FFFFFF"/>
        </w:rPr>
        <w:t xml:space="preserve"> </w:t>
      </w:r>
      <w:r w:rsidRPr="004105A7">
        <w:rPr>
          <w:rFonts w:ascii="Arial" w:hAnsi="Arial" w:cs="Arial"/>
          <w:i/>
          <w:iCs/>
          <w:shd w:val="clear" w:color="auto" w:fill="FFFFFF"/>
        </w:rPr>
        <w:t>et al</w:t>
      </w:r>
      <w:r>
        <w:rPr>
          <w:rFonts w:ascii="Arial" w:hAnsi="Arial" w:cs="Arial"/>
          <w:shd w:val="clear" w:color="auto" w:fill="FFFFFF"/>
        </w:rPr>
        <w:t xml:space="preserve"> (2018) note that many people will easily manage their transition into retirement, but lonely elder workers are more at risk from not being able to adjust to retirement and experience depressive symptoms following their retirement.</w:t>
      </w:r>
    </w:p>
    <w:p w14:paraId="395F1B6F" w14:textId="77777777" w:rsidR="00EB65AA" w:rsidRPr="005E41DA" w:rsidRDefault="00EB65AA" w:rsidP="00EB65AA">
      <w:pPr>
        <w:spacing w:line="360" w:lineRule="auto"/>
        <w:jc w:val="both"/>
        <w:rPr>
          <w:rFonts w:ascii="Arial" w:hAnsi="Arial" w:cs="Arial"/>
          <w:b/>
          <w:bCs/>
        </w:rPr>
      </w:pPr>
      <w:r w:rsidRPr="00F27FD9">
        <w:rPr>
          <w:rFonts w:ascii="Arial" w:hAnsi="Arial" w:cs="Arial"/>
          <w:color w:val="000000"/>
          <w:shd w:val="clear" w:color="auto" w:fill="FFFFFF"/>
        </w:rPr>
        <w:t>Hippocrates said</w:t>
      </w:r>
      <w:r>
        <w:rPr>
          <w:rFonts w:ascii="Arial" w:hAnsi="Arial" w:cs="Arial"/>
          <w:color w:val="000000"/>
          <w:shd w:val="clear" w:color="auto" w:fill="FFFFFF"/>
        </w:rPr>
        <w:t>,</w:t>
      </w:r>
      <w:r w:rsidRPr="00F27FD9">
        <w:rPr>
          <w:rFonts w:ascii="Arial" w:hAnsi="Arial" w:cs="Arial"/>
          <w:color w:val="000000"/>
          <w:shd w:val="clear" w:color="auto" w:fill="FFFFFF"/>
        </w:rPr>
        <w:t xml:space="preserve"> ‘it is more important to know what sort of person has a disease than to know what sort of disease a person has’.</w:t>
      </w:r>
      <w:r>
        <w:rPr>
          <w:rFonts w:ascii="Arial" w:hAnsi="Arial" w:cs="Arial"/>
          <w:color w:val="000000"/>
          <w:shd w:val="clear" w:color="auto" w:fill="FFFFFF"/>
        </w:rPr>
        <w:t xml:space="preserve"> </w:t>
      </w:r>
      <w:r w:rsidRPr="005E41DA">
        <w:rPr>
          <w:rFonts w:ascii="Arial" w:hAnsi="Arial" w:cs="Arial"/>
          <w:b/>
          <w:bCs/>
          <w:color w:val="000000"/>
          <w:shd w:val="clear" w:color="auto" w:fill="FFFFFF"/>
        </w:rPr>
        <w:t>Person centred care</w:t>
      </w:r>
      <w:r>
        <w:rPr>
          <w:rFonts w:ascii="Arial" w:hAnsi="Arial" w:cs="Arial"/>
          <w:color w:val="000000"/>
          <w:shd w:val="clear" w:color="auto" w:fill="FFFFFF"/>
        </w:rPr>
        <w:t xml:space="preserve"> concentrates on treating individuals as equal partners in healing, it is care that is personalised, coordinated, and enabling for the client. Person centred cares means to work in a way that recognised individuals potential and capability to manage and improve their health, to not been seen as victims of disease or recipients of care. The health system should be equipped to help individuals acquire knowledge, skills, and confidence to help themselves when it comes to their own care. It is sometimes unfortunate in the way care is delivered and has the opposite effect. Having an overly directive or paternalistic approach can create a service user to become dependent on the care provider which undermines the individuals confident to protect their health. Service users are usually willing and eager to take responsibility for their own health if there capabilities were supported, recognised, and strengthened, rather than being ignored and undermined (</w:t>
      </w:r>
      <w:r w:rsidRPr="00F072D7">
        <w:rPr>
          <w:rFonts w:ascii="Arial" w:hAnsi="Arial" w:cs="Arial"/>
          <w:color w:val="000000" w:themeColor="text1"/>
          <w:shd w:val="clear" w:color="auto" w:fill="FFFFFF"/>
        </w:rPr>
        <w:t>Coulter</w:t>
      </w:r>
      <w:r>
        <w:rPr>
          <w:rFonts w:ascii="Arial" w:hAnsi="Arial" w:cs="Arial"/>
          <w:color w:val="000000" w:themeColor="text1"/>
          <w:shd w:val="clear" w:color="auto" w:fill="FFFFFF"/>
        </w:rPr>
        <w:t xml:space="preserve"> </w:t>
      </w:r>
      <w:r w:rsidRPr="00F072D7">
        <w:rPr>
          <w:rFonts w:ascii="Arial" w:hAnsi="Arial" w:cs="Arial"/>
          <w:color w:val="000000" w:themeColor="text1"/>
          <w:shd w:val="clear" w:color="auto" w:fill="FFFFFF"/>
        </w:rPr>
        <w:t>&amp; Oldham</w:t>
      </w:r>
      <w:r>
        <w:rPr>
          <w:rFonts w:ascii="Arial" w:hAnsi="Arial" w:cs="Arial"/>
          <w:color w:val="000000" w:themeColor="text1"/>
          <w:shd w:val="clear" w:color="auto" w:fill="FFFFFF"/>
        </w:rPr>
        <w:t xml:space="preserve"> </w:t>
      </w:r>
      <w:r w:rsidRPr="00F072D7">
        <w:rPr>
          <w:rFonts w:ascii="Arial" w:hAnsi="Arial" w:cs="Arial"/>
          <w:color w:val="000000" w:themeColor="text1"/>
          <w:shd w:val="clear" w:color="auto" w:fill="FFFFFF"/>
        </w:rPr>
        <w:t>2016).</w:t>
      </w:r>
      <w:r>
        <w:rPr>
          <w:rFonts w:ascii="Arial" w:hAnsi="Arial" w:cs="Arial"/>
          <w:color w:val="000000" w:themeColor="text1"/>
          <w:shd w:val="clear" w:color="auto" w:fill="FFFFFF"/>
        </w:rPr>
        <w:t xml:space="preserve"> </w:t>
      </w:r>
    </w:p>
    <w:p w14:paraId="10AC52F6" w14:textId="77777777" w:rsidR="00EB65AA" w:rsidRDefault="00EB65AA" w:rsidP="00EB65AA">
      <w:pPr>
        <w:spacing w:line="360" w:lineRule="auto"/>
        <w:jc w:val="both"/>
        <w:rPr>
          <w:rFonts w:ascii="Arial" w:hAnsi="Arial" w:cs="Arial"/>
          <w:color w:val="000000" w:themeColor="text1"/>
          <w:shd w:val="clear" w:color="auto" w:fill="FFFFFF"/>
        </w:rPr>
      </w:pPr>
      <w:r w:rsidRPr="002803D1">
        <w:rPr>
          <w:rFonts w:ascii="Arial" w:hAnsi="Arial" w:cs="Arial"/>
          <w:color w:val="000000" w:themeColor="text1"/>
          <w:shd w:val="clear" w:color="auto" w:fill="FFFFFF"/>
        </w:rPr>
        <w:lastRenderedPageBreak/>
        <w:t>Garrett,</w:t>
      </w:r>
      <w:r>
        <w:rPr>
          <w:rFonts w:ascii="Arial" w:hAnsi="Arial" w:cs="Arial"/>
          <w:color w:val="000000" w:themeColor="text1"/>
          <w:shd w:val="clear" w:color="auto" w:fill="FFFFFF"/>
        </w:rPr>
        <w:t xml:space="preserve"> </w:t>
      </w:r>
      <w:r w:rsidRPr="002803D1">
        <w:rPr>
          <w:rFonts w:ascii="Arial" w:hAnsi="Arial" w:cs="Arial"/>
          <w:color w:val="000000" w:themeColor="text1"/>
          <w:shd w:val="clear" w:color="auto" w:fill="FFFFFF"/>
        </w:rPr>
        <w:t>(1991)</w:t>
      </w:r>
      <w:r>
        <w:rPr>
          <w:rFonts w:ascii="Arial" w:hAnsi="Arial" w:cs="Arial"/>
          <w:color w:val="000000" w:themeColor="text1"/>
          <w:shd w:val="clear" w:color="auto" w:fill="FFFFFF"/>
        </w:rPr>
        <w:t xml:space="preserve"> has stated that death in old age seen by many as “natural” and bereavement is viewed as one of the losses experienced later on in life. Often little thought is given to the particular needs of the elderly in these circumstances. </w:t>
      </w:r>
      <w:r w:rsidRPr="001E44F5">
        <w:rPr>
          <w:rFonts w:ascii="Arial" w:hAnsi="Arial" w:cs="Arial"/>
          <w:color w:val="000000" w:themeColor="text1"/>
          <w:shd w:val="clear" w:color="auto" w:fill="FFFFFF"/>
        </w:rPr>
        <w:t>Costello (2002)</w:t>
      </w:r>
      <w:r>
        <w:rPr>
          <w:rFonts w:ascii="Arial" w:hAnsi="Arial" w:cs="Arial"/>
          <w:color w:val="000000" w:themeColor="text1"/>
          <w:shd w:val="clear" w:color="auto" w:fill="FFFFFF"/>
        </w:rPr>
        <w:t xml:space="preserve"> states that a study conducted in two hospitals in the north west of England found that Do Not Resuscitate (DNR) decision making was largely made upon the interactions of hospital staff. Patients were not asked or included in decision making about Cardiopulmonary Resuscitation or DNR. Two major findings in this report state that DNR orders and not using CPR could been viewed as a form of medical compassion often resulting from the paternalistic attitude of doctors. Secondly DNR orders and the non-use of CPR showed a clear indication that for certain patients was based on improving the quality of the lives of patients. Similarly Cook </w:t>
      </w:r>
      <w:r w:rsidRPr="009D35BB">
        <w:rPr>
          <w:rFonts w:ascii="Arial" w:hAnsi="Arial" w:cs="Arial"/>
          <w:i/>
          <w:iCs/>
          <w:color w:val="000000" w:themeColor="text1"/>
          <w:shd w:val="clear" w:color="auto" w:fill="FFFFFF"/>
        </w:rPr>
        <w:t>et al</w:t>
      </w:r>
      <w:r>
        <w:rPr>
          <w:rFonts w:ascii="Arial" w:hAnsi="Arial" w:cs="Arial"/>
          <w:i/>
          <w:iCs/>
          <w:color w:val="000000" w:themeColor="text1"/>
          <w:shd w:val="clear" w:color="auto" w:fill="FFFFFF"/>
        </w:rPr>
        <w:t xml:space="preserve"> </w:t>
      </w:r>
      <w:r>
        <w:rPr>
          <w:rFonts w:ascii="Arial" w:hAnsi="Arial" w:cs="Arial"/>
          <w:color w:val="000000" w:themeColor="text1"/>
          <w:shd w:val="clear" w:color="auto" w:fill="FFFFFF"/>
        </w:rPr>
        <w:t xml:space="preserve">(2017) states that DNR orders were more common in older patients. From 10 studies conducted eight indicated that this was dependent on other mediating factors such as likely outcomes of health and severity of illness. In a study comparing age groups it was found that patients aged 75 to 84 having a DNR order were greater. </w:t>
      </w:r>
    </w:p>
    <w:p w14:paraId="3DF74E7B" w14:textId="77777777" w:rsidR="00EB65AA" w:rsidRDefault="00EB65AA" w:rsidP="00EB65AA">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Death and bereavement are other issue faced by old age people. Bereavement is more common in adults aged 60 and over. Losing a loved one usually results to acute grief which shows an identity of yearning and longing, lack of interest in usual activities and frequently thinking about the deceased. For many acute grief evolves naturally into integrated grief allowing the bereaved to reengage with normal everyday activities, finding interests and enjoyment. However, around 7% of bereaved older adults will develop Complicated Grief (CG) which is a mental health condition. In CG moving from acute to integrated grief is obstructed and grief symptoms still remain unchanged, severe, and made worse. More attention to CG observation and treatment is required in older adults. Newton </w:t>
      </w:r>
      <w:r w:rsidRPr="00844760">
        <w:rPr>
          <w:rFonts w:ascii="Arial" w:hAnsi="Arial" w:cs="Arial"/>
          <w:i/>
          <w:iCs/>
          <w:color w:val="000000" w:themeColor="text1"/>
          <w:shd w:val="clear" w:color="auto" w:fill="FFFFFF"/>
        </w:rPr>
        <w:t>et al</w:t>
      </w:r>
      <w:r>
        <w:rPr>
          <w:rFonts w:ascii="Arial" w:hAnsi="Arial" w:cs="Arial"/>
          <w:color w:val="000000" w:themeColor="text1"/>
          <w:shd w:val="clear" w:color="auto" w:fill="FFFFFF"/>
        </w:rPr>
        <w:t xml:space="preserve"> (2011) has also mentioned that CG can impair mental health as well as physical health, it can greatly impact the quality of life of those suffering and their families. Study suggests that CG is more prevalent in older adults and the need for prevention, diagnosis and different options for treatment is required.  </w:t>
      </w:r>
    </w:p>
    <w:p w14:paraId="538A977A" w14:textId="77777777" w:rsidR="00EB65AA" w:rsidRPr="00DE2F87" w:rsidRDefault="00EB65AA" w:rsidP="00EB65AA">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Strobe </w:t>
      </w:r>
      <w:r w:rsidRPr="00844760">
        <w:rPr>
          <w:rFonts w:ascii="Arial" w:hAnsi="Arial" w:cs="Arial"/>
          <w:i/>
          <w:iCs/>
          <w:color w:val="000000" w:themeColor="text1"/>
          <w:shd w:val="clear" w:color="auto" w:fill="FFFFFF"/>
        </w:rPr>
        <w:t>et al</w:t>
      </w:r>
      <w:r>
        <w:rPr>
          <w:rFonts w:ascii="Arial" w:hAnsi="Arial" w:cs="Arial"/>
          <w:color w:val="000000" w:themeColor="text1"/>
          <w:shd w:val="clear" w:color="auto" w:fill="FFFFFF"/>
        </w:rPr>
        <w:t xml:space="preserve"> (2007) has stated bereavement is associated with a higher risk of mortality from many causes which include suicide. Studies suggest a conclusion that the death rate of bereavement plays a large part to a so- called broken heart. Psychological distress after a bereavement causes psychological distress such as loneliness, other factors relating to the loss such as change in living arrangements, eating habits, change in social ties, and lack of economic support. Widowers will be at increased risk of alcohol consumption after loss of their sole companion whose health would have been overseen by the widower. The baseline rate for the absolute number of bereaved people who die is low, 5% of widows opposed to 3% of married men who are 55 years or older die in the first 6 months of bereavement. </w:t>
      </w:r>
    </w:p>
    <w:p w14:paraId="06E21883" w14:textId="77777777" w:rsidR="00EB65AA" w:rsidRPr="00154754" w:rsidRDefault="00EB65AA" w:rsidP="00EB65AA">
      <w:pPr>
        <w:spacing w:line="360" w:lineRule="auto"/>
        <w:jc w:val="both"/>
        <w:rPr>
          <w:rFonts w:ascii="Arial" w:hAnsi="Arial" w:cs="Arial"/>
        </w:rPr>
      </w:pPr>
      <w:r>
        <w:rPr>
          <w:rFonts w:ascii="Arial" w:hAnsi="Arial" w:cs="Arial"/>
        </w:rPr>
        <w:lastRenderedPageBreak/>
        <w:t>The World Health Organization has defined elder abuse as a single or repetitive act or lacking appropriate action. This can occur in any relationship where there is trust and can cause harm or distress to the elderly person. This type of violence represents a violation of an individual’s human rights. Abuse included physical, psychological, sexual, financial abuse, emotional abuse, abandonment, material abuse, serious loss of dignity and respect and neglect (World Health Organization 2021).</w:t>
      </w:r>
    </w:p>
    <w:p w14:paraId="2AD3105D" w14:textId="77777777" w:rsidR="00EB65AA" w:rsidRPr="005D5871" w:rsidRDefault="00EB65AA" w:rsidP="00EB65AA">
      <w:pPr>
        <w:spacing w:line="360" w:lineRule="auto"/>
        <w:jc w:val="both"/>
        <w:rPr>
          <w:rFonts w:ascii="Arial" w:hAnsi="Arial" w:cs="Arial"/>
        </w:rPr>
      </w:pPr>
      <w:r>
        <w:rPr>
          <w:rFonts w:ascii="Arial" w:hAnsi="Arial" w:cs="Arial"/>
        </w:rPr>
        <w:t>The charity Action on Elder Abuse has stated that abuse can be looked upon as the elderly who face cruelty and hardship from people that they trust and are supposed to be helping them. Research found that in 1992 5% to 8% of old people faced some sort of abuse from family members a shockingly number in the region of 500,000 people, and the situation is the same for those in hospitals and care homes (Fitzgerald 2006).</w:t>
      </w:r>
    </w:p>
    <w:p w14:paraId="7E279127" w14:textId="77777777" w:rsidR="00EB65AA" w:rsidRDefault="00EB65AA" w:rsidP="00EB65AA">
      <w:pPr>
        <w:spacing w:line="360" w:lineRule="auto"/>
        <w:jc w:val="both"/>
        <w:rPr>
          <w:rFonts w:ascii="Arial" w:hAnsi="Arial" w:cs="Arial"/>
        </w:rPr>
      </w:pPr>
      <w:r>
        <w:rPr>
          <w:rFonts w:ascii="Arial" w:hAnsi="Arial" w:cs="Arial"/>
        </w:rPr>
        <w:t xml:space="preserve">An often ignored and hidden problem in society is the mistreatment of the elderly. Many would have heard of the phrase “Granny Battering” but will know no more than that phrase or some awareness of such problems publicised on t.v programmes on residential care homes. The term “Granny Battering” dates back to as far as 1975 so this is not something we haven’t heard about, but in the U.K there has been a slow respond to the challenge, and unfortunately having a persisting existence that such a problem could even exist. In the USA by the late 1980’s every state had a regulation with regards to elder abuse. In the UK the British Geriatric Society Conference on “Abuse of Elderly People: An unnecessary and Preventable problem” led to various projects and research, the first British medical journal was published in 1990 concerning the abuse of the elderly by their carers. Latterly in 1993 the charity Action on Elder abuse was formed. Proposals of improved care home inspections, compulsory training in recognising elderly abuse, and the better regulation of care staff were made in 2004 in the House of Commons Committee report as these were all issues highlighted as problematic (McAlpine 2008). </w:t>
      </w:r>
    </w:p>
    <w:p w14:paraId="4EF88F69" w14:textId="77777777" w:rsidR="00EB65AA" w:rsidRDefault="00EB65AA" w:rsidP="00EB65AA">
      <w:pPr>
        <w:spacing w:line="360" w:lineRule="auto"/>
        <w:jc w:val="both"/>
        <w:rPr>
          <w:rFonts w:ascii="Arial" w:hAnsi="Arial" w:cs="Arial"/>
        </w:rPr>
      </w:pPr>
      <w:r>
        <w:rPr>
          <w:rFonts w:ascii="Arial" w:hAnsi="Arial" w:cs="Arial"/>
        </w:rPr>
        <w:t xml:space="preserve">There are many different legislations across the uk used by professionals working in the abuse sector. The UK takes the general approach of protection as adult safeguarding with reference to abuse in adults who may be regarded at risk of harm, there is no specific focus on elder abuse. The Care Act 2014 came in as an integrating law to enable many different areas of social care law with relation to adults into one overall piece of legislation. Adult safeguarding is including within the Care Act 2014 but does not provide a law into different types of abuse but provides an overall framework within which the responsibility of safeguarding adults to take place within authorities and local areas (framework legislation). </w:t>
      </w:r>
    </w:p>
    <w:p w14:paraId="30A28DEE" w14:textId="77777777" w:rsidR="00EB65AA" w:rsidRDefault="00EB65AA" w:rsidP="00EB65AA">
      <w:pPr>
        <w:spacing w:line="360" w:lineRule="auto"/>
        <w:jc w:val="both"/>
        <w:rPr>
          <w:rFonts w:ascii="Arial" w:hAnsi="Arial" w:cs="Arial"/>
          <w:color w:val="000000" w:themeColor="text1"/>
          <w:shd w:val="clear" w:color="auto" w:fill="FFFFFF"/>
        </w:rPr>
      </w:pPr>
      <w:r>
        <w:rPr>
          <w:rFonts w:ascii="Arial" w:hAnsi="Arial" w:cs="Arial"/>
        </w:rPr>
        <w:t xml:space="preserve">The Human Rights Act belong to every single individual and allow us to have rights and freedom. The Human Rights Acts protect our rights and allow us to challenge authorities if our </w:t>
      </w:r>
      <w:r>
        <w:rPr>
          <w:rFonts w:ascii="Arial" w:hAnsi="Arial" w:cs="Arial"/>
        </w:rPr>
        <w:lastRenderedPageBreak/>
        <w:t>rights are violated in anyway. The right to life, right to having a family life, freedom from torture, and the right to liberty and security are a few of the rights mentioned within this Act (</w:t>
      </w:r>
      <w:r>
        <w:rPr>
          <w:rFonts w:ascii="Arial" w:hAnsi="Arial" w:cs="Arial"/>
          <w:color w:val="000000" w:themeColor="text1"/>
          <w:shd w:val="clear" w:color="auto" w:fill="FFFFFF"/>
        </w:rPr>
        <w:t>Amnesty International UK 2019).</w:t>
      </w:r>
    </w:p>
    <w:p w14:paraId="672BB4AE" w14:textId="77777777" w:rsidR="00EB65AA" w:rsidRPr="00033F36" w:rsidRDefault="00EB65AA" w:rsidP="00EB65AA">
      <w:pPr>
        <w:spacing w:line="360" w:lineRule="auto"/>
        <w:jc w:val="both"/>
        <w:rPr>
          <w:rStyle w:val="legds"/>
          <w:rFonts w:ascii="Arial" w:hAnsi="Arial" w:cs="Arial"/>
          <w:color w:val="000000" w:themeColor="text1"/>
          <w:shd w:val="clear" w:color="auto" w:fill="FFFFFF"/>
        </w:rPr>
      </w:pPr>
      <w:r>
        <w:rPr>
          <w:rFonts w:ascii="Arial" w:hAnsi="Arial" w:cs="Arial"/>
          <w:color w:val="000000" w:themeColor="text1"/>
          <w:shd w:val="clear" w:color="auto" w:fill="FFFFFF"/>
        </w:rPr>
        <w:t xml:space="preserve">The Care Act 2014 states that it is the duty of the local authority to provide social care for the elderly and are responsible for promoting the wellbeing of an individual. </w:t>
      </w:r>
      <w:r w:rsidRPr="00C35AA8">
        <w:rPr>
          <w:rFonts w:ascii="Arial" w:hAnsi="Arial" w:cs="Arial"/>
          <w:color w:val="000000" w:themeColor="text1"/>
          <w:shd w:val="clear" w:color="auto" w:fill="FFFFFF"/>
        </w:rPr>
        <w:t>Promoting individual well-being</w:t>
      </w:r>
      <w:r>
        <w:rPr>
          <w:rFonts w:ascii="Arial" w:hAnsi="Arial" w:cs="Arial"/>
          <w:color w:val="000000" w:themeColor="text1"/>
          <w:shd w:val="clear" w:color="auto" w:fill="FFFFFF"/>
        </w:rPr>
        <w:t>. The wellbeing can relate to treating the individual with respect and dignity, protection from abuse and neglect, being in control of their lives, participating in work, education or re-creation, physical and mental well-being, contributing in society, maintaining family relationships, and living in suitable accommodation (Legislation.gov.uk 2014).</w:t>
      </w:r>
    </w:p>
    <w:p w14:paraId="12BF7385" w14:textId="77777777" w:rsidR="00EB65AA" w:rsidRDefault="00EB65AA" w:rsidP="00EB65AA">
      <w:pPr>
        <w:spacing w:line="360" w:lineRule="auto"/>
        <w:jc w:val="both"/>
        <w:rPr>
          <w:rFonts w:ascii="Arial" w:hAnsi="Arial" w:cs="Arial"/>
          <w:shd w:val="clear" w:color="auto" w:fill="FFFFFF"/>
        </w:rPr>
      </w:pPr>
      <w:r>
        <w:rPr>
          <w:rFonts w:ascii="Arial" w:hAnsi="Arial" w:cs="Arial"/>
          <w:shd w:val="clear" w:color="auto" w:fill="FFFFFF"/>
        </w:rPr>
        <w:t>On the 25</w:t>
      </w:r>
      <w:r w:rsidRPr="00D22DBA">
        <w:rPr>
          <w:rFonts w:ascii="Arial" w:hAnsi="Arial" w:cs="Arial"/>
          <w:shd w:val="clear" w:color="auto" w:fill="FFFFFF"/>
          <w:vertAlign w:val="superscript"/>
        </w:rPr>
        <w:t>th</w:t>
      </w:r>
      <w:r>
        <w:rPr>
          <w:rFonts w:ascii="Arial" w:hAnsi="Arial" w:cs="Arial"/>
          <w:shd w:val="clear" w:color="auto" w:fill="FFFFFF"/>
        </w:rPr>
        <w:t xml:space="preserve"> March 2009 The New York Times quoted “loneliness leads to poorer physical and mental health, furthermore on the 31</w:t>
      </w:r>
      <w:r w:rsidRPr="00D22DBA">
        <w:rPr>
          <w:rFonts w:ascii="Arial" w:hAnsi="Arial" w:cs="Arial"/>
          <w:shd w:val="clear" w:color="auto" w:fill="FFFFFF"/>
          <w:vertAlign w:val="superscript"/>
        </w:rPr>
        <w:t>st</w:t>
      </w:r>
      <w:r>
        <w:rPr>
          <w:rFonts w:ascii="Arial" w:hAnsi="Arial" w:cs="Arial"/>
          <w:shd w:val="clear" w:color="auto" w:fill="FFFFFF"/>
        </w:rPr>
        <w:t xml:space="preserve"> January 2011 the BBC news stated that loneliness was a hidden killer amongst the elderly. Loneliness can be interpreted as being alone or a state of solitude, loneliness is not about being alone but the perception of being alone and isolated that’s matters the most and loneliness is a state of mind. Other concepts of loneliness are unable to find meaning in one’s life, having negative or unpleasant feelings and a feeling disconnection or feeling isolated from the world. Loneliness can be a symptom of depression in old age. Its has been reported to be more dangerous than smoking. A high degree of loneliness can bring on the idea of suicide, para suicide, dementia, it affects the immune and cardiovascular system. Loneliness results in a decline of well being and has a disadvantageous effect on physical health. Loneliness is the common cause of hospitalization and being placed in a nursing home due to immunologic impairment and neuro-endocrine changes (Tiwari 2013). According to Hwang </w:t>
      </w:r>
      <w:r w:rsidRPr="00844760">
        <w:rPr>
          <w:rFonts w:ascii="Arial" w:hAnsi="Arial" w:cs="Arial"/>
          <w:i/>
          <w:iCs/>
          <w:shd w:val="clear" w:color="auto" w:fill="FFFFFF"/>
        </w:rPr>
        <w:t>et al</w:t>
      </w:r>
      <w:r>
        <w:rPr>
          <w:rFonts w:ascii="Arial" w:hAnsi="Arial" w:cs="Arial"/>
          <w:shd w:val="clear" w:color="auto" w:fill="FFFFFF"/>
        </w:rPr>
        <w:t xml:space="preserve"> (2020) loneliness and isolation occur quite frequently together and are common in older adults. Social isolation can be defined as a level and frequency of social interaction with others, one’s social environment and how often they are interactional, whilst loneliness can be described as subjective feelings, a feeling of being alone. Loneliness and isolation can both have a harmful effect on health through shared and different pathways. Prior to the covid-19 pandemic loneliness and isolation was all too common across different parts of the world such as China, USA, Europe and became worse with the restrictions imposed to try to control the spread of the Viral. </w:t>
      </w:r>
      <w:r w:rsidRPr="00AF246B">
        <w:rPr>
          <w:rFonts w:ascii="Arial" w:hAnsi="Arial" w:cs="Arial"/>
          <w:shd w:val="clear" w:color="auto" w:fill="FFFFFF"/>
        </w:rPr>
        <w:t>Berg-Weger &amp; Morley</w:t>
      </w:r>
      <w:r>
        <w:rPr>
          <w:rFonts w:ascii="Arial" w:hAnsi="Arial" w:cs="Arial"/>
          <w:shd w:val="clear" w:color="auto" w:fill="FFFFFF"/>
        </w:rPr>
        <w:t xml:space="preserve"> </w:t>
      </w:r>
      <w:r w:rsidRPr="00AF246B">
        <w:rPr>
          <w:rFonts w:ascii="Arial" w:hAnsi="Arial" w:cs="Arial"/>
          <w:shd w:val="clear" w:color="auto" w:fill="FFFFFF"/>
        </w:rPr>
        <w:t>(2020)</w:t>
      </w:r>
      <w:r>
        <w:rPr>
          <w:rFonts w:ascii="Arial" w:hAnsi="Arial" w:cs="Arial"/>
          <w:shd w:val="clear" w:color="auto" w:fill="FFFFFF"/>
        </w:rPr>
        <w:t xml:space="preserve"> inform us that stay at home orders and sheltering the elderly during Covid 19 caused the elderly to lose connection with support networks and health and social service providers and spent a vast time alone.  Traditional strategies in engaging the elderly became disused and was considered the norm. Interactions such as congregate meal sites, social activities, exercise, volunteering, employment commitments, in person health and business interactions were all suspended. Social working with the most vulnerable during the pandemic became creative and resourceful in helping the elderly to stay connected with family and friends to </w:t>
      </w:r>
      <w:r>
        <w:rPr>
          <w:rFonts w:ascii="Arial" w:hAnsi="Arial" w:cs="Arial"/>
          <w:shd w:val="clear" w:color="auto" w:fill="FFFFFF"/>
        </w:rPr>
        <w:lastRenderedPageBreak/>
        <w:t xml:space="preserve">combat loneliness, social isolation and anxiety. Devices and videoconferencing began to facilitate virtually as in person activities as well social distancing, virtual reality devices were introduced, and personal protective equipment was used. Reassurance telephone calls, home delivery services, health care visits were provided virtually or via phone furthermore, prevention education and new updates became a part of social work practice. Social work practice with the elderly changed vastly and swiftly. </w:t>
      </w:r>
    </w:p>
    <w:p w14:paraId="55BF75E7" w14:textId="77777777" w:rsidR="00EB65AA" w:rsidRDefault="00EB65AA" w:rsidP="00EB65AA">
      <w:pPr>
        <w:spacing w:line="360" w:lineRule="auto"/>
        <w:jc w:val="both"/>
        <w:rPr>
          <w:rFonts w:ascii="Arial" w:hAnsi="Arial" w:cs="Arial"/>
          <w:shd w:val="clear" w:color="auto" w:fill="FFFFFF"/>
        </w:rPr>
      </w:pPr>
      <w:r>
        <w:rPr>
          <w:rFonts w:ascii="Arial" w:hAnsi="Arial" w:cs="Arial"/>
          <w:shd w:val="clear" w:color="auto" w:fill="FFFFFF"/>
        </w:rPr>
        <w:t xml:space="preserve">Chopik (2016) has stated that technology can enrich and enhance the lives of the elderly by easing better interpersonal relations. A study to show the effectiveness of social technology in the elderly was conducted, it was assessed through five technology -based behaviours such as using emails, social networking sites, online video/phone calls, online chatting/instant messaging and the use of a smartphone. Findings suggested that older adults had positive attitudes towards technology. The wider use of social technology was found to have better self-rated health, less chronic illnesses, higher well-being, and reduction in the rate of depressive symptoms. The links between the use of social technology and physical and psychological health was conciliated by reduced loneliness. A large determinant of physical health and well being are having close relationships and technology has the potential to grow successful relationships in the elderly. Abit &amp; </w:t>
      </w:r>
      <w:r w:rsidRPr="000F0CC4">
        <w:rPr>
          <w:rFonts w:ascii="Arial" w:hAnsi="Arial" w:cs="Arial"/>
          <w:color w:val="000000" w:themeColor="text1"/>
          <w:shd w:val="clear" w:color="auto" w:fill="FFFFFF"/>
        </w:rPr>
        <w:t>Gorodetskaya</w:t>
      </w:r>
      <w:r>
        <w:rPr>
          <w:rFonts w:ascii="Arial" w:hAnsi="Arial" w:cs="Arial"/>
          <w:shd w:val="clear" w:color="auto" w:fill="FFFFFF"/>
        </w:rPr>
        <w:t xml:space="preserve"> (2016) inform us about research that was undertaken to address the self-regulation of loneliness in care homes. The study conducted consisted of 60 people aged between 65 to 80 years. 30 of them live in families with spouses and minors and 30 elderly persons living in a state residential social service institution. Research suggested that those living in care homes found a high level of loneliness and a lower level of involvement with others than those who were living with their families.  </w:t>
      </w:r>
    </w:p>
    <w:p w14:paraId="2D1B0ECA" w14:textId="77777777" w:rsidR="00EB65AA" w:rsidRDefault="00EB65AA" w:rsidP="00EB65AA">
      <w:pPr>
        <w:spacing w:line="360" w:lineRule="auto"/>
        <w:jc w:val="both"/>
        <w:rPr>
          <w:rFonts w:ascii="Arial" w:hAnsi="Arial" w:cs="Arial"/>
          <w:shd w:val="clear" w:color="auto" w:fill="FFFFFF"/>
        </w:rPr>
      </w:pPr>
      <w:r>
        <w:rPr>
          <w:rFonts w:ascii="Arial" w:hAnsi="Arial" w:cs="Arial"/>
          <w:shd w:val="clear" w:color="auto" w:fill="FFFFFF"/>
        </w:rPr>
        <w:t>Marmalade trust is the only charity in the world that is dedicated to raising awareness of loneliness. It is a UK based charity and is available for all ages. Loneliness Awareness Week was launched in 2017 to encourage /help people to make friends and discover new experiences. Over the past few years more than 25,000 charities, companies, organisations, and individuals such as Boris Johnson, Mayor of London, The Royal Family, NHS and government departments have all come together to help raise awareness (Marmalade trust.org).</w:t>
      </w:r>
    </w:p>
    <w:p w14:paraId="02131621" w14:textId="77777777" w:rsidR="00EB65AA" w:rsidRDefault="00EB65AA" w:rsidP="00EB65AA">
      <w:pPr>
        <w:spacing w:line="360" w:lineRule="auto"/>
        <w:jc w:val="both"/>
        <w:rPr>
          <w:rFonts w:ascii="Arial" w:hAnsi="Arial" w:cs="Arial"/>
          <w:shd w:val="clear" w:color="auto" w:fill="FFFFFF"/>
        </w:rPr>
      </w:pPr>
      <w:r>
        <w:rPr>
          <w:rFonts w:ascii="Arial" w:hAnsi="Arial" w:cs="Arial"/>
          <w:shd w:val="clear" w:color="auto" w:fill="FFFFFF"/>
        </w:rPr>
        <w:t xml:space="preserve">The Waiting Room (TWR) is an online directory for the health and wellbeing for those living in Birmingham and Solihull. It provides users with links to 100’s of services within Birmingham and Solihull that can encourage people to take more control of their health and wellbeing. It also helps people to help themselves by providing links to key national organisations. Some of the services that are provided are advice on welfare benefits, housing, educational support, safeguarding links, employment support, faith organisations and much more. The Waiting </w:t>
      </w:r>
      <w:r>
        <w:rPr>
          <w:rFonts w:ascii="Arial" w:hAnsi="Arial" w:cs="Arial"/>
          <w:shd w:val="clear" w:color="auto" w:fill="FFFFFF"/>
        </w:rPr>
        <w:lastRenderedPageBreak/>
        <w:t>Room can be described as the health and wellbeing directory for Birmingham and Solihull communities (The Waiting Room.org 2021).</w:t>
      </w:r>
    </w:p>
    <w:p w14:paraId="3144B30D" w14:textId="77777777" w:rsidR="00EB65AA" w:rsidRDefault="00EB65AA" w:rsidP="00EB65AA">
      <w:pPr>
        <w:spacing w:line="360" w:lineRule="auto"/>
        <w:jc w:val="both"/>
        <w:rPr>
          <w:rFonts w:ascii="Arial" w:hAnsi="Arial" w:cs="Arial"/>
          <w:shd w:val="clear" w:color="auto" w:fill="FFFFFF"/>
        </w:rPr>
      </w:pPr>
      <w:r>
        <w:rPr>
          <w:rFonts w:ascii="Arial" w:hAnsi="Arial" w:cs="Arial"/>
          <w:shd w:val="clear" w:color="auto" w:fill="FFFFFF"/>
        </w:rPr>
        <w:t xml:space="preserve">Fakoya </w:t>
      </w:r>
      <w:r w:rsidRPr="004D7F90">
        <w:rPr>
          <w:rFonts w:ascii="Arial" w:hAnsi="Arial" w:cs="Arial"/>
          <w:i/>
          <w:iCs/>
          <w:shd w:val="clear" w:color="auto" w:fill="FFFFFF"/>
        </w:rPr>
        <w:t>et al</w:t>
      </w:r>
      <w:r>
        <w:rPr>
          <w:rFonts w:ascii="Arial" w:hAnsi="Arial" w:cs="Arial"/>
          <w:shd w:val="clear" w:color="auto" w:fill="FFFFFF"/>
        </w:rPr>
        <w:t xml:space="preserve"> (2020) have found that interventions such as befriending, mentoring, wayfinders or community navigators, one to one intervention, group interventions, and wider community engagements all provide help and support to combat social isolation and loneliness. Effective interventions such as befriending, Wayfinders and creative group session can and do work in day to day services. A rarely discussed important factor is the need for social care services to work successfully alongside the voluntary sector as most interventions were provided by volunteers. To implement effective interventions the first task would be to identify the population within localities that suffer from or are at risk of social isolation and loneliness. If schemes to target loneliness in the elderly are to be effective the individual must be involved at every stage of the planning, development, delivery, and assessment. What people really want is missed out when designing services for them. A clear understanding of what is being prevented needs to be addressed to individuals and organisations, the aim being to mitigate loneliness and isolation. </w:t>
      </w:r>
    </w:p>
    <w:p w14:paraId="3395C302" w14:textId="77777777" w:rsidR="00EB65AA" w:rsidRDefault="00EB65AA" w:rsidP="00EB65AA">
      <w:pPr>
        <w:rPr>
          <w:rFonts w:ascii="Arial" w:hAnsi="Arial" w:cs="Arial"/>
        </w:rPr>
      </w:pPr>
    </w:p>
    <w:p w14:paraId="1366E092" w14:textId="77777777" w:rsidR="00EB65AA" w:rsidRDefault="00EB65AA" w:rsidP="00EB65AA">
      <w:pPr>
        <w:rPr>
          <w:rFonts w:ascii="Arial" w:hAnsi="Arial" w:cs="Arial"/>
        </w:rPr>
      </w:pPr>
    </w:p>
    <w:p w14:paraId="172702BF" w14:textId="77777777" w:rsidR="00D52170" w:rsidRDefault="00EB65AA"/>
    <w:sectPr w:rsidR="00D52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5AA"/>
    <w:rsid w:val="00436F77"/>
    <w:rsid w:val="0074752F"/>
    <w:rsid w:val="00972FDB"/>
    <w:rsid w:val="00A5229B"/>
    <w:rsid w:val="00EB6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DFE4F"/>
  <w15:chartTrackingRefBased/>
  <w15:docId w15:val="{AD98DA2D-B9E9-48D9-9412-318012A10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5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egds">
    <w:name w:val="legds"/>
    <w:basedOn w:val="DefaultParagraphFont"/>
    <w:rsid w:val="00EB65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2967</Words>
  <Characters>16916</Characters>
  <Application>Microsoft Office Word</Application>
  <DocSecurity>0</DocSecurity>
  <Lines>140</Lines>
  <Paragraphs>39</Paragraphs>
  <ScaleCrop>false</ScaleCrop>
  <Company/>
  <LinksUpToDate>false</LinksUpToDate>
  <CharactersWithSpaces>19844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 (1807432)</dc:creator>
  <cp:keywords/>
  <dc:description/>
  <cp:lastModifiedBy>Naseem Khan (1807432)</cp:lastModifiedBy>
  <cp:revision>1</cp:revision>
  <dcterms:created xsi:type="dcterms:W3CDTF">2021-07-23T13:23:00Z</dcterms:created>
  <dcterms:modified xsi:type="dcterms:W3CDTF">2021-07-23T13:24:00Z</dcterms:modified>
</cp:coreProperties>
</file>