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BB38B98" w:rsidR="00986B43" w:rsidRPr="00692C6E" w:rsidRDefault="00986B43" w:rsidP="005D3F07">
            <w:pPr>
              <w:overflowPunct/>
              <w:autoSpaceDE/>
              <w:autoSpaceDN/>
              <w:adjustRightInd/>
              <w:ind w:right="-957"/>
              <w:textAlignment w:val="auto"/>
              <w:rPr>
                <w:rFonts w:ascii="Times New Roman" w:hAnsi="Times New Roman" w:cs="Times New Roman"/>
                <w:b/>
                <w:color w:val="auto"/>
                <w:sz w:val="48"/>
              </w:rPr>
            </w:pPr>
            <w:r w:rsidRPr="00692C6E">
              <w:rPr>
                <w:rFonts w:ascii="Times New Roman" w:hAnsi="Times New Roman" w:cs="Times New Roman"/>
                <w:b/>
                <w:color w:val="auto"/>
                <w:sz w:val="48"/>
              </w:rPr>
              <w:t>Learner’s name:</w:t>
            </w:r>
            <w:r w:rsidR="00247265" w:rsidRPr="00692C6E">
              <w:rPr>
                <w:rFonts w:ascii="Times New Roman" w:hAnsi="Times New Roman" w:cs="Times New Roman"/>
                <w:b/>
                <w:color w:val="auto"/>
                <w:sz w:val="48"/>
              </w:rPr>
              <w:t xml:space="preserve"> </w:t>
            </w:r>
            <w:r w:rsidR="00700365" w:rsidRPr="00692C6E">
              <w:rPr>
                <w:rFonts w:ascii="Times New Roman" w:hAnsi="Times New Roman" w:cs="Times New Roman"/>
                <w:b/>
                <w:color w:val="auto"/>
                <w:sz w:val="48"/>
              </w:rPr>
              <w:t xml:space="preserve">Ceri Leah Hughes </w:t>
            </w:r>
          </w:p>
          <w:p w14:paraId="0B6CD0DB" w14:textId="689515B5" w:rsidR="009C337F" w:rsidRPr="00692C6E"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827C92D" w:rsidR="009C337F" w:rsidRPr="00692C6E" w:rsidRDefault="009C337F" w:rsidP="005D3F07">
            <w:pPr>
              <w:overflowPunct/>
              <w:autoSpaceDE/>
              <w:autoSpaceDN/>
              <w:adjustRightInd/>
              <w:ind w:right="-957"/>
              <w:textAlignment w:val="auto"/>
              <w:rPr>
                <w:rFonts w:ascii="Times New Roman" w:hAnsi="Times New Roman" w:cs="Times New Roman"/>
                <w:b/>
                <w:color w:val="auto"/>
                <w:sz w:val="24"/>
                <w:szCs w:val="24"/>
              </w:rPr>
            </w:pPr>
            <w:r w:rsidRPr="00692C6E">
              <w:rPr>
                <w:rFonts w:ascii="Times New Roman" w:hAnsi="Times New Roman" w:cs="Times New Roman"/>
                <w:b/>
                <w:color w:val="auto"/>
                <w:sz w:val="48"/>
              </w:rPr>
              <w:t>Email address:</w:t>
            </w:r>
            <w:r w:rsidR="00700365" w:rsidRPr="00692C6E">
              <w:rPr>
                <w:rFonts w:ascii="Times New Roman" w:hAnsi="Times New Roman" w:cs="Times New Roman"/>
                <w:b/>
                <w:color w:val="auto"/>
                <w:sz w:val="48"/>
              </w:rPr>
              <w:t xml:space="preserve"> </w:t>
            </w:r>
            <w:r w:rsidR="00700365" w:rsidRPr="00692C6E">
              <w:rPr>
                <w:rFonts w:ascii="Times New Roman" w:hAnsi="Times New Roman" w:cs="Times New Roman"/>
                <w:b/>
                <w:color w:val="auto"/>
                <w:sz w:val="48"/>
                <w:szCs w:val="48"/>
              </w:rPr>
              <w:t>cerilee1@hotmail.co.uk</w:t>
            </w:r>
          </w:p>
          <w:p w14:paraId="22E38809" w14:textId="77777777" w:rsidR="00986B43" w:rsidRPr="00692C6E" w:rsidRDefault="00986B43" w:rsidP="005D3F07">
            <w:pPr>
              <w:overflowPunct/>
              <w:autoSpaceDE/>
              <w:autoSpaceDN/>
              <w:adjustRightInd/>
              <w:ind w:right="-957"/>
              <w:textAlignment w:val="auto"/>
              <w:rPr>
                <w:rFonts w:ascii="Times New Roman" w:hAnsi="Times New Roman" w:cs="Times New Roman"/>
                <w:b/>
                <w:color w:val="auto"/>
                <w:sz w:val="48"/>
              </w:rPr>
            </w:pPr>
          </w:p>
          <w:p w14:paraId="3F5EC096" w14:textId="77777777" w:rsidR="00700365" w:rsidRPr="00692C6E" w:rsidRDefault="0085230E" w:rsidP="005D3F07">
            <w:pPr>
              <w:overflowPunct/>
              <w:autoSpaceDE/>
              <w:autoSpaceDN/>
              <w:adjustRightInd/>
              <w:ind w:right="-957"/>
              <w:textAlignment w:val="auto"/>
              <w:rPr>
                <w:rFonts w:ascii="Times New Roman" w:hAnsi="Times New Roman" w:cs="Times New Roman"/>
                <w:b/>
                <w:color w:val="auto"/>
                <w:sz w:val="48"/>
              </w:rPr>
            </w:pPr>
            <w:r w:rsidRPr="00692C6E">
              <w:rPr>
                <w:rFonts w:ascii="Times New Roman" w:hAnsi="Times New Roman" w:cs="Times New Roman"/>
                <w:b/>
                <w:color w:val="auto"/>
                <w:sz w:val="48"/>
              </w:rPr>
              <w:t>Learner’s University Registration</w:t>
            </w:r>
            <w:r w:rsidR="00F927A1" w:rsidRPr="00692C6E">
              <w:rPr>
                <w:rFonts w:ascii="Times New Roman" w:hAnsi="Times New Roman" w:cs="Times New Roman"/>
                <w:b/>
                <w:color w:val="auto"/>
                <w:sz w:val="48"/>
              </w:rPr>
              <w:t xml:space="preserve"> Number:</w:t>
            </w:r>
          </w:p>
          <w:p w14:paraId="0DE696B2" w14:textId="51FF048F" w:rsidR="00F927A1" w:rsidRPr="00692C6E" w:rsidRDefault="00700365" w:rsidP="005D3F07">
            <w:pPr>
              <w:overflowPunct/>
              <w:autoSpaceDE/>
              <w:autoSpaceDN/>
              <w:adjustRightInd/>
              <w:ind w:right="-957"/>
              <w:textAlignment w:val="auto"/>
              <w:rPr>
                <w:rFonts w:ascii="Times New Roman" w:hAnsi="Times New Roman" w:cs="Times New Roman"/>
                <w:b/>
                <w:color w:val="auto"/>
                <w:sz w:val="48"/>
                <w:szCs w:val="48"/>
              </w:rPr>
            </w:pPr>
            <w:r w:rsidRPr="00692C6E">
              <w:rPr>
                <w:rFonts w:ascii="Times New Roman" w:hAnsi="Times New Roman" w:cs="Times New Roman"/>
                <w:b/>
                <w:color w:val="auto"/>
                <w:sz w:val="48"/>
                <w:szCs w:val="48"/>
              </w:rPr>
              <w:t>2221744</w:t>
            </w:r>
          </w:p>
          <w:p w14:paraId="622FD17A" w14:textId="77777777" w:rsidR="0085230E" w:rsidRPr="00692C6E"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C75659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92C6E">
              <w:rPr>
                <w:rFonts w:ascii="Times New Roman" w:hAnsi="Times New Roman" w:cs="Times New Roman"/>
                <w:b/>
                <w:color w:val="auto"/>
                <w:sz w:val="48"/>
              </w:rPr>
              <w:t xml:space="preserve">Cohort: </w:t>
            </w:r>
            <w:r w:rsidR="00700365" w:rsidRPr="00692C6E">
              <w:rPr>
                <w:rFonts w:ascii="Times New Roman" w:hAnsi="Times New Roman" w:cs="Times New Roman"/>
                <w:b/>
                <w:color w:val="auto"/>
                <w:sz w:val="48"/>
              </w:rPr>
              <w:t>20</w:t>
            </w:r>
            <w:r w:rsidR="00AE6231" w:rsidRPr="00692C6E">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360FCEF4" w14:textId="21A81EFA" w:rsidR="0040230F" w:rsidRPr="0040230F" w:rsidRDefault="0040230F" w:rsidP="0040230F">
            <w:pPr>
              <w:overflowPunct/>
              <w:autoSpaceDE/>
              <w:autoSpaceDN/>
              <w:adjustRightInd/>
              <w:spacing w:after="160" w:line="276" w:lineRule="auto"/>
              <w:jc w:val="both"/>
              <w:textAlignment w:val="auto"/>
              <w:rPr>
                <w:b/>
                <w:bCs/>
                <w:color w:val="auto"/>
                <w:kern w:val="2"/>
                <w:sz w:val="24"/>
                <w:szCs w:val="24"/>
                <w:u w:val="single"/>
                <w:lang w:val="en-US" w:eastAsia="en-US"/>
              </w:rPr>
            </w:pPr>
            <w:r>
              <w:rPr>
                <w:b/>
                <w:bCs/>
                <w:color w:val="auto"/>
                <w:kern w:val="2"/>
                <w:sz w:val="24"/>
                <w:szCs w:val="24"/>
                <w:u w:val="single"/>
                <w:lang w:val="en-US" w:eastAsia="en-US"/>
              </w:rPr>
              <w:t>Answer</w:t>
            </w:r>
            <w:r w:rsidRPr="0040230F">
              <w:rPr>
                <w:b/>
                <w:bCs/>
                <w:color w:val="auto"/>
                <w:kern w:val="2"/>
                <w:sz w:val="24"/>
                <w:szCs w:val="24"/>
                <w:u w:val="single"/>
                <w:lang w:val="en-US" w:eastAsia="en-US"/>
              </w:rPr>
              <w:t>:</w:t>
            </w:r>
          </w:p>
          <w:p w14:paraId="17833864"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 xml:space="preserve">I will discuss relevant legislation, </w:t>
            </w:r>
            <w:proofErr w:type="gramStart"/>
            <w:r w:rsidRPr="0040230F">
              <w:rPr>
                <w:color w:val="auto"/>
                <w:kern w:val="2"/>
                <w:sz w:val="24"/>
                <w:szCs w:val="24"/>
                <w:lang w:val="en-US" w:eastAsia="en-US"/>
              </w:rPr>
              <w:t>policies</w:t>
            </w:r>
            <w:proofErr w:type="gramEnd"/>
            <w:r w:rsidRPr="0040230F">
              <w:rPr>
                <w:color w:val="auto"/>
                <w:kern w:val="2"/>
                <w:sz w:val="24"/>
                <w:szCs w:val="24"/>
                <w:lang w:val="en-US" w:eastAsia="en-US"/>
              </w:rPr>
              <w:t xml:space="preserve"> and procedures for safeguarding children, which is not my main area of work. I predominantly work with foster carers as a supervising social worker, in Wales. </w:t>
            </w:r>
          </w:p>
          <w:p w14:paraId="20170E53"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2F8D5042" w14:textId="5F229DB5"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 xml:space="preserve">I support foster carers within their role and supervise their practice. I use the ‘Wales Safeguarding’ App that covers ‘Procedures for children and adults at risk of abuse and neglect’, which set out all relevant safeguarding legislation, </w:t>
            </w:r>
            <w:proofErr w:type="gramStart"/>
            <w:r w:rsidRPr="0040230F">
              <w:rPr>
                <w:color w:val="auto"/>
                <w:kern w:val="2"/>
                <w:sz w:val="24"/>
                <w:szCs w:val="24"/>
                <w:lang w:val="en-US" w:eastAsia="en-US"/>
              </w:rPr>
              <w:t>policies</w:t>
            </w:r>
            <w:proofErr w:type="gramEnd"/>
            <w:r w:rsidRPr="0040230F">
              <w:rPr>
                <w:color w:val="auto"/>
                <w:kern w:val="2"/>
                <w:sz w:val="24"/>
                <w:szCs w:val="24"/>
                <w:lang w:val="en-US" w:eastAsia="en-US"/>
              </w:rPr>
              <w:t xml:space="preserve"> and procedures in Wales, as stated in the Organizational policy. It provides a clear understanding of what my role and responsibilities are as a social worker. It supports practitioners to identify, respond and address safeguarding concerns in accordance with The Social Services and Wellbeing (Wales) Act (SSWBA) 2014, Section 47 of the Children Act 1989, and Working Together to Safeguard People. All of which dictate the obligatory duty for Local Authorities to make enquiries when there is cause for concern about a child at risk. These framework’s support a strengths-based (</w:t>
            </w:r>
            <w:r w:rsidRPr="0040230F">
              <w:rPr>
                <w:color w:val="auto"/>
                <w:kern w:val="2"/>
                <w:sz w:val="24"/>
                <w:szCs w:val="24"/>
                <w:lang w:eastAsia="en-US"/>
              </w:rPr>
              <w:t xml:space="preserve">Social Care Institute for Excellence 2023) </w:t>
            </w:r>
            <w:r w:rsidRPr="0040230F">
              <w:rPr>
                <w:color w:val="auto"/>
                <w:kern w:val="2"/>
                <w:sz w:val="24"/>
                <w:szCs w:val="24"/>
                <w:lang w:val="en-US" w:eastAsia="en-US"/>
              </w:rPr>
              <w:t xml:space="preserve">and person-centered approach. The SSWBA 2014 defines a child at risk in section 139 (4) which also explores the need to prevent potential harm to a child. </w:t>
            </w:r>
          </w:p>
          <w:p w14:paraId="5B4CC01A"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2A729444" w14:textId="01BA9FA9"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 xml:space="preserve">The Safeguarding Procedures set out in SSWBA (2014), </w:t>
            </w:r>
            <w:proofErr w:type="gramStart"/>
            <w:r w:rsidRPr="0040230F">
              <w:rPr>
                <w:color w:val="auto"/>
                <w:kern w:val="2"/>
                <w:sz w:val="24"/>
                <w:szCs w:val="24"/>
                <w:lang w:val="en-US" w:eastAsia="en-US"/>
              </w:rPr>
              <w:t>promotes</w:t>
            </w:r>
            <w:proofErr w:type="gramEnd"/>
            <w:r w:rsidRPr="0040230F">
              <w:rPr>
                <w:color w:val="auto"/>
                <w:kern w:val="2"/>
                <w:sz w:val="24"/>
                <w:szCs w:val="24"/>
                <w:lang w:val="en-US" w:eastAsia="en-US"/>
              </w:rPr>
              <w:t xml:space="preserve"> collaboration and positive outcomes. It provides guidance for agencies to apply effective analysis in safeguarding assessments by ensuring that practitioners have acted in accordance with statutory ‘requirements, responsibilities, and expectations’ (Social Care Wales 2024). Local </w:t>
            </w:r>
            <w:r w:rsidRPr="0040230F">
              <w:rPr>
                <w:color w:val="auto"/>
                <w:kern w:val="2"/>
                <w:sz w:val="24"/>
                <w:szCs w:val="24"/>
                <w:lang w:val="en-US" w:eastAsia="en-US"/>
              </w:rPr>
              <w:lastRenderedPageBreak/>
              <w:t xml:space="preserve">safeguarding boards are responsible for ensuring that safeguarding arrangements are in place to prevent risk and protect both children and adults at risk. They regularly review the delivery of care and support and seek ways to enhance quality of life by raising awareness of effective practice principles. </w:t>
            </w:r>
          </w:p>
          <w:p w14:paraId="08AEC0FC"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332E3394"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When working with children, I apply my knowledge of The United Nations Convention on the Rights of the Child (UNCRC) which protects children’s rights in all aspects of their lives, irrespective of their individuality and diversity, which is widely explained in Article 2. The UNCRC set out principles to act in the best interest of the child (Article 3), promotes development (Article 6) and acknowledges a child’s right to be heard. I must always ensure that my practice does not breach the rights of the child.</w:t>
            </w:r>
          </w:p>
          <w:p w14:paraId="0E7D78CE"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7E90279C" w14:textId="1507B03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 xml:space="preserve">Despite safeguarding being paramount, my practice must still fall within the standards set out in the Data Protection Act 2018 which is an implementation of GDPR, a European Union Regulation. This does not prevent information from being shared where necessary. It provides a framework for practitioners to ensure that the information they share is appropriate, relevant, and necessary (Information Commissioner’s Office Nd). The Wales Accord on the Sharing of Personal Information (WASPI) supports us to meet data protection responsibilities in Wales (Welsh Government 2023). </w:t>
            </w:r>
          </w:p>
          <w:p w14:paraId="7B4C9563"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440BF1C6" w14:textId="240F424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 xml:space="preserve">The Welsh Language (Wales) Measure 2011 (Welsh Language Commissioner 2024) is legislation that promotes the standards of the Welsh language in Wales. I always ensure that individual preferred language is known and available to them. ‘More than just Words’ (Welsh Government 2015) prompts me to think of the wider context, considering geographical, </w:t>
            </w:r>
            <w:proofErr w:type="gramStart"/>
            <w:r w:rsidRPr="0040230F">
              <w:rPr>
                <w:color w:val="auto"/>
                <w:kern w:val="2"/>
                <w:sz w:val="24"/>
                <w:szCs w:val="24"/>
                <w:lang w:val="en-US" w:eastAsia="en-US"/>
              </w:rPr>
              <w:t>cultural</w:t>
            </w:r>
            <w:proofErr w:type="gramEnd"/>
            <w:r w:rsidRPr="0040230F">
              <w:rPr>
                <w:color w:val="auto"/>
                <w:kern w:val="2"/>
                <w:sz w:val="24"/>
                <w:szCs w:val="24"/>
                <w:lang w:val="en-US" w:eastAsia="en-US"/>
              </w:rPr>
              <w:t xml:space="preserve"> and societal factors in preventing and challenging crisis points with regards to safeguarding. </w:t>
            </w:r>
          </w:p>
          <w:p w14:paraId="194707AF"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54FE7461"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r w:rsidRPr="0040230F">
              <w:rPr>
                <w:color w:val="auto"/>
                <w:kern w:val="2"/>
                <w:sz w:val="24"/>
                <w:szCs w:val="24"/>
                <w:lang w:val="en-US" w:eastAsia="en-US"/>
              </w:rPr>
              <w:t xml:space="preserve">National Occupational Standards dictate the need for social workers to keep up to date with the law and be open to continuous learning. Thus, maintaining accountability and good practice. </w:t>
            </w:r>
          </w:p>
          <w:p w14:paraId="40C382BB" w14:textId="77777777" w:rsidR="0040230F" w:rsidRPr="0040230F" w:rsidRDefault="0040230F" w:rsidP="0040230F">
            <w:pPr>
              <w:overflowPunct/>
              <w:autoSpaceDE/>
              <w:autoSpaceDN/>
              <w:adjustRightInd/>
              <w:spacing w:after="160" w:line="276" w:lineRule="auto"/>
              <w:jc w:val="both"/>
              <w:textAlignment w:val="auto"/>
              <w:rPr>
                <w:color w:val="auto"/>
                <w:kern w:val="2"/>
                <w:sz w:val="24"/>
                <w:szCs w:val="24"/>
                <w:lang w:val="en-US" w:eastAsia="en-US"/>
              </w:rPr>
            </w:pPr>
          </w:p>
          <w:p w14:paraId="14883BA0" w14:textId="565E8DAC" w:rsidR="00FC0334" w:rsidRDefault="0040230F" w:rsidP="0040230F">
            <w:pPr>
              <w:overflowPunct/>
              <w:autoSpaceDE/>
              <w:autoSpaceDN/>
              <w:adjustRightInd/>
              <w:spacing w:after="160" w:line="276" w:lineRule="auto"/>
              <w:jc w:val="both"/>
              <w:textAlignment w:val="auto"/>
              <w:rPr>
                <w:sz w:val="24"/>
                <w:szCs w:val="24"/>
              </w:rPr>
            </w:pPr>
            <w:r w:rsidRPr="0040230F">
              <w:rPr>
                <w:color w:val="auto"/>
                <w:kern w:val="2"/>
                <w:sz w:val="24"/>
                <w:szCs w:val="24"/>
                <w:lang w:val="en-US" w:eastAsia="en-US"/>
              </w:rPr>
              <w:t>Word count: 5</w:t>
            </w:r>
            <w:r>
              <w:rPr>
                <w:color w:val="auto"/>
                <w:kern w:val="2"/>
                <w:sz w:val="24"/>
                <w:szCs w:val="24"/>
                <w:lang w:val="en-US" w:eastAsia="en-US"/>
              </w:rPr>
              <w:t>49</w:t>
            </w:r>
            <w:r w:rsidRPr="0040230F">
              <w:rPr>
                <w:color w:val="auto"/>
                <w:kern w:val="2"/>
                <w:sz w:val="24"/>
                <w:szCs w:val="24"/>
                <w:lang w:val="en-US" w:eastAsia="en-US"/>
              </w:rPr>
              <w:t xml:space="preserve">. </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9F89EC5" w14:textId="0248256E" w:rsidR="00361E90" w:rsidRPr="00361E90" w:rsidRDefault="00361E90" w:rsidP="00361E90">
            <w:pPr>
              <w:overflowPunct/>
              <w:autoSpaceDE/>
              <w:autoSpaceDN/>
              <w:adjustRightInd/>
              <w:spacing w:after="160" w:line="276" w:lineRule="auto"/>
              <w:jc w:val="both"/>
              <w:textAlignment w:val="auto"/>
              <w:rPr>
                <w:b/>
                <w:bCs/>
                <w:color w:val="auto"/>
                <w:kern w:val="2"/>
                <w:sz w:val="24"/>
                <w:szCs w:val="24"/>
                <w:u w:val="single"/>
                <w:lang w:val="en-US" w:eastAsia="en-US"/>
              </w:rPr>
            </w:pPr>
            <w:r>
              <w:rPr>
                <w:b/>
                <w:bCs/>
                <w:color w:val="auto"/>
                <w:kern w:val="2"/>
                <w:sz w:val="24"/>
                <w:szCs w:val="24"/>
                <w:u w:val="single"/>
                <w:lang w:val="en-US" w:eastAsia="en-US"/>
              </w:rPr>
              <w:t>Answer</w:t>
            </w:r>
            <w:r w:rsidRPr="00361E90">
              <w:rPr>
                <w:b/>
                <w:bCs/>
                <w:color w:val="auto"/>
                <w:kern w:val="2"/>
                <w:sz w:val="24"/>
                <w:szCs w:val="24"/>
                <w:u w:val="single"/>
                <w:lang w:val="en-US" w:eastAsia="en-US"/>
              </w:rPr>
              <w:t>:</w:t>
            </w:r>
          </w:p>
          <w:p w14:paraId="21EF9CF2" w14:textId="7AF0ED4C"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r w:rsidRPr="00361E90">
              <w:rPr>
                <w:color w:val="auto"/>
                <w:kern w:val="2"/>
                <w:sz w:val="24"/>
                <w:szCs w:val="24"/>
                <w:lang w:val="en-US" w:eastAsia="en-US"/>
              </w:rPr>
              <w:t xml:space="preserve">I will reflect on the differences between safeguarding in my main area of work supporting adults in comparison to working directly with children. This will involve safeguarding legislation, policies, and procedures. </w:t>
            </w:r>
          </w:p>
          <w:p w14:paraId="0064BE4B" w14:textId="77777777"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p>
          <w:p w14:paraId="33E4F693" w14:textId="77777777"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r w:rsidRPr="00361E90">
              <w:rPr>
                <w:color w:val="auto"/>
                <w:kern w:val="2"/>
                <w:sz w:val="24"/>
                <w:szCs w:val="24"/>
                <w:lang w:val="en-US" w:eastAsia="en-US"/>
              </w:rPr>
              <w:t xml:space="preserve">Safeguarding adults and children can sometimes involve conflicting rights. Whereby, the UNCRC was developed to solely protect the rights of children and young people, The European Convention of Human Rights (ECHR) protects adults which is incorporated in the Human Rights Act 1998 covering </w:t>
            </w:r>
            <w:proofErr w:type="gramStart"/>
            <w:r w:rsidRPr="00361E90">
              <w:rPr>
                <w:color w:val="auto"/>
                <w:kern w:val="2"/>
                <w:sz w:val="24"/>
                <w:szCs w:val="24"/>
                <w:lang w:val="en-US" w:eastAsia="en-US"/>
              </w:rPr>
              <w:t>all of</w:t>
            </w:r>
            <w:proofErr w:type="gramEnd"/>
            <w:r w:rsidRPr="00361E90">
              <w:rPr>
                <w:color w:val="auto"/>
                <w:kern w:val="2"/>
                <w:sz w:val="24"/>
                <w:szCs w:val="24"/>
                <w:lang w:val="en-US" w:eastAsia="en-US"/>
              </w:rPr>
              <w:t xml:space="preserve"> the UK (Equality and Human Rights Commission 2018). Families can often have conflicting wishes and conflicting rights which can make it very difficult to respond in the best interest of both parties. Section 126 (1) of the SSWBA 2014 defines an adult at risk.  Safeguarding is paramount above all else and surpasses the freedom of privacy in family life as stated in Article 8 of the ECHR. </w:t>
            </w:r>
          </w:p>
          <w:p w14:paraId="71D42923" w14:textId="77777777"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p>
          <w:p w14:paraId="733B13BB" w14:textId="77777777"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r w:rsidRPr="00361E90">
              <w:rPr>
                <w:color w:val="auto"/>
                <w:kern w:val="2"/>
                <w:sz w:val="24"/>
                <w:szCs w:val="24"/>
                <w:lang w:val="en-US" w:eastAsia="en-US"/>
              </w:rPr>
              <w:t xml:space="preserve">The difference between safeguarding children and adults is that of choice. When authorities are made aware of a child at risk, the authorities have a duty to act upon this and intervene whether they welcome their involvement or not. However, practitioners often refer to Gillick competence and Fraser Guidelines (NSPCC 2022) to determine an older young person’s capacity to make informed decisions about their lives by analysing their understanding of their circumstances. If an adult is a victim of domestic violence but refuses to accept support, authorities cannot assert intervention if that victim does not want it. Whereas, if a child is subject to domestic violence in the family home, the authorities have the right to remove the child and place them somewhere deemed safe. The authorities can do this under a Police Protection Order under Section 46 of the Children Act 1989. </w:t>
            </w:r>
          </w:p>
          <w:p w14:paraId="3C70DC0E" w14:textId="77777777"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p>
          <w:p w14:paraId="50B6C6F2" w14:textId="27A14A13"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r w:rsidRPr="00361E90">
              <w:rPr>
                <w:color w:val="auto"/>
                <w:kern w:val="2"/>
                <w:sz w:val="24"/>
                <w:szCs w:val="24"/>
                <w:lang w:val="en-US" w:eastAsia="en-US"/>
              </w:rPr>
              <w:t xml:space="preserve">The Mental Capacity Act 2005 enables practitioners to support adults at risk, to make informed decisions about their lives and how they receive care and support. In conjunction with the SSWBA 2014, the Mental Capacity Act 2005 supports adults to maintain their independence and have a sense of control. It is important to keep up to date with changing legislation and something I am mindful of is the Liberty Protection Safeguarding (LPS) which will replace the </w:t>
            </w:r>
            <w:r w:rsidRPr="00361E90">
              <w:rPr>
                <w:color w:val="auto"/>
                <w:kern w:val="2"/>
                <w:sz w:val="24"/>
                <w:szCs w:val="24"/>
                <w:lang w:val="en-US" w:eastAsia="en-US"/>
              </w:rPr>
              <w:lastRenderedPageBreak/>
              <w:t xml:space="preserve">Deprivation of Liberty Safeguards (DoLS) once enforced. The LPS will have all the Mental Capacity Act 2005 principles embedded within it and will apply to everyone over the age of 16. </w:t>
            </w:r>
          </w:p>
          <w:p w14:paraId="0EFB2528" w14:textId="77777777"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p>
          <w:p w14:paraId="53CD30F1" w14:textId="48320289"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r w:rsidRPr="00361E90">
              <w:rPr>
                <w:color w:val="auto"/>
                <w:kern w:val="2"/>
                <w:sz w:val="24"/>
                <w:szCs w:val="24"/>
                <w:lang w:val="en-US" w:eastAsia="en-US"/>
              </w:rPr>
              <w:t xml:space="preserve">In conclusion, adults who are deemed to have capacity can refuse support, even if their actions and unwise decisions are seen to be harmful to themselves. Nevertheless, if an adult’s actions impose risk on a child, authorities have the right to intervene. </w:t>
            </w:r>
          </w:p>
          <w:p w14:paraId="255EC328" w14:textId="77777777" w:rsid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p>
          <w:p w14:paraId="5C64731B" w14:textId="29BF4385" w:rsidR="00361E90" w:rsidRPr="00361E90" w:rsidRDefault="00361E90" w:rsidP="00361E90">
            <w:pPr>
              <w:overflowPunct/>
              <w:autoSpaceDE/>
              <w:autoSpaceDN/>
              <w:adjustRightInd/>
              <w:spacing w:after="160" w:line="276" w:lineRule="auto"/>
              <w:jc w:val="both"/>
              <w:textAlignment w:val="auto"/>
              <w:rPr>
                <w:color w:val="auto"/>
                <w:kern w:val="2"/>
                <w:sz w:val="24"/>
                <w:szCs w:val="24"/>
                <w:lang w:val="en-US" w:eastAsia="en-US"/>
              </w:rPr>
            </w:pPr>
            <w:r w:rsidRPr="00361E90">
              <w:rPr>
                <w:color w:val="auto"/>
                <w:kern w:val="2"/>
                <w:sz w:val="24"/>
                <w:szCs w:val="24"/>
                <w:lang w:val="en-US" w:eastAsia="en-US"/>
              </w:rPr>
              <w:t>Word count: 43</w:t>
            </w:r>
            <w:r>
              <w:rPr>
                <w:color w:val="auto"/>
                <w:kern w:val="2"/>
                <w:sz w:val="24"/>
                <w:szCs w:val="24"/>
                <w:lang w:val="en-US" w:eastAsia="en-US"/>
              </w:rPr>
              <w:t>5</w:t>
            </w:r>
            <w:r w:rsidRPr="00361E90">
              <w:rPr>
                <w:color w:val="auto"/>
                <w:kern w:val="2"/>
                <w:sz w:val="24"/>
                <w:szCs w:val="24"/>
                <w:lang w:val="en-US" w:eastAsia="en-US"/>
              </w:rPr>
              <w:t xml:space="preserve">. </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26AFFFD3" w:rsidR="00A5656A" w:rsidRDefault="00A5656A">
    <w:pPr>
      <w:pStyle w:val="Header"/>
    </w:pPr>
    <w:r>
      <w:t xml:space="preserve">Version </w:t>
    </w:r>
    <w:r w:rsidR="00DC2924">
      <w:t xml:space="preserve">1_Cohort </w:t>
    </w:r>
    <w:r w:rsidR="00700365">
      <w:t>20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E90"/>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230F"/>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C6E"/>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036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12FC"/>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C06"/>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1194</Words>
  <Characters>6507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Hughes</cp:lastModifiedBy>
  <cp:revision>7</cp:revision>
  <cp:lastPrinted>2020-02-11T19:20:00Z</cp:lastPrinted>
  <dcterms:created xsi:type="dcterms:W3CDTF">2022-10-19T14:53:00Z</dcterms:created>
  <dcterms:modified xsi:type="dcterms:W3CDTF">2024-02-14T12:04:00Z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