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97961" w14:textId="3115277D" w:rsidR="000E00A9" w:rsidRDefault="000E00A9" w:rsidP="000E00A9">
      <w:pPr>
        <w:spacing w:line="360" w:lineRule="auto"/>
        <w:jc w:val="center"/>
        <w:rPr>
          <w:rFonts w:ascii="Times New Roman" w:hAnsi="Times New Roman" w:cs="Times New Roman"/>
          <w:b/>
          <w:bCs/>
          <w:sz w:val="24"/>
          <w:szCs w:val="24"/>
        </w:rPr>
      </w:pPr>
    </w:p>
    <w:p w14:paraId="1398AD4C" w14:textId="633CE9A4" w:rsidR="000E00A9" w:rsidRDefault="000E00A9" w:rsidP="000E00A9">
      <w:pPr>
        <w:spacing w:line="360" w:lineRule="auto"/>
        <w:jc w:val="center"/>
        <w:rPr>
          <w:rFonts w:ascii="Times New Roman" w:hAnsi="Times New Roman" w:cs="Times New Roman"/>
          <w:b/>
          <w:bCs/>
          <w:sz w:val="24"/>
          <w:szCs w:val="24"/>
        </w:rPr>
      </w:pPr>
    </w:p>
    <w:p w14:paraId="32DC18CA" w14:textId="40AFB98D" w:rsidR="000E00A9" w:rsidRDefault="000E00A9" w:rsidP="000E00A9">
      <w:pPr>
        <w:spacing w:line="360" w:lineRule="auto"/>
        <w:jc w:val="center"/>
        <w:rPr>
          <w:rFonts w:ascii="Times New Roman" w:hAnsi="Times New Roman" w:cs="Times New Roman"/>
          <w:b/>
          <w:bCs/>
          <w:sz w:val="24"/>
          <w:szCs w:val="24"/>
        </w:rPr>
      </w:pPr>
    </w:p>
    <w:p w14:paraId="18DE4201" w14:textId="77777777" w:rsidR="000E00A9" w:rsidRDefault="000E00A9" w:rsidP="000E00A9">
      <w:pPr>
        <w:spacing w:line="360" w:lineRule="auto"/>
        <w:jc w:val="center"/>
        <w:rPr>
          <w:rFonts w:ascii="Times New Roman" w:hAnsi="Times New Roman" w:cs="Times New Roman"/>
          <w:b/>
          <w:bCs/>
          <w:sz w:val="24"/>
          <w:szCs w:val="24"/>
        </w:rPr>
      </w:pPr>
    </w:p>
    <w:p w14:paraId="6FAFE76A" w14:textId="447F1C98" w:rsidR="000E00A9" w:rsidRDefault="000E00A9" w:rsidP="000E00A9">
      <w:pPr>
        <w:spacing w:line="360" w:lineRule="auto"/>
        <w:jc w:val="center"/>
        <w:rPr>
          <w:rFonts w:ascii="Times New Roman" w:hAnsi="Times New Roman" w:cs="Times New Roman"/>
          <w:b/>
          <w:bCs/>
          <w:sz w:val="24"/>
          <w:szCs w:val="24"/>
        </w:rPr>
      </w:pPr>
    </w:p>
    <w:p w14:paraId="5B78D8F8" w14:textId="4628958F" w:rsidR="000E00A9" w:rsidRDefault="000E00A9" w:rsidP="000E00A9">
      <w:pPr>
        <w:spacing w:line="360" w:lineRule="auto"/>
        <w:jc w:val="center"/>
        <w:rPr>
          <w:rFonts w:ascii="Times New Roman" w:hAnsi="Times New Roman" w:cs="Times New Roman"/>
          <w:b/>
          <w:bCs/>
          <w:sz w:val="24"/>
          <w:szCs w:val="24"/>
        </w:rPr>
      </w:pPr>
    </w:p>
    <w:p w14:paraId="1DFE6545" w14:textId="77777777" w:rsidR="000E00A9" w:rsidRDefault="000E00A9" w:rsidP="000E00A9">
      <w:pPr>
        <w:spacing w:line="360" w:lineRule="auto"/>
        <w:jc w:val="center"/>
        <w:rPr>
          <w:rFonts w:ascii="Times New Roman" w:hAnsi="Times New Roman" w:cs="Times New Roman"/>
          <w:b/>
          <w:bCs/>
          <w:sz w:val="24"/>
          <w:szCs w:val="24"/>
        </w:rPr>
      </w:pPr>
    </w:p>
    <w:p w14:paraId="25C291E7" w14:textId="3463FF85" w:rsidR="000E00A9" w:rsidRDefault="000E00A9" w:rsidP="000E00A9">
      <w:pPr>
        <w:spacing w:line="360" w:lineRule="auto"/>
        <w:jc w:val="center"/>
        <w:rPr>
          <w:rFonts w:ascii="Times New Roman" w:hAnsi="Times New Roman" w:cs="Times New Roman"/>
          <w:b/>
          <w:bCs/>
          <w:sz w:val="24"/>
          <w:szCs w:val="24"/>
        </w:rPr>
      </w:pPr>
    </w:p>
    <w:p w14:paraId="7B4E586C" w14:textId="77777777" w:rsidR="000E00A9" w:rsidRDefault="000E00A9" w:rsidP="000E00A9">
      <w:pPr>
        <w:spacing w:line="360" w:lineRule="auto"/>
        <w:jc w:val="center"/>
        <w:rPr>
          <w:rFonts w:ascii="Times New Roman" w:hAnsi="Times New Roman" w:cs="Times New Roman"/>
          <w:b/>
          <w:bCs/>
          <w:sz w:val="24"/>
          <w:szCs w:val="24"/>
        </w:rPr>
      </w:pPr>
    </w:p>
    <w:p w14:paraId="3B22779F" w14:textId="77777777" w:rsidR="000E00A9" w:rsidRDefault="000E00A9" w:rsidP="000E00A9">
      <w:pPr>
        <w:spacing w:line="360" w:lineRule="auto"/>
        <w:jc w:val="center"/>
        <w:rPr>
          <w:rFonts w:ascii="Times New Roman" w:hAnsi="Times New Roman" w:cs="Times New Roman"/>
          <w:b/>
          <w:bCs/>
          <w:sz w:val="24"/>
          <w:szCs w:val="24"/>
        </w:rPr>
      </w:pPr>
    </w:p>
    <w:p w14:paraId="3453F27E" w14:textId="788A47D6" w:rsidR="000E00A9" w:rsidRPr="00007E6D" w:rsidRDefault="000E00A9" w:rsidP="000E00A9">
      <w:pPr>
        <w:spacing w:line="360" w:lineRule="auto"/>
        <w:jc w:val="center"/>
        <w:rPr>
          <w:rFonts w:ascii="Times New Roman" w:hAnsi="Times New Roman" w:cs="Times New Roman"/>
          <w:b/>
          <w:bCs/>
          <w:sz w:val="24"/>
          <w:szCs w:val="24"/>
        </w:rPr>
      </w:pPr>
      <w:r w:rsidRPr="00007E6D">
        <w:rPr>
          <w:rFonts w:ascii="Times New Roman" w:hAnsi="Times New Roman" w:cs="Times New Roman"/>
          <w:b/>
          <w:bCs/>
          <w:sz w:val="24"/>
          <w:szCs w:val="24"/>
        </w:rPr>
        <w:t xml:space="preserve">Analysis of the best practices of community engagement in a </w:t>
      </w:r>
      <w:r w:rsidR="008D736C">
        <w:rPr>
          <w:rFonts w:ascii="Times New Roman" w:hAnsi="Times New Roman" w:cs="Times New Roman"/>
          <w:b/>
          <w:bCs/>
          <w:sz w:val="24"/>
          <w:szCs w:val="24"/>
        </w:rPr>
        <w:t>project</w:t>
      </w:r>
    </w:p>
    <w:p w14:paraId="14AB6668" w14:textId="77777777" w:rsidR="000E00A9" w:rsidRPr="00007E6D" w:rsidRDefault="000E00A9" w:rsidP="000E00A9">
      <w:pPr>
        <w:spacing w:line="360" w:lineRule="auto"/>
        <w:ind w:firstLine="720"/>
        <w:contextualSpacing/>
        <w:rPr>
          <w:rFonts w:ascii="Times New Roman" w:hAnsi="Times New Roman" w:cs="Times New Roman"/>
          <w:sz w:val="24"/>
          <w:szCs w:val="24"/>
        </w:rPr>
      </w:pPr>
    </w:p>
    <w:p w14:paraId="0E846592" w14:textId="77777777" w:rsidR="000E00A9" w:rsidRPr="00007E6D" w:rsidRDefault="000E00A9" w:rsidP="000E00A9">
      <w:pPr>
        <w:spacing w:line="360" w:lineRule="auto"/>
        <w:contextualSpacing/>
        <w:jc w:val="center"/>
        <w:rPr>
          <w:rFonts w:ascii="Times New Roman" w:hAnsi="Times New Roman" w:cs="Times New Roman"/>
          <w:sz w:val="24"/>
          <w:szCs w:val="24"/>
        </w:rPr>
      </w:pPr>
      <w:r w:rsidRPr="00007E6D">
        <w:rPr>
          <w:rFonts w:ascii="Times New Roman" w:hAnsi="Times New Roman" w:cs="Times New Roman"/>
          <w:sz w:val="24"/>
          <w:szCs w:val="24"/>
        </w:rPr>
        <w:t>Student’s Name: Doru-Sorin Stavru</w:t>
      </w:r>
    </w:p>
    <w:p w14:paraId="083957F3" w14:textId="77777777" w:rsidR="000E00A9" w:rsidRPr="00007E6D" w:rsidRDefault="000E00A9" w:rsidP="000E00A9">
      <w:pPr>
        <w:spacing w:line="360" w:lineRule="auto"/>
        <w:contextualSpacing/>
        <w:jc w:val="center"/>
        <w:rPr>
          <w:rFonts w:ascii="Times New Roman" w:hAnsi="Times New Roman" w:cs="Times New Roman"/>
          <w:sz w:val="24"/>
          <w:szCs w:val="24"/>
        </w:rPr>
      </w:pPr>
      <w:r w:rsidRPr="00007E6D">
        <w:rPr>
          <w:rFonts w:ascii="Times New Roman" w:hAnsi="Times New Roman" w:cs="Times New Roman"/>
          <w:sz w:val="24"/>
          <w:szCs w:val="24"/>
        </w:rPr>
        <w:t>Student’s Number: 1922008</w:t>
      </w:r>
    </w:p>
    <w:p w14:paraId="1AEFCAD0" w14:textId="0C64E319" w:rsidR="000E00A9" w:rsidRPr="00007E6D" w:rsidRDefault="000E00A9" w:rsidP="000E00A9">
      <w:pPr>
        <w:spacing w:line="360" w:lineRule="auto"/>
        <w:contextualSpacing/>
        <w:jc w:val="center"/>
        <w:rPr>
          <w:rFonts w:ascii="Times New Roman" w:hAnsi="Times New Roman" w:cs="Times New Roman"/>
          <w:sz w:val="24"/>
          <w:szCs w:val="24"/>
        </w:rPr>
      </w:pPr>
      <w:r w:rsidRPr="00007E6D">
        <w:rPr>
          <w:rFonts w:ascii="Times New Roman" w:hAnsi="Times New Roman" w:cs="Times New Roman"/>
          <w:sz w:val="24"/>
          <w:szCs w:val="24"/>
        </w:rPr>
        <w:t>Module Title: Community Engagement</w:t>
      </w:r>
    </w:p>
    <w:p w14:paraId="0BD07160" w14:textId="77777777" w:rsidR="000E00A9" w:rsidRPr="00007E6D" w:rsidRDefault="000E00A9" w:rsidP="000E00A9">
      <w:pPr>
        <w:spacing w:line="360" w:lineRule="auto"/>
        <w:jc w:val="both"/>
        <w:rPr>
          <w:rFonts w:ascii="Times New Roman" w:hAnsi="Times New Roman" w:cs="Times New Roman"/>
          <w:b/>
          <w:bCs/>
          <w:sz w:val="24"/>
          <w:szCs w:val="24"/>
        </w:rPr>
      </w:pPr>
    </w:p>
    <w:p w14:paraId="569A3721" w14:textId="77777777" w:rsidR="000E00A9" w:rsidRPr="00007E6D" w:rsidRDefault="000E00A9" w:rsidP="000E00A9">
      <w:pPr>
        <w:spacing w:line="360" w:lineRule="auto"/>
        <w:jc w:val="both"/>
        <w:rPr>
          <w:rFonts w:ascii="Times New Roman" w:hAnsi="Times New Roman" w:cs="Times New Roman"/>
          <w:b/>
          <w:bCs/>
          <w:sz w:val="24"/>
          <w:szCs w:val="24"/>
        </w:rPr>
      </w:pPr>
    </w:p>
    <w:p w14:paraId="7541E339" w14:textId="77777777" w:rsidR="000E00A9" w:rsidRPr="00007E6D" w:rsidRDefault="000E00A9" w:rsidP="000E00A9">
      <w:pPr>
        <w:spacing w:line="360" w:lineRule="auto"/>
        <w:jc w:val="both"/>
        <w:rPr>
          <w:rFonts w:ascii="Times New Roman" w:hAnsi="Times New Roman" w:cs="Times New Roman"/>
          <w:b/>
          <w:bCs/>
          <w:sz w:val="24"/>
          <w:szCs w:val="24"/>
        </w:rPr>
      </w:pPr>
    </w:p>
    <w:p w14:paraId="7BB6F3AB" w14:textId="77777777" w:rsidR="000E00A9" w:rsidRPr="00007E6D" w:rsidRDefault="000E00A9" w:rsidP="000E00A9">
      <w:pPr>
        <w:spacing w:line="360" w:lineRule="auto"/>
        <w:jc w:val="both"/>
        <w:rPr>
          <w:rFonts w:ascii="Times New Roman" w:hAnsi="Times New Roman" w:cs="Times New Roman"/>
          <w:b/>
          <w:bCs/>
          <w:sz w:val="24"/>
          <w:szCs w:val="24"/>
        </w:rPr>
      </w:pPr>
    </w:p>
    <w:p w14:paraId="34AEF1F7" w14:textId="77777777" w:rsidR="000E00A9" w:rsidRPr="00007E6D" w:rsidRDefault="000E00A9" w:rsidP="000E00A9">
      <w:pPr>
        <w:spacing w:line="360" w:lineRule="auto"/>
        <w:jc w:val="both"/>
        <w:rPr>
          <w:rFonts w:ascii="Times New Roman" w:hAnsi="Times New Roman" w:cs="Times New Roman"/>
          <w:b/>
          <w:bCs/>
          <w:sz w:val="24"/>
          <w:szCs w:val="24"/>
        </w:rPr>
      </w:pPr>
    </w:p>
    <w:p w14:paraId="36855A89" w14:textId="07A30F8A" w:rsidR="000E00A9" w:rsidRPr="00007E6D" w:rsidRDefault="000E00A9" w:rsidP="000E00A9">
      <w:pPr>
        <w:spacing w:line="360" w:lineRule="auto"/>
        <w:jc w:val="both"/>
        <w:rPr>
          <w:rFonts w:ascii="Times New Roman" w:hAnsi="Times New Roman" w:cs="Times New Roman"/>
          <w:b/>
          <w:bCs/>
          <w:sz w:val="24"/>
          <w:szCs w:val="24"/>
        </w:rPr>
      </w:pPr>
    </w:p>
    <w:p w14:paraId="1597CE9E" w14:textId="7BDE40B0" w:rsidR="000E00A9" w:rsidRPr="00007E6D" w:rsidRDefault="000E00A9" w:rsidP="000E00A9">
      <w:pPr>
        <w:spacing w:line="360" w:lineRule="auto"/>
        <w:jc w:val="both"/>
        <w:rPr>
          <w:rFonts w:ascii="Times New Roman" w:hAnsi="Times New Roman" w:cs="Times New Roman"/>
          <w:b/>
          <w:bCs/>
          <w:sz w:val="24"/>
          <w:szCs w:val="24"/>
        </w:rPr>
      </w:pPr>
    </w:p>
    <w:p w14:paraId="1864901C" w14:textId="64F93280" w:rsidR="000E00A9" w:rsidRPr="00007E6D" w:rsidRDefault="000E00A9" w:rsidP="000E00A9">
      <w:pPr>
        <w:spacing w:line="360" w:lineRule="auto"/>
        <w:jc w:val="both"/>
        <w:rPr>
          <w:rFonts w:ascii="Times New Roman" w:hAnsi="Times New Roman" w:cs="Times New Roman"/>
          <w:b/>
          <w:bCs/>
          <w:sz w:val="24"/>
          <w:szCs w:val="24"/>
        </w:rPr>
      </w:pPr>
    </w:p>
    <w:p w14:paraId="47133868" w14:textId="4767DACD" w:rsidR="000E00A9" w:rsidRPr="00007E6D" w:rsidRDefault="000E00A9" w:rsidP="000E00A9">
      <w:pPr>
        <w:spacing w:line="360" w:lineRule="auto"/>
        <w:jc w:val="both"/>
        <w:rPr>
          <w:rFonts w:ascii="Times New Roman" w:hAnsi="Times New Roman" w:cs="Times New Roman"/>
          <w:b/>
          <w:bCs/>
          <w:sz w:val="24"/>
          <w:szCs w:val="24"/>
        </w:rPr>
      </w:pPr>
    </w:p>
    <w:p w14:paraId="7641CF53" w14:textId="55BB8FB9" w:rsidR="000E00A9" w:rsidRPr="00007E6D" w:rsidRDefault="000E00A9" w:rsidP="000E00A9">
      <w:pPr>
        <w:spacing w:line="360" w:lineRule="auto"/>
        <w:jc w:val="both"/>
        <w:rPr>
          <w:rFonts w:ascii="Times New Roman" w:hAnsi="Times New Roman" w:cs="Times New Roman"/>
          <w:b/>
          <w:bCs/>
          <w:sz w:val="24"/>
          <w:szCs w:val="24"/>
        </w:rPr>
      </w:pPr>
    </w:p>
    <w:p w14:paraId="52547EE7" w14:textId="77777777" w:rsidR="000E00A9" w:rsidRPr="00007E6D" w:rsidRDefault="000E00A9" w:rsidP="000E00A9">
      <w:pPr>
        <w:spacing w:line="360" w:lineRule="auto"/>
        <w:jc w:val="both"/>
        <w:rPr>
          <w:rFonts w:ascii="Times New Roman" w:hAnsi="Times New Roman" w:cs="Times New Roman"/>
          <w:b/>
          <w:bCs/>
          <w:sz w:val="24"/>
          <w:szCs w:val="24"/>
        </w:rPr>
      </w:pPr>
      <w:r w:rsidRPr="00007E6D">
        <w:rPr>
          <w:rFonts w:ascii="Times New Roman" w:hAnsi="Times New Roman" w:cs="Times New Roman"/>
          <w:b/>
          <w:bCs/>
          <w:sz w:val="24"/>
          <w:szCs w:val="24"/>
        </w:rPr>
        <w:lastRenderedPageBreak/>
        <w:t>Introduction</w:t>
      </w:r>
    </w:p>
    <w:p w14:paraId="0E955510" w14:textId="49445C9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Business organizations and projects generally require input from various sources in order to yield better results in the long run. Employees and shareholders alone cannot realize this on their own. Various stakeholders have to jump into this wagon for attainment of prosperity as a firm. This calls for community engagement. Community engagement (Moore, 2016) involves active participation and collaboration between the government, non-governmental organizations or the private sector and members of a community within a specific geographical area in facilitating a project. This is a wide concept that I will narrow down to three categories: in terms of planning and decision making, service delivery and development and community building. Service delivery entails matters regarding social amenities such as health or education. Planning and decision making may be invoked in the construction of infrastructure. Development and community building such as projects put in place to benefit the community thus input from the members is essential. One such project is the Ultra-Low Emission Zone (ULEZ).</w:t>
      </w:r>
    </w:p>
    <w:p w14:paraId="11ED04EE" w14:textId="5E62E4F6" w:rsidR="000E00A9" w:rsidRPr="00007E6D" w:rsidRDefault="000E00A9" w:rsidP="000E00A9">
      <w:pPr>
        <w:spacing w:line="360" w:lineRule="auto"/>
        <w:jc w:val="both"/>
        <w:rPr>
          <w:rFonts w:ascii="Times New Roman" w:hAnsi="Times New Roman" w:cs="Times New Roman"/>
          <w:b/>
          <w:bCs/>
          <w:sz w:val="24"/>
          <w:szCs w:val="24"/>
        </w:rPr>
      </w:pPr>
      <w:r w:rsidRPr="00007E6D">
        <w:rPr>
          <w:rFonts w:ascii="Times New Roman" w:hAnsi="Times New Roman" w:cs="Times New Roman"/>
          <w:b/>
          <w:bCs/>
          <w:sz w:val="24"/>
          <w:szCs w:val="24"/>
        </w:rPr>
        <w:t>Ultra-Low Emission Zone</w:t>
      </w:r>
    </w:p>
    <w:p w14:paraId="4CE2E831" w14:textId="3F12F882"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The Ultra-Low Emission Zone (ULEZ) is a concept that was introduced by the mayor in London in April 2019, to aid curb the menace of air pollution in Central London. Vehicles are required to have met the strict emission requirement for them to operate at the aforementioned region. The aim of ULEZ is to manage air pollution by restricting drivers from accessing highly polluted areas in unsuitable vehicles. This is applicable in the specified region, 7 days a week excluding Christmas. The set standard for vehicles such as cars, vans and mini buses stands at Euro 6 Emission standards for them to operate within Central London. Failure to abide by this standard attracts a charge or fine.  The ULEZ vehicle checker by Transport for London is used to verify whether the vehicle will be subject to the ULEZ charge or not. Efficiency of this project is achieved by the use of cameras which have been installed to record the entry and exit times.</w:t>
      </w:r>
    </w:p>
    <w:p w14:paraId="37F26F73" w14:textId="7777777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 xml:space="preserve">The ULEZ project is a means of community engagement as it requires communal effort for it to thrive and be implemented. There are several other ways in which community engagement can also be achieved. Philanthropy is one such way. When a business organization donates some of their products to the community, it provides an incentive for them to support the business. This in turn lays a foundation for a more loyal customer base. Some companies get involved by sponsoring community programs. Partnerships with non-profit organizations foster </w:t>
      </w:r>
      <w:r w:rsidRPr="00007E6D">
        <w:rPr>
          <w:rFonts w:ascii="Times New Roman" w:hAnsi="Times New Roman" w:cs="Times New Roman"/>
          <w:sz w:val="24"/>
          <w:szCs w:val="24"/>
        </w:rPr>
        <w:lastRenderedPageBreak/>
        <w:t xml:space="preserve">community engagement in a society as well. Educating and mobilization of community members is a crucial part that creates community engagement (Albertyn &amp; Daniels, 2019). Learning and research enables them to comprehend and chip in in communal acts that will benefit them as a people. Volunteering as a means of community engagement cannot go unnoticed. It is not surprising to see employees of a company engaging in assisting community members in tasks that may not necessarily be in their line of work. </w:t>
      </w:r>
    </w:p>
    <w:p w14:paraId="6AAA6BD6" w14:textId="7777777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Engagement of the community (Ritchie, 2021) made it easier for the mayor to implement this environmentally friendly project. Collaboration with local projects helped create and devise new approaches of constructing machinery that embodies the low emission zone policies. Moreover, this spearheaded the transition of all buses and taxis in London to zero emission capabilities. The undertaking of air quality audits ensured that pollution in Central London is under control.</w:t>
      </w:r>
    </w:p>
    <w:p w14:paraId="26F7E183" w14:textId="77777777" w:rsidR="000E00A9" w:rsidRPr="00007E6D" w:rsidRDefault="000E00A9" w:rsidP="000E00A9">
      <w:pPr>
        <w:spacing w:line="360" w:lineRule="auto"/>
        <w:jc w:val="both"/>
        <w:rPr>
          <w:rFonts w:ascii="Times New Roman" w:hAnsi="Times New Roman" w:cs="Times New Roman"/>
          <w:b/>
          <w:bCs/>
          <w:sz w:val="24"/>
          <w:szCs w:val="24"/>
        </w:rPr>
      </w:pPr>
      <w:r w:rsidRPr="00007E6D">
        <w:rPr>
          <w:rFonts w:ascii="Times New Roman" w:hAnsi="Times New Roman" w:cs="Times New Roman"/>
          <w:b/>
          <w:bCs/>
          <w:sz w:val="24"/>
          <w:szCs w:val="24"/>
        </w:rPr>
        <w:t>Importance and benefits of community engagement</w:t>
      </w:r>
    </w:p>
    <w:p w14:paraId="0E93203B" w14:textId="58EFDF24"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A project’s success is determined by the involvement of the organization leaders, stakeholders, facilitators, and citizens. The act of bringing these people on board allows for the resolving of the problem from a holistic point of view, considering all dynamics that come into play for a project’s goal to be realized. Stakeholders are people who affect or could be affected by the activities of the business organization. Such are employees and shareholders who thrive on community engagement. Stakeholder involvement (Russel, 2015) can be achieved by empowering and actively involving community members. This in turn creates a happy and healthy workforce that generates better performance in a project. Through community engagement, an organization can identify and understand the distinct values and priorities of the people that will inform the decision-making process (</w:t>
      </w:r>
      <w:r w:rsidRPr="00007E6D">
        <w:rPr>
          <w:rFonts w:ascii="Times New Roman" w:eastAsia="Times New Roman" w:hAnsi="Times New Roman" w:cs="Times New Roman"/>
          <w:sz w:val="24"/>
          <w:szCs w:val="24"/>
        </w:rPr>
        <w:t>Ife, 2013</w:t>
      </w:r>
      <w:r w:rsidRPr="00007E6D">
        <w:rPr>
          <w:rFonts w:ascii="Times New Roman" w:hAnsi="Times New Roman" w:cs="Times New Roman"/>
          <w:sz w:val="24"/>
          <w:szCs w:val="24"/>
        </w:rPr>
        <w:t xml:space="preserve">). Members of a community being diverse and with various beliefs and opinions will lead to cumulative ideas on how the project can be run to suit their needs. </w:t>
      </w:r>
    </w:p>
    <w:p w14:paraId="3D482F68" w14:textId="7777777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 xml:space="preserve">Community engagement helps appreciate the viewpoint of citizens on the project. The ULEZ project picked up due to its legitimacy and appreciation by the community as a solution to the looming air pollution crisis. The project’s credibility was enhanced due to this mutual understanding (Russell, 2017). Furthermore, the relationship between the mayor and the citizens of London was cemented and knowledge about the ULEZ project increased awareness and cooperation amongst the community members. This gave them time to ensure their vehicles were road worthy and not be caught unawares about the ULEZ demarcated region in </w:t>
      </w:r>
      <w:r w:rsidRPr="00007E6D">
        <w:rPr>
          <w:rFonts w:ascii="Times New Roman" w:hAnsi="Times New Roman" w:cs="Times New Roman"/>
          <w:sz w:val="24"/>
          <w:szCs w:val="24"/>
        </w:rPr>
        <w:lastRenderedPageBreak/>
        <w:t xml:space="preserve">London. Risks and benefits accrued to the project can easily be weighed and perceived with the involvement of community engagement (Idemudia, 2014). This will help inform certain decisions, shape or even re-strategize on how to carry out the task. A more informed manner of actualizing the project can then be drawn and adjustments made depending on the progress of the task at hand.  Different ideas and potential solutions will effortlessly be picked up and implemented to guarantee maximum results. </w:t>
      </w:r>
    </w:p>
    <w:p w14:paraId="154F768F" w14:textId="3A1B37E2"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There are numerous reasons why community engagement will be the best approach for companies, government or any business organization (Phillip, 2014) First, knowledge can be pulled from all angles possible and merged other than relying on the autonomous views of those handling the project. Secondly, there is promotion of diversity and inclusivity as various persons from different backgrounds and ethnicity can jump into the wagon and be a voice to the rest of their people. This factors in everyone’s opinion when conclusions are drawn.  Thirdly, practicality of the project is enhanced. Chances of the proposed draft being translated on the ground are high. Words are transformed into actions that are visible to the naked eye. For instance, the ULEZ project was achieved, and plans have since been made to expand it from Central London to North and South Circular Roads. Fourthly, there is efficiency and applicability of the project as people whom it affects equally participate in the realization of the project's goal. The community engagement in Central London enables its citizens time to transition to low emission vehicles in order for pollution to be controlled in the region.</w:t>
      </w:r>
    </w:p>
    <w:p w14:paraId="24841442" w14:textId="1D825ED0"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 xml:space="preserve">Fifthly, community engagement leads to a buildup of a network amongst members of a community. As the saying goes, the more the merrier. Unity and commitment from both ends help in implementation of the project within a short span of time than could have been scheduled in the plan. This creates a win-win situation as the community members stand to benefit from the communal project and move on to the next. Sixthly, freedom of expression by the citizens is upheld. Community members are free to air out their concerns, questions or proposals and seek redress for the same. Clarifications can be sought, and amendments suggested since they form a crucial part of the communal project. This minimizes the chances of boycotts transpiring. Lastly, the aspects of transparency, trust and accountability can be put to test (Ritchie et al., 2019). The community would be within its rights in holding the mayor accountable if the proposed ULEZ project had not come into fruition. This prevents any malice or embezzlement of funds from prevailing. </w:t>
      </w:r>
    </w:p>
    <w:p w14:paraId="2D7C18D2" w14:textId="77777777" w:rsidR="000E00A9" w:rsidRPr="00007E6D" w:rsidRDefault="000E00A9" w:rsidP="000E00A9">
      <w:pPr>
        <w:spacing w:line="360" w:lineRule="auto"/>
        <w:jc w:val="both"/>
        <w:rPr>
          <w:rFonts w:ascii="Times New Roman" w:hAnsi="Times New Roman" w:cs="Times New Roman"/>
          <w:sz w:val="24"/>
          <w:szCs w:val="24"/>
        </w:rPr>
      </w:pPr>
    </w:p>
    <w:p w14:paraId="7A09E650" w14:textId="5056658B" w:rsidR="000E00A9" w:rsidRPr="00007E6D" w:rsidRDefault="000E00A9" w:rsidP="000E00A9">
      <w:pPr>
        <w:spacing w:line="360" w:lineRule="auto"/>
        <w:jc w:val="both"/>
        <w:rPr>
          <w:rFonts w:ascii="Times New Roman" w:hAnsi="Times New Roman" w:cs="Times New Roman"/>
          <w:b/>
          <w:bCs/>
          <w:sz w:val="24"/>
          <w:szCs w:val="24"/>
        </w:rPr>
      </w:pPr>
      <w:r w:rsidRPr="00007E6D">
        <w:rPr>
          <w:rFonts w:ascii="Times New Roman" w:hAnsi="Times New Roman" w:cs="Times New Roman"/>
          <w:b/>
          <w:bCs/>
          <w:sz w:val="24"/>
          <w:szCs w:val="24"/>
        </w:rPr>
        <w:lastRenderedPageBreak/>
        <w:t>Use of the social media platform</w:t>
      </w:r>
    </w:p>
    <w:p w14:paraId="68D5900F" w14:textId="649FCEFF"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Social media is a powerful tool of communication that is easily accessible to majority of the people. Writing of blogs, articles, and websites to publish information on ULEZ has created awareness and provided a forum in which people can engage in this conversation at the comfort of their homes (Ritchie, 2021). This has taken over from face-to-face meetups that require a physical location, are time consuming and may not be a reliable means for every citizen. This has contributed to the exchange of ideas and according to residents with the freedom to air out their concerns and suggestions effectively. Social media has changed the dynamics in which progress of project can be tracked and information sourced at the users convenient (Cornish &amp; Ghosh, 2017). There has been a paradigm shift from the traditional approaches of committee meetings to the various social media platforms.</w:t>
      </w:r>
    </w:p>
    <w:p w14:paraId="6404792C" w14:textId="43915A5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However, it is important to note that the human component cannot be discarded even with the presence of social media. Interactions between business personnel and the community members improves one's interpersonal skills such as effective communication, teamwork, problem solving skills, confidence, critical and creative thinking (</w:t>
      </w:r>
      <w:r w:rsidRPr="00007E6D">
        <w:rPr>
          <w:rFonts w:ascii="Times New Roman" w:eastAsia="Times New Roman" w:hAnsi="Times New Roman" w:cs="Times New Roman"/>
          <w:sz w:val="24"/>
          <w:szCs w:val="24"/>
        </w:rPr>
        <w:t>Moore et al., 2016</w:t>
      </w:r>
      <w:r w:rsidRPr="00007E6D">
        <w:rPr>
          <w:rFonts w:ascii="Times New Roman" w:hAnsi="Times New Roman" w:cs="Times New Roman"/>
          <w:sz w:val="24"/>
          <w:szCs w:val="24"/>
        </w:rPr>
        <w:t>). These skills cannot be harnessed if there is complete reliance on social media. Furthermore, information accessed may face the danger of being unreliable if information is not accessed from a credible source.</w:t>
      </w:r>
    </w:p>
    <w:p w14:paraId="1AA97224" w14:textId="77777777" w:rsidR="000E00A9" w:rsidRPr="00007E6D" w:rsidRDefault="000E00A9" w:rsidP="000E00A9">
      <w:pPr>
        <w:spacing w:line="360" w:lineRule="auto"/>
        <w:jc w:val="both"/>
        <w:rPr>
          <w:rFonts w:ascii="Times New Roman" w:hAnsi="Times New Roman" w:cs="Times New Roman"/>
          <w:b/>
          <w:bCs/>
          <w:sz w:val="24"/>
          <w:szCs w:val="24"/>
        </w:rPr>
      </w:pPr>
      <w:r w:rsidRPr="00007E6D">
        <w:rPr>
          <w:rFonts w:ascii="Times New Roman" w:hAnsi="Times New Roman" w:cs="Times New Roman"/>
          <w:b/>
          <w:bCs/>
          <w:sz w:val="24"/>
          <w:szCs w:val="24"/>
        </w:rPr>
        <w:t>Employee training in community engagement</w:t>
      </w:r>
    </w:p>
    <w:p w14:paraId="718C8ACB" w14:textId="7777777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 xml:space="preserve">Training of the employees equips them with the knowledge and skills necessary to carry out the operation. The eagerness to learn is a trait that easily enables grasping of concepts in the workplace. Employee training is mandatory as it enables them to relay quality information to the general public. Knowledge is diversified and spread to the citizens (Hamer &amp; Box, 2020). Civic education is facilitated to the residents which supports transparency in leadership. Having all relevant information pertaining to the initiative enables the residents to question, challenge, suggest and actively participate in decision making processes. </w:t>
      </w:r>
    </w:p>
    <w:p w14:paraId="37B58508" w14:textId="7777777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 xml:space="preserve">In addition to knowledge on the initiative, employees are also trained in several sensitive matters that touch on the community. One such matter is multiculturalism. A community is composed of various people from diverse ethnicities and backgrounds. This influences their way of life otherwise known as culture. Cultures differ amongst people and some ways may be a bit similar. Multiculturalism is therefore the diversity in cultures in a society. This dictates why a certain category of people do things in a specific way. Employees are trained to </w:t>
      </w:r>
      <w:r w:rsidRPr="00007E6D">
        <w:rPr>
          <w:rFonts w:ascii="Times New Roman" w:hAnsi="Times New Roman" w:cs="Times New Roman"/>
          <w:sz w:val="24"/>
          <w:szCs w:val="24"/>
        </w:rPr>
        <w:lastRenderedPageBreak/>
        <w:t>appreciate and acknowledge multiculturalism (Ritchie, 2021). Embracing the versatility in cultures enables them to take into consideration viewpoints of the citizens.</w:t>
      </w:r>
    </w:p>
    <w:p w14:paraId="49BD6457" w14:textId="77777777" w:rsidR="000E00A9" w:rsidRPr="00007E6D" w:rsidRDefault="000E00A9" w:rsidP="000E00A9">
      <w:pPr>
        <w:spacing w:line="360" w:lineRule="auto"/>
        <w:jc w:val="both"/>
        <w:rPr>
          <w:rFonts w:ascii="Times New Roman" w:hAnsi="Times New Roman" w:cs="Times New Roman"/>
          <w:b/>
          <w:bCs/>
          <w:sz w:val="24"/>
          <w:szCs w:val="24"/>
        </w:rPr>
      </w:pPr>
      <w:r w:rsidRPr="00007E6D">
        <w:rPr>
          <w:rFonts w:ascii="Times New Roman" w:hAnsi="Times New Roman" w:cs="Times New Roman"/>
          <w:b/>
          <w:bCs/>
          <w:sz w:val="24"/>
          <w:szCs w:val="24"/>
        </w:rPr>
        <w:t>Recommendations and conclusion</w:t>
      </w:r>
    </w:p>
    <w:p w14:paraId="01BF2EAF" w14:textId="47E8878E"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Companies should consider community engagement as a strategy to enrich and make their firm competition and reputable. Business models are design to cater to the public needs and there is no better way of maximizing this other than actively involving the community you operate in. Partnerships between companies, the government, non- governmental organizations, and the community serve in achievement of the United Nations sustainability development goals that focus on survival mechanisms such as energy and heath. Expanding the enabling environment is vital for business corporations (Kim &amp; Sarna, 2018). Community engagement helps build up a solid consumer base for the company to enhance efficient service delivery. Methodology is important especially for the private sector as it assess the input and output of their investments and share the results by use of reports.</w:t>
      </w:r>
    </w:p>
    <w:p w14:paraId="1E6E9138" w14:textId="5B242D45"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Projects facilitated by the government should reaffirm long term commitment to partnerships with the residents. Public- private partnership can tender for initiatives and consolidate the existing collaborations to ensure sustained commitment and goose from business organizations. Financial support can also be included to aid in acquiring of resources necessary to facilitate the project to completion. This ensures that all costs are catered for and the project is able to run through within the scheduled period (Boote, Telford &amp; Cooper, 2020). Funding across departments can also be encouraged to cumulate more funds. Engaging in more fund’s creation methods helps the local authorities to retain more proceeds of capital sales for spending on public or private partnerships.</w:t>
      </w:r>
    </w:p>
    <w:p w14:paraId="12C5DA2E" w14:textId="77777777" w:rsidR="000E00A9" w:rsidRPr="00007E6D" w:rsidRDefault="000E00A9" w:rsidP="000E00A9">
      <w:pPr>
        <w:spacing w:line="360" w:lineRule="auto"/>
        <w:jc w:val="both"/>
        <w:rPr>
          <w:rFonts w:ascii="Times New Roman" w:hAnsi="Times New Roman" w:cs="Times New Roman"/>
          <w:sz w:val="24"/>
          <w:szCs w:val="24"/>
        </w:rPr>
      </w:pPr>
      <w:r w:rsidRPr="00007E6D">
        <w:rPr>
          <w:rFonts w:ascii="Times New Roman" w:hAnsi="Times New Roman" w:cs="Times New Roman"/>
          <w:sz w:val="24"/>
          <w:szCs w:val="24"/>
        </w:rPr>
        <w:t xml:space="preserve">In conclusion, community engagement serves to achieve both the interests of the concerned organization as well as the community making it mutually satisfactory. One just needs to identify the problem, the target community, gather views from the community for easy decision making, use the most effective methodology to use then engage the community in finding possible solutions. This is an essential part in business administration that is guaranteed to produce outstanding results. </w:t>
      </w:r>
    </w:p>
    <w:p w14:paraId="4B4FD01B" w14:textId="77777777" w:rsidR="000E00A9" w:rsidRPr="00007E6D" w:rsidRDefault="000E00A9" w:rsidP="000E00A9">
      <w:pPr>
        <w:spacing w:line="360" w:lineRule="auto"/>
        <w:jc w:val="both"/>
        <w:rPr>
          <w:rFonts w:ascii="Times New Roman" w:hAnsi="Times New Roman" w:cs="Times New Roman"/>
          <w:sz w:val="24"/>
          <w:szCs w:val="24"/>
        </w:rPr>
      </w:pPr>
    </w:p>
    <w:p w14:paraId="4FEF7AE4" w14:textId="77777777" w:rsidR="000E00A9" w:rsidRPr="00007E6D" w:rsidRDefault="000E00A9" w:rsidP="000E00A9">
      <w:pPr>
        <w:spacing w:line="360" w:lineRule="auto"/>
        <w:jc w:val="both"/>
        <w:rPr>
          <w:rFonts w:ascii="Times New Roman" w:hAnsi="Times New Roman" w:cs="Times New Roman"/>
          <w:sz w:val="24"/>
          <w:szCs w:val="24"/>
        </w:rPr>
      </w:pPr>
    </w:p>
    <w:p w14:paraId="3ABE4211" w14:textId="77777777" w:rsidR="000E00A9" w:rsidRPr="00007E6D" w:rsidRDefault="000E00A9" w:rsidP="000E00A9">
      <w:pPr>
        <w:spacing w:line="360" w:lineRule="auto"/>
        <w:jc w:val="center"/>
        <w:rPr>
          <w:rFonts w:ascii="Times New Roman" w:hAnsi="Times New Roman" w:cs="Times New Roman"/>
          <w:sz w:val="24"/>
          <w:szCs w:val="24"/>
        </w:rPr>
      </w:pPr>
    </w:p>
    <w:p w14:paraId="22E4090E" w14:textId="15E985CA" w:rsidR="000E00A9" w:rsidRPr="00007E6D" w:rsidRDefault="000E00A9" w:rsidP="000E00A9">
      <w:pPr>
        <w:spacing w:line="360" w:lineRule="auto"/>
        <w:rPr>
          <w:rFonts w:ascii="Times New Roman" w:hAnsi="Times New Roman" w:cs="Times New Roman"/>
          <w:b/>
          <w:bCs/>
          <w:sz w:val="24"/>
          <w:szCs w:val="24"/>
        </w:rPr>
      </w:pPr>
      <w:r w:rsidRPr="00007E6D">
        <w:rPr>
          <w:rFonts w:ascii="Times New Roman" w:hAnsi="Times New Roman" w:cs="Times New Roman"/>
          <w:b/>
          <w:bCs/>
          <w:sz w:val="24"/>
          <w:szCs w:val="24"/>
        </w:rPr>
        <w:lastRenderedPageBreak/>
        <w:t>Reference List</w:t>
      </w:r>
    </w:p>
    <w:p w14:paraId="213C1323" w14:textId="77777777" w:rsidR="000E00A9" w:rsidRPr="00007E6D" w:rsidRDefault="000E00A9" w:rsidP="000E00A9">
      <w:pPr>
        <w:spacing w:line="360" w:lineRule="auto"/>
        <w:ind w:left="993" w:hanging="633"/>
        <w:jc w:val="both"/>
        <w:rPr>
          <w:rFonts w:ascii="Times New Roman" w:hAnsi="Times New Roman" w:cs="Times New Roman"/>
          <w:sz w:val="24"/>
          <w:szCs w:val="24"/>
        </w:rPr>
      </w:pPr>
      <w:r w:rsidRPr="00007E6D">
        <w:rPr>
          <w:rFonts w:ascii="Times New Roman" w:hAnsi="Times New Roman" w:cs="Times New Roman"/>
          <w:sz w:val="24"/>
          <w:szCs w:val="24"/>
        </w:rPr>
        <w:t>Albertyn, R., &amp; Daniels, P. (2019). Research within the context of community engagement. </w:t>
      </w:r>
      <w:r w:rsidRPr="00007E6D">
        <w:rPr>
          <w:rFonts w:ascii="Times New Roman" w:hAnsi="Times New Roman" w:cs="Times New Roman"/>
          <w:i/>
          <w:iCs/>
          <w:sz w:val="24"/>
          <w:szCs w:val="24"/>
        </w:rPr>
        <w:t>Higher education in South Africa: A scholarly look behind the scenes</w:t>
      </w:r>
      <w:r w:rsidRPr="00007E6D">
        <w:rPr>
          <w:rFonts w:ascii="Times New Roman" w:hAnsi="Times New Roman" w:cs="Times New Roman"/>
          <w:sz w:val="24"/>
          <w:szCs w:val="24"/>
        </w:rPr>
        <w:t>, 409-428.</w:t>
      </w:r>
    </w:p>
    <w:p w14:paraId="18B6F045" w14:textId="77777777" w:rsidR="000E00A9" w:rsidRPr="00007E6D" w:rsidRDefault="000E00A9" w:rsidP="000E00A9">
      <w:pPr>
        <w:spacing w:line="360" w:lineRule="auto"/>
        <w:ind w:left="993" w:hanging="633"/>
        <w:jc w:val="both"/>
        <w:rPr>
          <w:rFonts w:ascii="Times New Roman" w:hAnsi="Times New Roman" w:cs="Times New Roman"/>
          <w:sz w:val="24"/>
          <w:szCs w:val="24"/>
        </w:rPr>
      </w:pPr>
      <w:r w:rsidRPr="00007E6D">
        <w:rPr>
          <w:rFonts w:ascii="Times New Roman" w:hAnsi="Times New Roman" w:cs="Times New Roman"/>
          <w:sz w:val="24"/>
          <w:szCs w:val="24"/>
        </w:rPr>
        <w:t>Boote, J., Telford, R., &amp; Cooper, C. (2020). Consumer involvement in health research: a review and research agenda. </w:t>
      </w:r>
      <w:r w:rsidRPr="00007E6D">
        <w:rPr>
          <w:rFonts w:ascii="Times New Roman" w:hAnsi="Times New Roman" w:cs="Times New Roman"/>
          <w:i/>
          <w:iCs/>
          <w:sz w:val="24"/>
          <w:szCs w:val="24"/>
        </w:rPr>
        <w:t>Health policy</w:t>
      </w:r>
      <w:r w:rsidRPr="00007E6D">
        <w:rPr>
          <w:rFonts w:ascii="Times New Roman" w:hAnsi="Times New Roman" w:cs="Times New Roman"/>
          <w:sz w:val="24"/>
          <w:szCs w:val="24"/>
        </w:rPr>
        <w:t>, </w:t>
      </w:r>
      <w:r w:rsidRPr="00007E6D">
        <w:rPr>
          <w:rFonts w:ascii="Times New Roman" w:hAnsi="Times New Roman" w:cs="Times New Roman"/>
          <w:i/>
          <w:iCs/>
          <w:sz w:val="24"/>
          <w:szCs w:val="24"/>
        </w:rPr>
        <w:t>61</w:t>
      </w:r>
      <w:r w:rsidRPr="00007E6D">
        <w:rPr>
          <w:rFonts w:ascii="Times New Roman" w:hAnsi="Times New Roman" w:cs="Times New Roman"/>
          <w:sz w:val="24"/>
          <w:szCs w:val="24"/>
        </w:rPr>
        <w:t>(2), 213-236.</w:t>
      </w:r>
    </w:p>
    <w:p w14:paraId="3D2C56A4" w14:textId="77777777" w:rsidR="000E00A9" w:rsidRPr="00007E6D" w:rsidRDefault="000E00A9" w:rsidP="000E00A9">
      <w:pPr>
        <w:spacing w:line="360" w:lineRule="auto"/>
        <w:ind w:left="993" w:hanging="633"/>
        <w:jc w:val="both"/>
        <w:rPr>
          <w:rFonts w:ascii="Times New Roman" w:hAnsi="Times New Roman" w:cs="Times New Roman"/>
          <w:sz w:val="24"/>
          <w:szCs w:val="24"/>
        </w:rPr>
      </w:pPr>
      <w:r w:rsidRPr="00007E6D">
        <w:rPr>
          <w:rFonts w:ascii="Times New Roman" w:hAnsi="Times New Roman" w:cs="Times New Roman"/>
          <w:sz w:val="24"/>
          <w:szCs w:val="24"/>
        </w:rPr>
        <w:t>Cornish, F., &amp; Ghosh, R. (2017). The necessary contradictions of ‘community-led’health promotion: a case study of HIV prevention in an Indian red light district. </w:t>
      </w:r>
      <w:r w:rsidRPr="00007E6D">
        <w:rPr>
          <w:rFonts w:ascii="Times New Roman" w:hAnsi="Times New Roman" w:cs="Times New Roman"/>
          <w:i/>
          <w:iCs/>
          <w:sz w:val="24"/>
          <w:szCs w:val="24"/>
        </w:rPr>
        <w:t>Social science &amp; medicine</w:t>
      </w:r>
      <w:r w:rsidRPr="00007E6D">
        <w:rPr>
          <w:rFonts w:ascii="Times New Roman" w:hAnsi="Times New Roman" w:cs="Times New Roman"/>
          <w:sz w:val="24"/>
          <w:szCs w:val="24"/>
        </w:rPr>
        <w:t>, </w:t>
      </w:r>
      <w:r w:rsidRPr="00007E6D">
        <w:rPr>
          <w:rFonts w:ascii="Times New Roman" w:hAnsi="Times New Roman" w:cs="Times New Roman"/>
          <w:i/>
          <w:iCs/>
          <w:sz w:val="24"/>
          <w:szCs w:val="24"/>
        </w:rPr>
        <w:t>64</w:t>
      </w:r>
      <w:r w:rsidRPr="00007E6D">
        <w:rPr>
          <w:rFonts w:ascii="Times New Roman" w:hAnsi="Times New Roman" w:cs="Times New Roman"/>
          <w:sz w:val="24"/>
          <w:szCs w:val="24"/>
        </w:rPr>
        <w:t>(2), 496-507.</w:t>
      </w:r>
    </w:p>
    <w:p w14:paraId="6904A7AB" w14:textId="77777777" w:rsidR="000E00A9" w:rsidRPr="00007E6D" w:rsidRDefault="000E00A9" w:rsidP="000E00A9">
      <w:pPr>
        <w:shd w:val="clear" w:color="auto" w:fill="FFFFFF"/>
        <w:spacing w:after="0" w:line="360" w:lineRule="auto"/>
        <w:ind w:left="993" w:hanging="633"/>
        <w:textAlignment w:val="baseline"/>
        <w:rPr>
          <w:rFonts w:ascii="Times New Roman" w:hAnsi="Times New Roman" w:cs="Times New Roman"/>
          <w:sz w:val="24"/>
          <w:szCs w:val="24"/>
        </w:rPr>
      </w:pPr>
      <w:r w:rsidRPr="00007E6D">
        <w:rPr>
          <w:rFonts w:ascii="Times New Roman" w:hAnsi="Times New Roman" w:cs="Times New Roman"/>
          <w:sz w:val="24"/>
          <w:szCs w:val="24"/>
        </w:rPr>
        <w:t>Hamer, M., &amp; Box, V. (2020). An evaluation of the development and functioning of the Boscombe network for change, a health alliance or partnership for health in Dorset. </w:t>
      </w:r>
      <w:r w:rsidRPr="00007E6D">
        <w:rPr>
          <w:rFonts w:ascii="Times New Roman" w:hAnsi="Times New Roman" w:cs="Times New Roman"/>
          <w:i/>
          <w:iCs/>
          <w:sz w:val="24"/>
          <w:szCs w:val="24"/>
        </w:rPr>
        <w:t>Health education journal</w:t>
      </w:r>
      <w:r w:rsidRPr="00007E6D">
        <w:rPr>
          <w:rFonts w:ascii="Times New Roman" w:hAnsi="Times New Roman" w:cs="Times New Roman"/>
          <w:sz w:val="24"/>
          <w:szCs w:val="24"/>
        </w:rPr>
        <w:t>, </w:t>
      </w:r>
      <w:r w:rsidRPr="00007E6D">
        <w:rPr>
          <w:rFonts w:ascii="Times New Roman" w:hAnsi="Times New Roman" w:cs="Times New Roman"/>
          <w:i/>
          <w:iCs/>
          <w:sz w:val="24"/>
          <w:szCs w:val="24"/>
        </w:rPr>
        <w:t>59</w:t>
      </w:r>
      <w:r w:rsidRPr="00007E6D">
        <w:rPr>
          <w:rFonts w:ascii="Times New Roman" w:hAnsi="Times New Roman" w:cs="Times New Roman"/>
          <w:sz w:val="24"/>
          <w:szCs w:val="24"/>
        </w:rPr>
        <w:t>(3), 238-252.</w:t>
      </w:r>
    </w:p>
    <w:p w14:paraId="72A14002" w14:textId="77777777" w:rsidR="000E00A9" w:rsidRPr="00007E6D" w:rsidRDefault="000E00A9" w:rsidP="000E00A9">
      <w:pPr>
        <w:shd w:val="clear" w:color="auto" w:fill="FFFFFF"/>
        <w:spacing w:after="0" w:line="360" w:lineRule="auto"/>
        <w:ind w:left="993" w:hanging="633"/>
        <w:textAlignment w:val="baseline"/>
        <w:rPr>
          <w:rFonts w:ascii="Times New Roman" w:hAnsi="Times New Roman" w:cs="Times New Roman"/>
          <w:sz w:val="24"/>
          <w:szCs w:val="24"/>
        </w:rPr>
      </w:pPr>
      <w:r w:rsidRPr="00007E6D">
        <w:rPr>
          <w:rFonts w:ascii="Times New Roman" w:hAnsi="Times New Roman" w:cs="Times New Roman"/>
          <w:sz w:val="24"/>
          <w:szCs w:val="24"/>
        </w:rPr>
        <w:t>Idemudia, U. (2014). Corporate-community engagement strategies in the Niger Delta: Some critical reflections’. </w:t>
      </w:r>
      <w:r w:rsidRPr="00007E6D">
        <w:rPr>
          <w:rFonts w:ascii="Times New Roman" w:hAnsi="Times New Roman" w:cs="Times New Roman"/>
          <w:i/>
          <w:iCs/>
          <w:sz w:val="24"/>
          <w:szCs w:val="24"/>
        </w:rPr>
        <w:t>The Extractive Industries and Society</w:t>
      </w:r>
      <w:r w:rsidRPr="00007E6D">
        <w:rPr>
          <w:rFonts w:ascii="Times New Roman" w:hAnsi="Times New Roman" w:cs="Times New Roman"/>
          <w:sz w:val="24"/>
          <w:szCs w:val="24"/>
        </w:rPr>
        <w:t>, </w:t>
      </w:r>
      <w:r w:rsidRPr="00007E6D">
        <w:rPr>
          <w:rFonts w:ascii="Times New Roman" w:hAnsi="Times New Roman" w:cs="Times New Roman"/>
          <w:i/>
          <w:iCs/>
          <w:sz w:val="24"/>
          <w:szCs w:val="24"/>
        </w:rPr>
        <w:t>1</w:t>
      </w:r>
      <w:r w:rsidRPr="00007E6D">
        <w:rPr>
          <w:rFonts w:ascii="Times New Roman" w:hAnsi="Times New Roman" w:cs="Times New Roman"/>
          <w:sz w:val="24"/>
          <w:szCs w:val="24"/>
        </w:rPr>
        <w:t>(2), 154-162.</w:t>
      </w:r>
    </w:p>
    <w:p w14:paraId="2F21745B" w14:textId="77777777" w:rsidR="000E00A9" w:rsidRPr="00007E6D" w:rsidRDefault="000E00A9" w:rsidP="000E00A9">
      <w:pPr>
        <w:spacing w:line="360" w:lineRule="auto"/>
        <w:ind w:left="993" w:hanging="633"/>
        <w:jc w:val="both"/>
        <w:rPr>
          <w:rFonts w:ascii="Times New Roman" w:eastAsia="Times New Roman" w:hAnsi="Times New Roman" w:cs="Times New Roman"/>
          <w:sz w:val="24"/>
          <w:szCs w:val="24"/>
        </w:rPr>
      </w:pPr>
      <w:r w:rsidRPr="00007E6D">
        <w:rPr>
          <w:rFonts w:ascii="Times New Roman" w:eastAsia="Times New Roman" w:hAnsi="Times New Roman" w:cs="Times New Roman"/>
          <w:sz w:val="24"/>
          <w:szCs w:val="24"/>
        </w:rPr>
        <w:t>Ife, J. (2013). </w:t>
      </w:r>
      <w:r w:rsidRPr="00007E6D">
        <w:rPr>
          <w:rFonts w:ascii="Times New Roman" w:eastAsia="Times New Roman" w:hAnsi="Times New Roman" w:cs="Times New Roman"/>
          <w:i/>
          <w:iCs/>
          <w:sz w:val="24"/>
          <w:szCs w:val="24"/>
        </w:rPr>
        <w:t>Community development in an uncertain world</w:t>
      </w:r>
      <w:r w:rsidRPr="00007E6D">
        <w:rPr>
          <w:rFonts w:ascii="Times New Roman" w:eastAsia="Times New Roman" w:hAnsi="Times New Roman" w:cs="Times New Roman"/>
          <w:sz w:val="24"/>
          <w:szCs w:val="24"/>
        </w:rPr>
        <w:t>. Cambridge University Press.</w:t>
      </w:r>
    </w:p>
    <w:p w14:paraId="317982A1" w14:textId="77777777" w:rsidR="000E00A9" w:rsidRPr="00007E6D" w:rsidRDefault="000E00A9" w:rsidP="000E00A9">
      <w:pPr>
        <w:shd w:val="clear" w:color="auto" w:fill="FFFFFF"/>
        <w:spacing w:after="0" w:line="360" w:lineRule="auto"/>
        <w:ind w:left="993" w:hanging="633"/>
        <w:textAlignment w:val="baseline"/>
        <w:rPr>
          <w:rFonts w:ascii="Times New Roman" w:hAnsi="Times New Roman" w:cs="Times New Roman"/>
          <w:sz w:val="24"/>
          <w:szCs w:val="24"/>
        </w:rPr>
      </w:pPr>
      <w:r w:rsidRPr="00007E6D">
        <w:rPr>
          <w:rFonts w:ascii="Times New Roman" w:hAnsi="Times New Roman" w:cs="Times New Roman"/>
          <w:sz w:val="24"/>
          <w:szCs w:val="24"/>
        </w:rPr>
        <w:t>Kim, Y. H., &amp; Sarna, L. (2018, January). An intervention to increase mammography use by Korean American women. In </w:t>
      </w:r>
      <w:r w:rsidRPr="00007E6D">
        <w:rPr>
          <w:rFonts w:ascii="Times New Roman" w:hAnsi="Times New Roman" w:cs="Times New Roman"/>
          <w:i/>
          <w:iCs/>
          <w:sz w:val="24"/>
          <w:szCs w:val="24"/>
        </w:rPr>
        <w:t>Oncology Nursing Forum</w:t>
      </w:r>
      <w:r w:rsidRPr="00007E6D">
        <w:rPr>
          <w:rFonts w:ascii="Times New Roman" w:hAnsi="Times New Roman" w:cs="Times New Roman"/>
          <w:sz w:val="24"/>
          <w:szCs w:val="24"/>
        </w:rPr>
        <w:t> (Vol. 31, No. 1).</w:t>
      </w:r>
    </w:p>
    <w:p w14:paraId="1D951D7A" w14:textId="77777777" w:rsidR="000E00A9" w:rsidRPr="00007E6D" w:rsidRDefault="000E00A9" w:rsidP="000E00A9">
      <w:pPr>
        <w:spacing w:line="360" w:lineRule="auto"/>
        <w:ind w:left="993" w:hanging="633"/>
        <w:jc w:val="both"/>
        <w:rPr>
          <w:rFonts w:ascii="Times New Roman" w:eastAsia="Times New Roman" w:hAnsi="Times New Roman" w:cs="Times New Roman"/>
          <w:sz w:val="24"/>
          <w:szCs w:val="24"/>
        </w:rPr>
      </w:pPr>
      <w:r w:rsidRPr="00007E6D">
        <w:rPr>
          <w:rFonts w:ascii="Times New Roman" w:eastAsia="Times New Roman" w:hAnsi="Times New Roman" w:cs="Times New Roman"/>
          <w:sz w:val="24"/>
          <w:szCs w:val="24"/>
        </w:rPr>
        <w:t>Moore, T., McDonald, M., McHugh-Dillon, H., &amp; West, S. (2016). Community engagement.</w:t>
      </w:r>
    </w:p>
    <w:p w14:paraId="7C9893A1" w14:textId="77777777" w:rsidR="000E00A9" w:rsidRPr="00007E6D" w:rsidRDefault="000E00A9" w:rsidP="000E00A9">
      <w:pPr>
        <w:spacing w:line="360" w:lineRule="auto"/>
        <w:ind w:left="993" w:hanging="633"/>
        <w:jc w:val="both"/>
        <w:rPr>
          <w:rFonts w:ascii="Times New Roman" w:hAnsi="Times New Roman" w:cs="Times New Roman"/>
          <w:sz w:val="24"/>
          <w:szCs w:val="24"/>
        </w:rPr>
      </w:pPr>
      <w:r w:rsidRPr="00007E6D">
        <w:rPr>
          <w:rFonts w:ascii="Times New Roman" w:hAnsi="Times New Roman" w:cs="Times New Roman"/>
          <w:sz w:val="24"/>
          <w:szCs w:val="24"/>
        </w:rPr>
        <w:t>Ritchie, D. (2021). 'Breathing Space'-Reflecting upon the realities of community partnerships and workers' beliefs about promoting health. </w:t>
      </w:r>
      <w:r w:rsidRPr="00007E6D">
        <w:rPr>
          <w:rFonts w:ascii="Times New Roman" w:hAnsi="Times New Roman" w:cs="Times New Roman"/>
          <w:i/>
          <w:iCs/>
          <w:sz w:val="24"/>
          <w:szCs w:val="24"/>
        </w:rPr>
        <w:t>Health Education Journal</w:t>
      </w:r>
      <w:r w:rsidRPr="00007E6D">
        <w:rPr>
          <w:rFonts w:ascii="Times New Roman" w:hAnsi="Times New Roman" w:cs="Times New Roman"/>
          <w:sz w:val="24"/>
          <w:szCs w:val="24"/>
        </w:rPr>
        <w:t>, </w:t>
      </w:r>
      <w:r w:rsidRPr="00007E6D">
        <w:rPr>
          <w:rFonts w:ascii="Times New Roman" w:hAnsi="Times New Roman" w:cs="Times New Roman"/>
          <w:i/>
          <w:iCs/>
          <w:sz w:val="24"/>
          <w:szCs w:val="24"/>
        </w:rPr>
        <w:t>60</w:t>
      </w:r>
      <w:r w:rsidRPr="00007E6D">
        <w:rPr>
          <w:rFonts w:ascii="Times New Roman" w:hAnsi="Times New Roman" w:cs="Times New Roman"/>
          <w:sz w:val="24"/>
          <w:szCs w:val="24"/>
        </w:rPr>
        <w:t>(1), 73-92.</w:t>
      </w:r>
    </w:p>
    <w:p w14:paraId="04647E2E" w14:textId="77777777" w:rsidR="000E00A9" w:rsidRPr="00007E6D" w:rsidRDefault="000E00A9" w:rsidP="000E00A9">
      <w:pPr>
        <w:spacing w:line="360" w:lineRule="auto"/>
        <w:ind w:left="993" w:hanging="633"/>
        <w:jc w:val="both"/>
        <w:rPr>
          <w:rFonts w:ascii="Times New Roman" w:hAnsi="Times New Roman" w:cs="Times New Roman"/>
          <w:sz w:val="24"/>
          <w:szCs w:val="24"/>
        </w:rPr>
      </w:pPr>
      <w:r w:rsidRPr="00007E6D">
        <w:rPr>
          <w:rFonts w:ascii="Times New Roman" w:hAnsi="Times New Roman" w:cs="Times New Roman"/>
          <w:sz w:val="24"/>
          <w:szCs w:val="24"/>
        </w:rPr>
        <w:t>Ritchie, D., Parry, O., Gnich, W., &amp; Platt, S. (2019). Issues of participation, ownership and empowerment in a community development programme: tackling smoking in a low-income area in Scotland. </w:t>
      </w:r>
      <w:r w:rsidRPr="00007E6D">
        <w:rPr>
          <w:rFonts w:ascii="Times New Roman" w:hAnsi="Times New Roman" w:cs="Times New Roman"/>
          <w:i/>
          <w:iCs/>
          <w:sz w:val="24"/>
          <w:szCs w:val="24"/>
        </w:rPr>
        <w:t>Health Promotion International</w:t>
      </w:r>
      <w:r w:rsidRPr="00007E6D">
        <w:rPr>
          <w:rFonts w:ascii="Times New Roman" w:hAnsi="Times New Roman" w:cs="Times New Roman"/>
          <w:sz w:val="24"/>
          <w:szCs w:val="24"/>
        </w:rPr>
        <w:t>, </w:t>
      </w:r>
      <w:r w:rsidRPr="00007E6D">
        <w:rPr>
          <w:rFonts w:ascii="Times New Roman" w:hAnsi="Times New Roman" w:cs="Times New Roman"/>
          <w:i/>
          <w:iCs/>
          <w:sz w:val="24"/>
          <w:szCs w:val="24"/>
        </w:rPr>
        <w:t>19</w:t>
      </w:r>
      <w:r w:rsidRPr="00007E6D">
        <w:rPr>
          <w:rFonts w:ascii="Times New Roman" w:hAnsi="Times New Roman" w:cs="Times New Roman"/>
          <w:sz w:val="24"/>
          <w:szCs w:val="24"/>
        </w:rPr>
        <w:t>(1), 51-59.</w:t>
      </w:r>
    </w:p>
    <w:p w14:paraId="1E495366" w14:textId="77777777" w:rsidR="000E00A9" w:rsidRPr="00007E6D" w:rsidRDefault="000E00A9" w:rsidP="000E00A9">
      <w:pPr>
        <w:shd w:val="clear" w:color="auto" w:fill="FFFFFF"/>
        <w:spacing w:after="0" w:line="360" w:lineRule="auto"/>
        <w:ind w:left="993" w:hanging="633"/>
        <w:textAlignment w:val="baseline"/>
        <w:rPr>
          <w:rFonts w:ascii="Times New Roman" w:hAnsi="Times New Roman" w:cs="Times New Roman"/>
          <w:sz w:val="24"/>
          <w:szCs w:val="24"/>
        </w:rPr>
      </w:pPr>
      <w:r w:rsidRPr="00007E6D">
        <w:rPr>
          <w:rFonts w:ascii="Times New Roman" w:hAnsi="Times New Roman" w:cs="Times New Roman"/>
          <w:sz w:val="24"/>
          <w:szCs w:val="24"/>
        </w:rPr>
        <w:t>Russell, H. (2017). National evaluation of local strategic partnerships: issues paper: voluntary and community sector engagement in local strategic partnerships. </w:t>
      </w:r>
      <w:r w:rsidRPr="00007E6D">
        <w:rPr>
          <w:rFonts w:ascii="Times New Roman" w:hAnsi="Times New Roman" w:cs="Times New Roman"/>
          <w:i/>
          <w:iCs/>
          <w:sz w:val="24"/>
          <w:szCs w:val="24"/>
        </w:rPr>
        <w:t>Office of the Deputy Prime Minister: London</w:t>
      </w:r>
      <w:r w:rsidRPr="00007E6D">
        <w:rPr>
          <w:rFonts w:ascii="Times New Roman" w:hAnsi="Times New Roman" w:cs="Times New Roman"/>
          <w:sz w:val="24"/>
          <w:szCs w:val="24"/>
        </w:rPr>
        <w:t>.</w:t>
      </w:r>
    </w:p>
    <w:p w14:paraId="7E113BBB" w14:textId="77777777" w:rsidR="000E00A9" w:rsidRPr="00007E6D" w:rsidRDefault="000E00A9" w:rsidP="000E00A9">
      <w:pPr>
        <w:pStyle w:val="NormalWeb"/>
        <w:shd w:val="clear" w:color="auto" w:fill="FFFFFF"/>
        <w:spacing w:before="0" w:beforeAutospacing="0" w:after="240" w:afterAutospacing="0" w:line="360" w:lineRule="auto"/>
        <w:ind w:left="993" w:hanging="633"/>
        <w:rPr>
          <w:rFonts w:eastAsia="SimSun"/>
        </w:rPr>
      </w:pPr>
      <w:r w:rsidRPr="00007E6D">
        <w:rPr>
          <w:rFonts w:eastAsia="SimSun"/>
        </w:rPr>
        <w:t>Sarkissian, W., Hofer, N., &amp; Shore, Y. (2009). Kitchen table sustainability: Practical recipes for community engagement with sustainability. Earthscan.</w:t>
      </w:r>
    </w:p>
    <w:p w14:paraId="762D604E" w14:textId="77777777" w:rsidR="000E00A9" w:rsidRPr="00007E6D" w:rsidRDefault="000E00A9" w:rsidP="000E00A9">
      <w:pPr>
        <w:pStyle w:val="NormalWeb"/>
        <w:shd w:val="clear" w:color="auto" w:fill="FFFFFF"/>
        <w:spacing w:before="0" w:beforeAutospacing="0" w:after="240" w:afterAutospacing="0" w:line="360" w:lineRule="auto"/>
        <w:ind w:left="993" w:hanging="633"/>
        <w:rPr>
          <w:rFonts w:eastAsia="SimSun"/>
        </w:rPr>
      </w:pPr>
      <w:r w:rsidRPr="00007E6D">
        <w:rPr>
          <w:rFonts w:eastAsia="SimSun"/>
        </w:rPr>
        <w:lastRenderedPageBreak/>
        <w:t>South, J., &amp; Phillips, G.  Evaluating community engagement as part of the public health system. </w:t>
      </w:r>
      <w:r w:rsidRPr="00007E6D">
        <w:rPr>
          <w:rFonts w:eastAsia="SimSun"/>
          <w:i/>
          <w:iCs/>
        </w:rPr>
        <w:t>Journal of Epidemiology and Community Health, 68</w:t>
      </w:r>
      <w:r w:rsidRPr="00007E6D">
        <w:rPr>
          <w:rFonts w:eastAsia="SimSun"/>
        </w:rPr>
        <w:t>(7), 692-696. doi: 10.1136/jech-2013-203742 . 2014.</w:t>
      </w:r>
    </w:p>
    <w:p w14:paraId="45D4756A" w14:textId="77777777" w:rsidR="000E00A9" w:rsidRPr="00007E6D" w:rsidRDefault="000E00A9" w:rsidP="000E00A9">
      <w:pPr>
        <w:shd w:val="clear" w:color="auto" w:fill="FFFFFF"/>
        <w:spacing w:after="0" w:line="360" w:lineRule="auto"/>
        <w:textAlignment w:val="baseline"/>
        <w:rPr>
          <w:rFonts w:ascii="Times New Roman" w:hAnsi="Times New Roman" w:cs="Times New Roman"/>
          <w:sz w:val="24"/>
          <w:szCs w:val="24"/>
        </w:rPr>
      </w:pPr>
    </w:p>
    <w:p w14:paraId="75C29DE2" w14:textId="77777777" w:rsidR="001C575A" w:rsidRPr="00007E6D" w:rsidRDefault="001C575A" w:rsidP="000E00A9">
      <w:pPr>
        <w:spacing w:line="360" w:lineRule="auto"/>
        <w:rPr>
          <w:rFonts w:ascii="Times New Roman" w:hAnsi="Times New Roman" w:cs="Times New Roman"/>
          <w:sz w:val="24"/>
          <w:szCs w:val="24"/>
        </w:rPr>
      </w:pPr>
    </w:p>
    <w:sectPr w:rsidR="001C575A" w:rsidRPr="00007E6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5543B" w14:textId="77777777" w:rsidR="00AD64D9" w:rsidRDefault="00AD64D9" w:rsidP="000E00A9">
      <w:pPr>
        <w:spacing w:after="0" w:line="240" w:lineRule="auto"/>
      </w:pPr>
      <w:r>
        <w:separator/>
      </w:r>
    </w:p>
  </w:endnote>
  <w:endnote w:type="continuationSeparator" w:id="0">
    <w:p w14:paraId="0C2C2BA3" w14:textId="77777777" w:rsidR="00AD64D9" w:rsidRDefault="00AD64D9" w:rsidP="000E0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752120"/>
      <w:docPartObj>
        <w:docPartGallery w:val="Page Numbers (Bottom of Page)"/>
        <w:docPartUnique/>
      </w:docPartObj>
    </w:sdtPr>
    <w:sdtEndPr>
      <w:rPr>
        <w:noProof/>
      </w:rPr>
    </w:sdtEndPr>
    <w:sdtContent>
      <w:p w14:paraId="2D5E4375" w14:textId="2B9671BA" w:rsidR="000E00A9" w:rsidRDefault="000E00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7E9FE6" w14:textId="77777777" w:rsidR="000E00A9" w:rsidRDefault="000E0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B2068" w14:textId="77777777" w:rsidR="00AD64D9" w:rsidRDefault="00AD64D9" w:rsidP="000E00A9">
      <w:pPr>
        <w:spacing w:after="0" w:line="240" w:lineRule="auto"/>
      </w:pPr>
      <w:r>
        <w:separator/>
      </w:r>
    </w:p>
  </w:footnote>
  <w:footnote w:type="continuationSeparator" w:id="0">
    <w:p w14:paraId="0231F40F" w14:textId="77777777" w:rsidR="00AD64D9" w:rsidRDefault="00AD64D9" w:rsidP="000E0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A564" w14:textId="7588AE2A" w:rsidR="000E00A9" w:rsidRDefault="000E00A9">
    <w:pPr>
      <w:pStyle w:val="Header"/>
    </w:pPr>
    <w:r>
      <w:rPr>
        <w:rFonts w:ascii="Times New Roman" w:hAnsi="Times New Roman" w:cs="Times New Roman"/>
        <w:sz w:val="24"/>
        <w:szCs w:val="24"/>
      </w:rPr>
      <w:t>1922008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A9"/>
    <w:rsid w:val="00007E6D"/>
    <w:rsid w:val="000A24D6"/>
    <w:rsid w:val="000E00A9"/>
    <w:rsid w:val="001C575A"/>
    <w:rsid w:val="008D736C"/>
    <w:rsid w:val="00AD64D9"/>
    <w:rsid w:val="00C14842"/>
    <w:rsid w:val="00DB66BA"/>
    <w:rsid w:val="00F83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15A54"/>
  <w15:chartTrackingRefBased/>
  <w15:docId w15:val="{B6046BA4-7DAE-4FFA-A2AF-1B83AF0F0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0A9"/>
    <w:rPr>
      <w:rFonts w:ascii="Calibri" w:eastAsia="SimSun" w:hAnsi="Calibri" w:cs="SimSu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E00A9"/>
    <w:rPr>
      <w:i/>
      <w:iCs/>
    </w:rPr>
  </w:style>
  <w:style w:type="paragraph" w:styleId="NormalWeb">
    <w:name w:val="Normal (Web)"/>
    <w:basedOn w:val="Normal"/>
    <w:uiPriority w:val="99"/>
    <w:semiHidden/>
    <w:unhideWhenUsed/>
    <w:rsid w:val="000E00A9"/>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0E0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0A9"/>
    <w:rPr>
      <w:rFonts w:ascii="Calibri" w:eastAsia="SimSun" w:hAnsi="Calibri" w:cs="SimSun"/>
      <w:lang w:val="en-US"/>
    </w:rPr>
  </w:style>
  <w:style w:type="paragraph" w:styleId="Footer">
    <w:name w:val="footer"/>
    <w:basedOn w:val="Normal"/>
    <w:link w:val="FooterChar"/>
    <w:uiPriority w:val="99"/>
    <w:unhideWhenUsed/>
    <w:rsid w:val="000E0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0A9"/>
    <w:rPr>
      <w:rFonts w:ascii="Calibri" w:eastAsia="SimSun" w:hAnsi="Calibri" w:cs="SimSu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2D592-B555-463C-8B8A-B94DE2630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4</cp:revision>
  <dcterms:created xsi:type="dcterms:W3CDTF">2021-05-10T20:42:00Z</dcterms:created>
  <dcterms:modified xsi:type="dcterms:W3CDTF">2021-05-10T22:27:00Z</dcterms:modified>
</cp:coreProperties>
</file>