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4EAB96" w14:textId="72C8F421" w:rsidR="00180FB7" w:rsidRPr="00F4112F" w:rsidRDefault="00180FB7" w:rsidP="00F4112F">
      <w:pPr>
        <w:spacing w:line="276" w:lineRule="auto"/>
        <w:rPr>
          <w:rFonts w:ascii="Calibri" w:hAnsi="Calibri" w:cs="Calibri"/>
          <w:szCs w:val="22"/>
          <w:u w:val="single"/>
        </w:rPr>
      </w:pPr>
      <w:r w:rsidRPr="00F4112F">
        <w:rPr>
          <w:rFonts w:ascii="Calibri" w:hAnsi="Calibri" w:cs="Calibri"/>
          <w:szCs w:val="22"/>
          <w:u w:val="single"/>
        </w:rPr>
        <w:t>Employment Relations</w:t>
      </w:r>
    </w:p>
    <w:p w14:paraId="5CC2C380" w14:textId="77777777" w:rsidR="00180FB7" w:rsidRPr="00F4112F" w:rsidRDefault="00180FB7" w:rsidP="00F4112F">
      <w:pPr>
        <w:spacing w:line="276" w:lineRule="auto"/>
        <w:rPr>
          <w:rFonts w:ascii="Calibri" w:hAnsi="Calibri" w:cs="Calibri"/>
          <w:szCs w:val="22"/>
        </w:rPr>
      </w:pPr>
    </w:p>
    <w:p w14:paraId="431E1FFA" w14:textId="7D8117BE" w:rsidR="00893505" w:rsidRPr="00F4112F" w:rsidRDefault="00893505" w:rsidP="00F4112F">
      <w:pPr>
        <w:spacing w:line="276" w:lineRule="auto"/>
        <w:rPr>
          <w:rFonts w:ascii="Calibri" w:hAnsi="Calibri" w:cs="Calibri"/>
          <w:szCs w:val="22"/>
        </w:rPr>
      </w:pPr>
      <w:r w:rsidRPr="00F4112F">
        <w:rPr>
          <w:rFonts w:ascii="Calibri" w:hAnsi="Calibri" w:cs="Calibri"/>
          <w:szCs w:val="22"/>
        </w:rPr>
        <w:t>AC 3.1</w:t>
      </w:r>
    </w:p>
    <w:p w14:paraId="21F9CC40" w14:textId="785215B3" w:rsidR="00893505" w:rsidRPr="00F4112F" w:rsidRDefault="00893505" w:rsidP="00F4112F">
      <w:pPr>
        <w:spacing w:line="276" w:lineRule="auto"/>
        <w:rPr>
          <w:rFonts w:ascii="Calibri" w:hAnsi="Calibri" w:cs="Calibri"/>
          <w:szCs w:val="22"/>
        </w:rPr>
      </w:pPr>
      <w:r w:rsidRPr="00F4112F">
        <w:rPr>
          <w:rFonts w:ascii="Calibri" w:hAnsi="Calibri" w:cs="Calibri"/>
          <w:szCs w:val="22"/>
        </w:rPr>
        <w:t>It is crucial that businesses strike the correct work-life balance. Noon and Blyton defines it as the balance an employee has between their work-life and their personal life without pressure from the one affecting the other. If an organisation can harbour a positive work-life balance according to Waite et al. (2021) it could lead to:</w:t>
      </w:r>
    </w:p>
    <w:p w14:paraId="48AF55A3" w14:textId="3FE45DA2" w:rsidR="00893505" w:rsidRPr="00F4112F" w:rsidRDefault="00893505" w:rsidP="00F4112F">
      <w:pPr>
        <w:pStyle w:val="Listparag"/>
        <w:numPr>
          <w:ilvl w:val="0"/>
          <w:numId w:val="2"/>
        </w:numPr>
        <w:spacing w:line="276" w:lineRule="auto"/>
        <w:rPr>
          <w:rFonts w:ascii="Calibri" w:hAnsi="Calibri" w:cs="Calibri"/>
          <w:szCs w:val="22"/>
        </w:rPr>
      </w:pPr>
      <w:r w:rsidRPr="00F4112F">
        <w:rPr>
          <w:rFonts w:ascii="Calibri" w:hAnsi="Calibri" w:cs="Calibri"/>
          <w:szCs w:val="22"/>
        </w:rPr>
        <w:t xml:space="preserve">“Increased </w:t>
      </w:r>
      <w:r w:rsidRPr="00F4112F">
        <w:rPr>
          <w:rFonts w:ascii="Calibri" w:hAnsi="Calibri" w:cs="Calibri"/>
          <w:szCs w:val="22"/>
        </w:rPr>
        <w:t>productivity</w:t>
      </w:r>
    </w:p>
    <w:p w14:paraId="09752283" w14:textId="6BAEE582" w:rsidR="00893505" w:rsidRPr="00F4112F" w:rsidRDefault="00893505" w:rsidP="00F4112F">
      <w:pPr>
        <w:pStyle w:val="Listparag"/>
        <w:numPr>
          <w:ilvl w:val="0"/>
          <w:numId w:val="2"/>
        </w:numPr>
        <w:spacing w:line="276" w:lineRule="auto"/>
        <w:rPr>
          <w:rFonts w:ascii="Calibri" w:hAnsi="Calibri" w:cs="Calibri"/>
          <w:szCs w:val="22"/>
        </w:rPr>
      </w:pPr>
      <w:r w:rsidRPr="00F4112F">
        <w:rPr>
          <w:rFonts w:ascii="Calibri" w:hAnsi="Calibri" w:cs="Calibri"/>
          <w:szCs w:val="22"/>
        </w:rPr>
        <w:t>Lower absenteeism</w:t>
      </w:r>
    </w:p>
    <w:p w14:paraId="6DB9BC53" w14:textId="77777777" w:rsidR="00893505" w:rsidRPr="00F4112F" w:rsidRDefault="00893505" w:rsidP="00F4112F">
      <w:pPr>
        <w:pStyle w:val="Listparag"/>
        <w:numPr>
          <w:ilvl w:val="0"/>
          <w:numId w:val="2"/>
        </w:numPr>
        <w:spacing w:line="276" w:lineRule="auto"/>
        <w:rPr>
          <w:rFonts w:ascii="Calibri" w:hAnsi="Calibri" w:cs="Calibri"/>
          <w:szCs w:val="22"/>
        </w:rPr>
      </w:pPr>
      <w:r w:rsidRPr="00F4112F">
        <w:rPr>
          <w:rFonts w:ascii="Calibri" w:hAnsi="Calibri" w:cs="Calibri"/>
          <w:szCs w:val="22"/>
        </w:rPr>
        <w:t>Reduced stress</w:t>
      </w:r>
    </w:p>
    <w:p w14:paraId="097AB9F6" w14:textId="77777777" w:rsidR="00893505" w:rsidRPr="00F4112F" w:rsidRDefault="00893505" w:rsidP="00F4112F">
      <w:pPr>
        <w:pStyle w:val="Listparag"/>
        <w:numPr>
          <w:ilvl w:val="0"/>
          <w:numId w:val="2"/>
        </w:numPr>
        <w:spacing w:line="276" w:lineRule="auto"/>
        <w:rPr>
          <w:rFonts w:ascii="Calibri" w:hAnsi="Calibri" w:cs="Calibri"/>
          <w:szCs w:val="22"/>
        </w:rPr>
      </w:pPr>
      <w:r w:rsidRPr="00F4112F">
        <w:rPr>
          <w:rFonts w:ascii="Calibri" w:hAnsi="Calibri" w:cs="Calibri"/>
          <w:szCs w:val="22"/>
        </w:rPr>
        <w:t>Happy and content employees</w:t>
      </w:r>
    </w:p>
    <w:p w14:paraId="443CC4F2" w14:textId="66E14E9D" w:rsidR="00893505" w:rsidRPr="00F4112F" w:rsidRDefault="00893505" w:rsidP="00F4112F">
      <w:pPr>
        <w:pStyle w:val="Listparag"/>
        <w:numPr>
          <w:ilvl w:val="0"/>
          <w:numId w:val="2"/>
        </w:numPr>
        <w:spacing w:line="276" w:lineRule="auto"/>
        <w:rPr>
          <w:rFonts w:ascii="Calibri" w:hAnsi="Calibri" w:cs="Calibri"/>
          <w:szCs w:val="22"/>
        </w:rPr>
      </w:pPr>
      <w:r w:rsidRPr="00F4112F">
        <w:rPr>
          <w:rFonts w:ascii="Calibri" w:hAnsi="Calibri" w:cs="Calibri"/>
          <w:szCs w:val="22"/>
        </w:rPr>
        <w:t>Promote a positive perception of the organisation</w:t>
      </w:r>
      <w:r w:rsidRPr="00F4112F">
        <w:rPr>
          <w:rFonts w:ascii="Calibri" w:hAnsi="Calibri" w:cs="Calibri"/>
          <w:szCs w:val="22"/>
        </w:rPr>
        <w:t>,</w:t>
      </w:r>
      <w:r w:rsidRPr="00F4112F">
        <w:rPr>
          <w:rFonts w:ascii="Calibri" w:hAnsi="Calibri" w:cs="Calibri"/>
          <w:szCs w:val="22"/>
        </w:rPr>
        <w:t xml:space="preserve"> internally and </w:t>
      </w:r>
      <w:proofErr w:type="gramStart"/>
      <w:r w:rsidRPr="00F4112F">
        <w:rPr>
          <w:rFonts w:ascii="Calibri" w:hAnsi="Calibri" w:cs="Calibri"/>
          <w:szCs w:val="22"/>
        </w:rPr>
        <w:t>externally</w:t>
      </w:r>
      <w:proofErr w:type="gramEnd"/>
    </w:p>
    <w:p w14:paraId="6A5C42B1" w14:textId="642248B0" w:rsidR="00893505" w:rsidRPr="00F4112F" w:rsidRDefault="00893505" w:rsidP="00F4112F">
      <w:pPr>
        <w:pStyle w:val="Listparag"/>
        <w:numPr>
          <w:ilvl w:val="0"/>
          <w:numId w:val="2"/>
        </w:numPr>
        <w:spacing w:line="276" w:lineRule="auto"/>
        <w:rPr>
          <w:rFonts w:ascii="Calibri" w:hAnsi="Calibri" w:cs="Calibri"/>
          <w:szCs w:val="22"/>
        </w:rPr>
      </w:pPr>
      <w:r w:rsidRPr="00F4112F">
        <w:rPr>
          <w:rFonts w:ascii="Calibri" w:hAnsi="Calibri" w:cs="Calibri"/>
          <w:szCs w:val="22"/>
        </w:rPr>
        <w:t xml:space="preserve">Greater employee loyalty, </w:t>
      </w:r>
      <w:proofErr w:type="gramStart"/>
      <w:r w:rsidRPr="00F4112F">
        <w:rPr>
          <w:rFonts w:ascii="Calibri" w:hAnsi="Calibri" w:cs="Calibri"/>
          <w:szCs w:val="22"/>
        </w:rPr>
        <w:t>commitment</w:t>
      </w:r>
      <w:proofErr w:type="gramEnd"/>
      <w:r w:rsidRPr="00F4112F">
        <w:rPr>
          <w:rFonts w:ascii="Calibri" w:hAnsi="Calibri" w:cs="Calibri"/>
          <w:szCs w:val="22"/>
        </w:rPr>
        <w:t xml:space="preserve"> and motivation</w:t>
      </w:r>
      <w:r w:rsidRPr="00F4112F">
        <w:rPr>
          <w:rFonts w:ascii="Calibri" w:hAnsi="Calibri" w:cs="Calibri"/>
          <w:szCs w:val="22"/>
        </w:rPr>
        <w:t>”</w:t>
      </w:r>
    </w:p>
    <w:p w14:paraId="39897557" w14:textId="4F640333" w:rsidR="009D05BA" w:rsidRPr="00F4112F" w:rsidRDefault="009D05BA" w:rsidP="00F4112F">
      <w:pPr>
        <w:spacing w:line="276" w:lineRule="auto"/>
        <w:rPr>
          <w:rFonts w:ascii="Calibri" w:hAnsi="Calibri" w:cs="Calibri"/>
          <w:szCs w:val="22"/>
        </w:rPr>
      </w:pPr>
      <w:r w:rsidRPr="00F4112F">
        <w:rPr>
          <w:rFonts w:ascii="Calibri" w:hAnsi="Calibri" w:cs="Calibri"/>
          <w:szCs w:val="22"/>
        </w:rPr>
        <w:t xml:space="preserve">A survey by CIPD (2019) showed that work-life balance was one of the key attributes that underpinned an </w:t>
      </w:r>
      <w:r w:rsidR="006C66B5" w:rsidRPr="00F4112F">
        <w:rPr>
          <w:rFonts w:ascii="Calibri" w:hAnsi="Calibri" w:cs="Calibri"/>
          <w:szCs w:val="22"/>
        </w:rPr>
        <w:t>employee’s</w:t>
      </w:r>
      <w:r w:rsidRPr="00F4112F">
        <w:rPr>
          <w:rFonts w:ascii="Calibri" w:hAnsi="Calibri" w:cs="Calibri"/>
          <w:szCs w:val="22"/>
        </w:rPr>
        <w:t xml:space="preserve"> job quality, if it is not done effectively, it could cause dissatisfaction in work and cause a loss of employees but also Waite et al. (2021) suggests it could lead to mistakes in the workplace which could lead to ‘legal </w:t>
      </w:r>
      <w:proofErr w:type="gramStart"/>
      <w:r w:rsidRPr="00F4112F">
        <w:rPr>
          <w:rFonts w:ascii="Calibri" w:hAnsi="Calibri" w:cs="Calibri"/>
          <w:szCs w:val="22"/>
        </w:rPr>
        <w:t>ramifications’</w:t>
      </w:r>
      <w:proofErr w:type="gramEnd"/>
      <w:r w:rsidRPr="00F4112F">
        <w:rPr>
          <w:rFonts w:ascii="Calibri" w:hAnsi="Calibri" w:cs="Calibri"/>
          <w:szCs w:val="22"/>
        </w:rPr>
        <w:t>.</w:t>
      </w:r>
    </w:p>
    <w:p w14:paraId="2053CDD9" w14:textId="782A2DF3" w:rsidR="00893505" w:rsidRPr="00F4112F" w:rsidRDefault="00893505" w:rsidP="00F4112F">
      <w:pPr>
        <w:spacing w:line="276" w:lineRule="auto"/>
        <w:rPr>
          <w:rFonts w:ascii="Calibri" w:hAnsi="Calibri" w:cs="Calibri"/>
          <w:szCs w:val="22"/>
        </w:rPr>
      </w:pPr>
      <w:r w:rsidRPr="00F4112F">
        <w:rPr>
          <w:rFonts w:ascii="Calibri" w:hAnsi="Calibri" w:cs="Calibri"/>
          <w:szCs w:val="22"/>
        </w:rPr>
        <w:t xml:space="preserve">There are many different </w:t>
      </w:r>
      <w:r w:rsidR="009D05BA" w:rsidRPr="00F4112F">
        <w:rPr>
          <w:rFonts w:ascii="Calibri" w:hAnsi="Calibri" w:cs="Calibri"/>
          <w:szCs w:val="22"/>
        </w:rPr>
        <w:t>legislations that can affect work-life balance and they should be considered in any organisation’s own policies and procedures.</w:t>
      </w:r>
    </w:p>
    <w:p w14:paraId="2A919FEE" w14:textId="06977E6F" w:rsidR="00DF7BBE" w:rsidRPr="00F4112F" w:rsidRDefault="00DF7BBE" w:rsidP="00F4112F">
      <w:pPr>
        <w:spacing w:line="276" w:lineRule="auto"/>
        <w:rPr>
          <w:rFonts w:ascii="Calibri" w:hAnsi="Calibri" w:cs="Calibri"/>
          <w:szCs w:val="22"/>
        </w:rPr>
      </w:pPr>
      <w:r w:rsidRPr="00F4112F">
        <w:rPr>
          <w:rFonts w:ascii="Calibri" w:hAnsi="Calibri" w:cs="Calibri"/>
          <w:szCs w:val="22"/>
        </w:rPr>
        <w:t>One example is maternity/paternity rights. Through the maternity rights every employee is entitled to 52 weeks of maternity leave, by law an employee must take 2 weeks, (4 if they work in a factory) and can take up to the full 52 weeks. Paternity leave is shorter with the partner being eligible for the statutory leave of up to 2 weeks, from the 7</w:t>
      </w:r>
      <w:r w:rsidRPr="00F4112F">
        <w:rPr>
          <w:rFonts w:ascii="Calibri" w:hAnsi="Calibri" w:cs="Calibri"/>
          <w:szCs w:val="22"/>
          <w:vertAlign w:val="superscript"/>
        </w:rPr>
        <w:t>th</w:t>
      </w:r>
      <w:r w:rsidRPr="00F4112F">
        <w:rPr>
          <w:rFonts w:ascii="Calibri" w:hAnsi="Calibri" w:cs="Calibri"/>
          <w:szCs w:val="22"/>
        </w:rPr>
        <w:t xml:space="preserve"> of April 2024, the law has </w:t>
      </w:r>
      <w:proofErr w:type="gramStart"/>
      <w:r w:rsidRPr="00F4112F">
        <w:rPr>
          <w:rFonts w:ascii="Calibri" w:hAnsi="Calibri" w:cs="Calibri"/>
          <w:szCs w:val="22"/>
        </w:rPr>
        <w:t>changed</w:t>
      </w:r>
      <w:proofErr w:type="gramEnd"/>
      <w:r w:rsidRPr="00F4112F">
        <w:rPr>
          <w:rFonts w:ascii="Calibri" w:hAnsi="Calibri" w:cs="Calibri"/>
          <w:szCs w:val="22"/>
        </w:rPr>
        <w:t xml:space="preserve"> and paternity can now be taken as 2 weeks together or in 2 blocks of 1 week. </w:t>
      </w:r>
    </w:p>
    <w:p w14:paraId="5532E71C" w14:textId="6F3CE573" w:rsidR="00332785" w:rsidRPr="00F4112F" w:rsidRDefault="00332785" w:rsidP="00F4112F">
      <w:pPr>
        <w:spacing w:line="276" w:lineRule="auto"/>
        <w:rPr>
          <w:rFonts w:ascii="Calibri" w:hAnsi="Calibri" w:cs="Calibri"/>
          <w:szCs w:val="22"/>
        </w:rPr>
      </w:pPr>
      <w:r w:rsidRPr="00F4112F">
        <w:rPr>
          <w:rFonts w:ascii="Calibri" w:hAnsi="Calibri" w:cs="Calibri"/>
          <w:szCs w:val="22"/>
        </w:rPr>
        <w:t xml:space="preserve">Another right is </w:t>
      </w:r>
      <w:bookmarkStart w:id="0" w:name="_Hlk168004205"/>
      <w:r w:rsidRPr="00F4112F">
        <w:rPr>
          <w:rFonts w:ascii="Calibri" w:hAnsi="Calibri" w:cs="Calibri"/>
          <w:szCs w:val="22"/>
        </w:rPr>
        <w:t>the Working Time Regulations (1998)</w:t>
      </w:r>
      <w:bookmarkEnd w:id="0"/>
      <w:r w:rsidRPr="00F4112F">
        <w:rPr>
          <w:rFonts w:ascii="Calibri" w:hAnsi="Calibri" w:cs="Calibri"/>
          <w:szCs w:val="22"/>
        </w:rPr>
        <w:t xml:space="preserve"> this gives guidelines on the maximum working hours an employee can work in a week. This is something that an employee can opt out </w:t>
      </w:r>
      <w:proofErr w:type="gramStart"/>
      <w:r w:rsidRPr="00F4112F">
        <w:rPr>
          <w:rFonts w:ascii="Calibri" w:hAnsi="Calibri" w:cs="Calibri"/>
          <w:szCs w:val="22"/>
        </w:rPr>
        <w:t>of</w:t>
      </w:r>
      <w:proofErr w:type="gramEnd"/>
      <w:r w:rsidRPr="00F4112F">
        <w:rPr>
          <w:rFonts w:ascii="Calibri" w:hAnsi="Calibri" w:cs="Calibri"/>
          <w:szCs w:val="22"/>
        </w:rPr>
        <w:t xml:space="preserve"> but it caps the working week at 48hours to help maintain a work-life balance. Another legislation that was updated this year was regarding flexible working requests. Employees can now make a flexible working request from day 1 of their employment and they can also submit 2 requests in any given 12-month period. Creating and maintain a good work-life balance can be crucial to any organisation.</w:t>
      </w:r>
    </w:p>
    <w:p w14:paraId="51DF99BB" w14:textId="77777777" w:rsidR="00893505" w:rsidRPr="00F4112F" w:rsidRDefault="00893505" w:rsidP="00F4112F">
      <w:pPr>
        <w:spacing w:line="276" w:lineRule="auto"/>
        <w:rPr>
          <w:rFonts w:ascii="Calibri" w:hAnsi="Calibri" w:cs="Calibri"/>
          <w:szCs w:val="22"/>
        </w:rPr>
      </w:pPr>
    </w:p>
    <w:p w14:paraId="185DB01B" w14:textId="4C934E3A" w:rsidR="00332785" w:rsidRPr="00F4112F" w:rsidRDefault="00332785" w:rsidP="00F4112F">
      <w:pPr>
        <w:spacing w:line="276" w:lineRule="auto"/>
        <w:rPr>
          <w:rFonts w:ascii="Calibri" w:hAnsi="Calibri" w:cs="Calibri"/>
          <w:szCs w:val="22"/>
        </w:rPr>
      </w:pPr>
      <w:r w:rsidRPr="00F4112F">
        <w:rPr>
          <w:rFonts w:ascii="Calibri" w:hAnsi="Calibri" w:cs="Calibri"/>
          <w:szCs w:val="22"/>
        </w:rPr>
        <w:t>AC 3.2</w:t>
      </w:r>
    </w:p>
    <w:p w14:paraId="35E58604" w14:textId="30E6FF56" w:rsidR="00332785" w:rsidRPr="00F4112F" w:rsidRDefault="00332785" w:rsidP="00F4112F">
      <w:pPr>
        <w:spacing w:line="276" w:lineRule="auto"/>
        <w:rPr>
          <w:rFonts w:ascii="Calibri" w:hAnsi="Calibri" w:cs="Calibri"/>
          <w:szCs w:val="22"/>
        </w:rPr>
      </w:pPr>
      <w:r w:rsidRPr="00F4112F">
        <w:rPr>
          <w:rFonts w:ascii="Calibri" w:hAnsi="Calibri" w:cs="Calibri"/>
          <w:szCs w:val="22"/>
        </w:rPr>
        <w:t>Wellbeing in the workplace is often tided into work-life balance but they do differ. When looking at wellbeing we generally consider how we physically and mentally feel, which of course can be impacted by work-life balance.</w:t>
      </w:r>
    </w:p>
    <w:p w14:paraId="475346B7" w14:textId="77777777" w:rsidR="0009757C" w:rsidRPr="00F4112F" w:rsidRDefault="0009757C" w:rsidP="00F4112F">
      <w:pPr>
        <w:spacing w:line="276" w:lineRule="auto"/>
        <w:rPr>
          <w:rFonts w:ascii="Calibri" w:hAnsi="Calibri" w:cs="Calibri"/>
          <w:szCs w:val="22"/>
        </w:rPr>
      </w:pPr>
      <w:r w:rsidRPr="00F4112F">
        <w:rPr>
          <w:rFonts w:ascii="Calibri" w:hAnsi="Calibri" w:cs="Calibri"/>
          <w:szCs w:val="22"/>
        </w:rPr>
        <w:t xml:space="preserve">Grant et al (2017) identifies wellbeing into 3 categories, psychological, </w:t>
      </w:r>
      <w:proofErr w:type="gramStart"/>
      <w:r w:rsidRPr="00F4112F">
        <w:rPr>
          <w:rFonts w:ascii="Calibri" w:hAnsi="Calibri" w:cs="Calibri"/>
          <w:szCs w:val="22"/>
        </w:rPr>
        <w:t>physical</w:t>
      </w:r>
      <w:proofErr w:type="gramEnd"/>
      <w:r w:rsidRPr="00F4112F">
        <w:rPr>
          <w:rFonts w:ascii="Calibri" w:hAnsi="Calibri" w:cs="Calibri"/>
          <w:szCs w:val="22"/>
        </w:rPr>
        <w:t xml:space="preserve"> and social, which then lead to a better work-life balance and can positively impact performance.</w:t>
      </w:r>
    </w:p>
    <w:p w14:paraId="148A4B9F" w14:textId="478B921E" w:rsidR="0009757C" w:rsidRPr="00F4112F" w:rsidRDefault="0009757C" w:rsidP="00F4112F">
      <w:pPr>
        <w:spacing w:line="276" w:lineRule="auto"/>
        <w:rPr>
          <w:rFonts w:ascii="Calibri" w:hAnsi="Calibri" w:cs="Calibri"/>
          <w:szCs w:val="22"/>
        </w:rPr>
      </w:pPr>
      <w:r w:rsidRPr="00F4112F">
        <w:rPr>
          <w:rFonts w:ascii="Calibri" w:hAnsi="Calibri" w:cs="Calibri"/>
          <w:szCs w:val="22"/>
        </w:rPr>
        <w:t>One aspect of wellbeing is health, Waite et al. (2021)</w:t>
      </w:r>
      <w:r w:rsidR="00464D32" w:rsidRPr="00F4112F">
        <w:rPr>
          <w:rFonts w:ascii="Calibri" w:hAnsi="Calibri" w:cs="Calibri"/>
          <w:szCs w:val="22"/>
        </w:rPr>
        <w:t xml:space="preserve"> explains that employers should care for their </w:t>
      </w:r>
      <w:r w:rsidR="006C66B5" w:rsidRPr="00F4112F">
        <w:rPr>
          <w:rFonts w:ascii="Calibri" w:hAnsi="Calibri" w:cs="Calibri"/>
          <w:szCs w:val="22"/>
        </w:rPr>
        <w:t>employee’s</w:t>
      </w:r>
      <w:r w:rsidR="00464D32" w:rsidRPr="00F4112F">
        <w:rPr>
          <w:rFonts w:ascii="Calibri" w:hAnsi="Calibri" w:cs="Calibri"/>
          <w:szCs w:val="22"/>
        </w:rPr>
        <w:t xml:space="preserve"> physical health by promoting strong health and well-being policies and support; employees should also be offered personal safety training; and mental health is an increasingly key element by ‘introducing stress management workshops, carrying out risk assessments, occupational health support’ and many more.</w:t>
      </w:r>
    </w:p>
    <w:p w14:paraId="7BB35157" w14:textId="2EA13967" w:rsidR="006C66B5" w:rsidRPr="00F4112F" w:rsidRDefault="006C66B5" w:rsidP="00F4112F">
      <w:pPr>
        <w:spacing w:line="276" w:lineRule="auto"/>
        <w:rPr>
          <w:rFonts w:ascii="Calibri" w:hAnsi="Calibri" w:cs="Calibri"/>
          <w:szCs w:val="22"/>
        </w:rPr>
      </w:pPr>
      <w:r w:rsidRPr="00F4112F">
        <w:rPr>
          <w:rFonts w:ascii="Calibri" w:hAnsi="Calibri" w:cs="Calibri"/>
          <w:szCs w:val="22"/>
        </w:rPr>
        <w:lastRenderedPageBreak/>
        <w:t>Another aspect is the work, having a positive and open working environment will have a significant impact on each employee’s well-being.</w:t>
      </w:r>
    </w:p>
    <w:p w14:paraId="114478D0" w14:textId="7A23FDCE" w:rsidR="006C66B5" w:rsidRPr="00F4112F" w:rsidRDefault="006C66B5" w:rsidP="00F4112F">
      <w:pPr>
        <w:spacing w:line="276" w:lineRule="auto"/>
        <w:rPr>
          <w:rFonts w:ascii="Calibri" w:hAnsi="Calibri" w:cs="Calibri"/>
          <w:szCs w:val="22"/>
        </w:rPr>
      </w:pPr>
      <w:r w:rsidRPr="00F4112F">
        <w:rPr>
          <w:rFonts w:ascii="Calibri" w:hAnsi="Calibri" w:cs="Calibri"/>
          <w:szCs w:val="22"/>
        </w:rPr>
        <w:t>The third relates to the values and principles of the organisation. By promoting and demonstrating the values of the organisation and upholding ethical standards and diversity and inclusion it also promotes well-being.</w:t>
      </w:r>
    </w:p>
    <w:p w14:paraId="43765B11" w14:textId="3751002E" w:rsidR="006C66B5" w:rsidRPr="00F4112F" w:rsidRDefault="006C66B5" w:rsidP="00F4112F">
      <w:pPr>
        <w:spacing w:line="276" w:lineRule="auto"/>
        <w:rPr>
          <w:rFonts w:ascii="Calibri" w:hAnsi="Calibri" w:cs="Calibri"/>
          <w:szCs w:val="22"/>
        </w:rPr>
      </w:pPr>
      <w:r w:rsidRPr="00F4112F">
        <w:rPr>
          <w:rFonts w:ascii="Calibri" w:hAnsi="Calibri" w:cs="Calibri"/>
          <w:szCs w:val="22"/>
        </w:rPr>
        <w:t>The next is the employee voice, ensuring each employee feels they have a voice within the organisation especially when it comes to consultation on decisions etc.</w:t>
      </w:r>
    </w:p>
    <w:p w14:paraId="1CAD66CB" w14:textId="3C6B9E8A" w:rsidR="006C66B5" w:rsidRPr="00F4112F" w:rsidRDefault="006C66B5" w:rsidP="00F4112F">
      <w:pPr>
        <w:spacing w:line="276" w:lineRule="auto"/>
        <w:rPr>
          <w:rFonts w:ascii="Calibri" w:hAnsi="Calibri" w:cs="Calibri"/>
          <w:szCs w:val="22"/>
        </w:rPr>
      </w:pPr>
      <w:r w:rsidRPr="00F4112F">
        <w:rPr>
          <w:rFonts w:ascii="Calibri" w:hAnsi="Calibri" w:cs="Calibri"/>
          <w:szCs w:val="22"/>
        </w:rPr>
        <w:t>Personal growth is also important for well-being, to promote career development and continuous learning and development.</w:t>
      </w:r>
    </w:p>
    <w:p w14:paraId="3372FEF4" w14:textId="4C97294D" w:rsidR="006C66B5" w:rsidRPr="00F4112F" w:rsidRDefault="006C66B5" w:rsidP="00F4112F">
      <w:pPr>
        <w:spacing w:line="276" w:lineRule="auto"/>
        <w:rPr>
          <w:rFonts w:ascii="Calibri" w:hAnsi="Calibri" w:cs="Calibri"/>
          <w:szCs w:val="22"/>
        </w:rPr>
      </w:pPr>
      <w:r w:rsidRPr="00F4112F">
        <w:rPr>
          <w:rFonts w:ascii="Calibri" w:hAnsi="Calibri" w:cs="Calibri"/>
          <w:szCs w:val="22"/>
        </w:rPr>
        <w:t>Lifestyle choices can also impact well-being and can be promoted through the workplace such as healthy eating and physical activity.</w:t>
      </w:r>
    </w:p>
    <w:p w14:paraId="635254E2" w14:textId="2784C63B" w:rsidR="006C66B5" w:rsidRPr="00F4112F" w:rsidRDefault="006C66B5" w:rsidP="00F4112F">
      <w:pPr>
        <w:spacing w:line="276" w:lineRule="auto"/>
        <w:rPr>
          <w:rFonts w:ascii="Calibri" w:hAnsi="Calibri" w:cs="Calibri"/>
          <w:szCs w:val="22"/>
        </w:rPr>
      </w:pPr>
      <w:r w:rsidRPr="00F4112F">
        <w:rPr>
          <w:rFonts w:ascii="Calibri" w:hAnsi="Calibri" w:cs="Calibri"/>
          <w:szCs w:val="22"/>
        </w:rPr>
        <w:t>Lastly is financial well-being, ensuring fair pay and financial support.</w:t>
      </w:r>
    </w:p>
    <w:p w14:paraId="6D98A10B" w14:textId="2EAF9C3F" w:rsidR="006C66B5" w:rsidRPr="00F4112F" w:rsidRDefault="006C66B5" w:rsidP="00F4112F">
      <w:pPr>
        <w:spacing w:line="276" w:lineRule="auto"/>
        <w:rPr>
          <w:rFonts w:ascii="Calibri" w:hAnsi="Calibri" w:cs="Calibri"/>
          <w:szCs w:val="22"/>
        </w:rPr>
      </w:pPr>
      <w:r w:rsidRPr="00F4112F">
        <w:rPr>
          <w:rFonts w:ascii="Calibri" w:hAnsi="Calibri" w:cs="Calibri"/>
          <w:szCs w:val="22"/>
        </w:rPr>
        <w:t>Supporting employee well-being is important for both the employee and the employer in creating a positive workplace culture which will support retention of staff and overall satisfaction with their jobs.</w:t>
      </w:r>
    </w:p>
    <w:p w14:paraId="6E976562" w14:textId="0D9543C5" w:rsidR="00464D32" w:rsidRPr="00F4112F" w:rsidRDefault="00464D32" w:rsidP="00F4112F">
      <w:pPr>
        <w:spacing w:line="276" w:lineRule="auto"/>
        <w:rPr>
          <w:rFonts w:ascii="Calibri" w:hAnsi="Calibri" w:cs="Calibri"/>
          <w:szCs w:val="22"/>
        </w:rPr>
      </w:pPr>
      <w:r w:rsidRPr="00F4112F">
        <w:rPr>
          <w:rFonts w:ascii="Calibri" w:hAnsi="Calibri" w:cs="Calibri"/>
          <w:szCs w:val="22"/>
        </w:rPr>
        <w:t>Well-being in the workplace can be concluded as the overall quality of work experienced by an employee, with Fisher (2010) associates it with general ‘happiness’.</w:t>
      </w:r>
    </w:p>
    <w:p w14:paraId="5EEE873C" w14:textId="77777777" w:rsidR="00180FB7" w:rsidRPr="00F4112F" w:rsidRDefault="00180FB7" w:rsidP="00F4112F">
      <w:pPr>
        <w:pStyle w:val="Listparag"/>
        <w:numPr>
          <w:ilvl w:val="0"/>
          <w:numId w:val="0"/>
        </w:numPr>
        <w:spacing w:line="276" w:lineRule="auto"/>
        <w:rPr>
          <w:rFonts w:ascii="Calibri" w:eastAsiaTheme="minorEastAsia" w:hAnsi="Calibri" w:cs="Calibri"/>
          <w:szCs w:val="22"/>
        </w:rPr>
      </w:pPr>
    </w:p>
    <w:p w14:paraId="36656D5A" w14:textId="71464958" w:rsidR="006C66B5" w:rsidRPr="00F4112F" w:rsidRDefault="006C66B5"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AC 3.3</w:t>
      </w:r>
    </w:p>
    <w:p w14:paraId="49EDA67E" w14:textId="611C0E3F" w:rsidR="00010913" w:rsidRPr="00F4112F" w:rsidRDefault="00010913"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The Equality Act 2010 is the main legislation that relates to discrimination. It outlines that all employees are protected from discrimination and goes on to specific name the 9 protected characteristics as:</w:t>
      </w:r>
    </w:p>
    <w:p w14:paraId="2D129DC6" w14:textId="3E22715C" w:rsidR="00010913" w:rsidRPr="00F4112F" w:rsidRDefault="00010913" w:rsidP="00F4112F">
      <w:pPr>
        <w:pStyle w:val="Listparag"/>
        <w:numPr>
          <w:ilvl w:val="0"/>
          <w:numId w:val="8"/>
        </w:numPr>
        <w:spacing w:line="276" w:lineRule="auto"/>
        <w:rPr>
          <w:rFonts w:ascii="Calibri" w:eastAsiaTheme="minorEastAsia" w:hAnsi="Calibri" w:cs="Calibri"/>
          <w:szCs w:val="22"/>
        </w:rPr>
      </w:pPr>
      <w:r w:rsidRPr="00F4112F">
        <w:rPr>
          <w:rFonts w:ascii="Calibri" w:eastAsiaTheme="minorEastAsia" w:hAnsi="Calibri" w:cs="Calibri"/>
          <w:szCs w:val="22"/>
        </w:rPr>
        <w:t>Age</w:t>
      </w:r>
    </w:p>
    <w:p w14:paraId="6DCF879D" w14:textId="1856C480" w:rsidR="00010913" w:rsidRPr="00F4112F" w:rsidRDefault="00010913" w:rsidP="00F4112F">
      <w:pPr>
        <w:pStyle w:val="Listparag"/>
        <w:numPr>
          <w:ilvl w:val="0"/>
          <w:numId w:val="8"/>
        </w:numPr>
        <w:spacing w:line="276" w:lineRule="auto"/>
        <w:rPr>
          <w:rFonts w:ascii="Calibri" w:eastAsiaTheme="minorEastAsia" w:hAnsi="Calibri" w:cs="Calibri"/>
          <w:szCs w:val="22"/>
        </w:rPr>
      </w:pPr>
      <w:r w:rsidRPr="00F4112F">
        <w:rPr>
          <w:rFonts w:ascii="Calibri" w:eastAsiaTheme="minorEastAsia" w:hAnsi="Calibri" w:cs="Calibri"/>
          <w:szCs w:val="22"/>
        </w:rPr>
        <w:t>Disability</w:t>
      </w:r>
    </w:p>
    <w:p w14:paraId="3AB9064D" w14:textId="5FE00025" w:rsidR="00010913" w:rsidRPr="00F4112F" w:rsidRDefault="00010913" w:rsidP="00F4112F">
      <w:pPr>
        <w:pStyle w:val="Listparag"/>
        <w:numPr>
          <w:ilvl w:val="0"/>
          <w:numId w:val="8"/>
        </w:numPr>
        <w:spacing w:line="276" w:lineRule="auto"/>
        <w:rPr>
          <w:rFonts w:ascii="Calibri" w:eastAsiaTheme="minorEastAsia" w:hAnsi="Calibri" w:cs="Calibri"/>
          <w:szCs w:val="22"/>
        </w:rPr>
      </w:pPr>
      <w:r w:rsidRPr="00F4112F">
        <w:rPr>
          <w:rFonts w:ascii="Calibri" w:eastAsiaTheme="minorEastAsia" w:hAnsi="Calibri" w:cs="Calibri"/>
          <w:szCs w:val="22"/>
        </w:rPr>
        <w:t>Gender reassignment</w:t>
      </w:r>
    </w:p>
    <w:p w14:paraId="55EBA710" w14:textId="11A64696" w:rsidR="00010913" w:rsidRPr="00F4112F" w:rsidRDefault="00010913" w:rsidP="00F4112F">
      <w:pPr>
        <w:pStyle w:val="Listparag"/>
        <w:numPr>
          <w:ilvl w:val="0"/>
          <w:numId w:val="8"/>
        </w:numPr>
        <w:spacing w:line="276" w:lineRule="auto"/>
        <w:rPr>
          <w:rFonts w:ascii="Calibri" w:eastAsiaTheme="minorEastAsia" w:hAnsi="Calibri" w:cs="Calibri"/>
          <w:szCs w:val="22"/>
        </w:rPr>
      </w:pPr>
      <w:r w:rsidRPr="00F4112F">
        <w:rPr>
          <w:rFonts w:ascii="Calibri" w:eastAsiaTheme="minorEastAsia" w:hAnsi="Calibri" w:cs="Calibri"/>
          <w:szCs w:val="22"/>
        </w:rPr>
        <w:t>Marriage and civil partnership</w:t>
      </w:r>
    </w:p>
    <w:p w14:paraId="097A4CE5" w14:textId="39D137E1" w:rsidR="00010913" w:rsidRPr="00F4112F" w:rsidRDefault="00010913" w:rsidP="00F4112F">
      <w:pPr>
        <w:pStyle w:val="Listparag"/>
        <w:numPr>
          <w:ilvl w:val="0"/>
          <w:numId w:val="8"/>
        </w:numPr>
        <w:spacing w:line="276" w:lineRule="auto"/>
        <w:rPr>
          <w:rFonts w:ascii="Calibri" w:eastAsiaTheme="minorEastAsia" w:hAnsi="Calibri" w:cs="Calibri"/>
          <w:szCs w:val="22"/>
        </w:rPr>
      </w:pPr>
      <w:r w:rsidRPr="00F4112F">
        <w:rPr>
          <w:rFonts w:ascii="Calibri" w:eastAsiaTheme="minorEastAsia" w:hAnsi="Calibri" w:cs="Calibri"/>
          <w:szCs w:val="22"/>
        </w:rPr>
        <w:t>Pregnancy and maternity</w:t>
      </w:r>
    </w:p>
    <w:p w14:paraId="49758FCC" w14:textId="0FF1BBBB" w:rsidR="00010913" w:rsidRPr="00F4112F" w:rsidRDefault="00010913" w:rsidP="00F4112F">
      <w:pPr>
        <w:pStyle w:val="Listparag"/>
        <w:numPr>
          <w:ilvl w:val="0"/>
          <w:numId w:val="8"/>
        </w:numPr>
        <w:spacing w:line="276" w:lineRule="auto"/>
        <w:rPr>
          <w:rFonts w:ascii="Calibri" w:eastAsiaTheme="minorEastAsia" w:hAnsi="Calibri" w:cs="Calibri"/>
          <w:szCs w:val="22"/>
        </w:rPr>
      </w:pPr>
      <w:r w:rsidRPr="00F4112F">
        <w:rPr>
          <w:rFonts w:ascii="Calibri" w:eastAsiaTheme="minorEastAsia" w:hAnsi="Calibri" w:cs="Calibri"/>
          <w:szCs w:val="22"/>
        </w:rPr>
        <w:t>Race</w:t>
      </w:r>
    </w:p>
    <w:p w14:paraId="572D2CA0" w14:textId="6F424D0B" w:rsidR="00010913" w:rsidRPr="00F4112F" w:rsidRDefault="00010913" w:rsidP="00F4112F">
      <w:pPr>
        <w:pStyle w:val="Listparag"/>
        <w:numPr>
          <w:ilvl w:val="0"/>
          <w:numId w:val="8"/>
        </w:numPr>
        <w:spacing w:line="276" w:lineRule="auto"/>
        <w:rPr>
          <w:rFonts w:ascii="Calibri" w:eastAsiaTheme="minorEastAsia" w:hAnsi="Calibri" w:cs="Calibri"/>
          <w:szCs w:val="22"/>
        </w:rPr>
      </w:pPr>
      <w:r w:rsidRPr="00F4112F">
        <w:rPr>
          <w:rFonts w:ascii="Calibri" w:eastAsiaTheme="minorEastAsia" w:hAnsi="Calibri" w:cs="Calibri"/>
          <w:szCs w:val="22"/>
        </w:rPr>
        <w:t>Religion or belief</w:t>
      </w:r>
    </w:p>
    <w:p w14:paraId="5C00C423" w14:textId="4FE33167" w:rsidR="00010913" w:rsidRPr="00F4112F" w:rsidRDefault="00010913" w:rsidP="00F4112F">
      <w:pPr>
        <w:pStyle w:val="Listparag"/>
        <w:numPr>
          <w:ilvl w:val="0"/>
          <w:numId w:val="8"/>
        </w:numPr>
        <w:spacing w:line="276" w:lineRule="auto"/>
        <w:rPr>
          <w:rFonts w:ascii="Calibri" w:eastAsiaTheme="minorEastAsia" w:hAnsi="Calibri" w:cs="Calibri"/>
          <w:szCs w:val="22"/>
        </w:rPr>
      </w:pPr>
      <w:r w:rsidRPr="00F4112F">
        <w:rPr>
          <w:rFonts w:ascii="Calibri" w:eastAsiaTheme="minorEastAsia" w:hAnsi="Calibri" w:cs="Calibri"/>
          <w:szCs w:val="22"/>
        </w:rPr>
        <w:t>Sex</w:t>
      </w:r>
    </w:p>
    <w:p w14:paraId="02707648" w14:textId="37E041DC" w:rsidR="00010913" w:rsidRPr="00F4112F" w:rsidRDefault="00010913" w:rsidP="00F4112F">
      <w:pPr>
        <w:pStyle w:val="Listparag"/>
        <w:numPr>
          <w:ilvl w:val="0"/>
          <w:numId w:val="8"/>
        </w:numPr>
        <w:spacing w:line="276" w:lineRule="auto"/>
        <w:rPr>
          <w:rFonts w:ascii="Calibri" w:eastAsiaTheme="minorEastAsia" w:hAnsi="Calibri" w:cs="Calibri"/>
          <w:szCs w:val="22"/>
        </w:rPr>
      </w:pPr>
      <w:r w:rsidRPr="00F4112F">
        <w:rPr>
          <w:rFonts w:ascii="Calibri" w:eastAsiaTheme="minorEastAsia" w:hAnsi="Calibri" w:cs="Calibri"/>
          <w:szCs w:val="22"/>
        </w:rPr>
        <w:t>Sexual orientation</w:t>
      </w:r>
    </w:p>
    <w:p w14:paraId="222166DA" w14:textId="3D18FB60" w:rsidR="006C66B5" w:rsidRPr="00F4112F" w:rsidRDefault="00010913"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Discrimination can be broken down into 2 parts, direct and indirect. Direct discrimination is when a person is treated unfairly because of a specific protect characteristic mentioned earlier, indirect discrimination is when a policy or practice puts certain people with protected characteristics at an unfair disadvantage, this is not always as clear but in certain circumstances can be justified.</w:t>
      </w:r>
    </w:p>
    <w:p w14:paraId="32026D42" w14:textId="41F2C018" w:rsidR="00010913" w:rsidRPr="00F4112F" w:rsidRDefault="00010913"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 xml:space="preserve">The Equality Act 2010 classes both direct discrimination and indirect discrimination as unlawful behaviour along with harassment, which is defined by Waite et al (2021) as “bullying or unwanted behaviour related to any of the protected characteristics”; and victimisation, </w:t>
      </w:r>
      <w:r w:rsidR="00B73FB0" w:rsidRPr="00F4112F">
        <w:rPr>
          <w:rFonts w:ascii="Calibri" w:eastAsiaTheme="minorEastAsia" w:hAnsi="Calibri" w:cs="Calibri"/>
          <w:szCs w:val="22"/>
        </w:rPr>
        <w:t>defined by Waite et al. (2021) as “treating someone badly because they have a ‘protected trait’”</w:t>
      </w:r>
      <w:r w:rsidRPr="00F4112F">
        <w:rPr>
          <w:rFonts w:ascii="Calibri" w:eastAsiaTheme="minorEastAsia" w:hAnsi="Calibri" w:cs="Calibri"/>
          <w:szCs w:val="22"/>
        </w:rPr>
        <w:t>.</w:t>
      </w:r>
    </w:p>
    <w:p w14:paraId="274D0236" w14:textId="7BEE9AC7" w:rsidR="00010913" w:rsidRPr="00F4112F" w:rsidRDefault="00010913"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lastRenderedPageBreak/>
        <w:t>It is key that organisations promote the challenging and excluding discrimination in the workplace and discriminatory behaviour.</w:t>
      </w:r>
    </w:p>
    <w:p w14:paraId="720CF5E3" w14:textId="77777777" w:rsidR="00180FB7" w:rsidRPr="00F4112F" w:rsidRDefault="00180FB7" w:rsidP="00F4112F">
      <w:pPr>
        <w:pStyle w:val="Listparag"/>
        <w:numPr>
          <w:ilvl w:val="0"/>
          <w:numId w:val="0"/>
        </w:numPr>
        <w:spacing w:line="276" w:lineRule="auto"/>
        <w:rPr>
          <w:rFonts w:ascii="Calibri" w:eastAsiaTheme="minorEastAsia" w:hAnsi="Calibri" w:cs="Calibri"/>
          <w:szCs w:val="22"/>
        </w:rPr>
      </w:pPr>
    </w:p>
    <w:p w14:paraId="228850CB" w14:textId="2B902560" w:rsidR="00B73FB0" w:rsidRPr="00F4112F" w:rsidRDefault="00B73FB0"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AC 3.4</w:t>
      </w:r>
    </w:p>
    <w:p w14:paraId="353A47C8" w14:textId="03DB87A8" w:rsidR="00B73FB0" w:rsidRPr="00F4112F" w:rsidRDefault="00B73FB0"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Waite et al. (2021) explains that demographics are constantly changing, therefore workplaces must ‘employ and work with a diverse range of people’.</w:t>
      </w:r>
    </w:p>
    <w:p w14:paraId="67AF687A" w14:textId="2F1951EF" w:rsidR="00B73FB0" w:rsidRPr="00F4112F" w:rsidRDefault="00B73FB0"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 xml:space="preserve">Diversity can be defined as the recognition of the differences between people. CIPD (2022) explains it is the acknowledgment of the “benefit of having a range of perspectives in decision-making ad the workforce being representative of the organisation’s customers”. </w:t>
      </w:r>
    </w:p>
    <w:p w14:paraId="4DDD9C07" w14:textId="17C9A7C9" w:rsidR="00B73FB0" w:rsidRPr="00F4112F" w:rsidRDefault="00B73FB0"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 xml:space="preserve">Inclusion is where the difference between people </w:t>
      </w:r>
      <w:proofErr w:type="gramStart"/>
      <w:r w:rsidRPr="00F4112F">
        <w:rPr>
          <w:rFonts w:ascii="Calibri" w:eastAsiaTheme="minorEastAsia" w:hAnsi="Calibri" w:cs="Calibri"/>
          <w:szCs w:val="22"/>
        </w:rPr>
        <w:t>are</w:t>
      </w:r>
      <w:proofErr w:type="gramEnd"/>
      <w:r w:rsidRPr="00F4112F">
        <w:rPr>
          <w:rFonts w:ascii="Calibri" w:eastAsiaTheme="minorEastAsia" w:hAnsi="Calibri" w:cs="Calibri"/>
          <w:szCs w:val="22"/>
        </w:rPr>
        <w:t xml:space="preserve"> </w:t>
      </w:r>
      <w:r w:rsidR="004E58EE" w:rsidRPr="00F4112F">
        <w:rPr>
          <w:rFonts w:ascii="Calibri" w:eastAsiaTheme="minorEastAsia" w:hAnsi="Calibri" w:cs="Calibri"/>
          <w:szCs w:val="22"/>
        </w:rPr>
        <w:t>“</w:t>
      </w:r>
      <w:r w:rsidRPr="00F4112F">
        <w:rPr>
          <w:rFonts w:ascii="Calibri" w:eastAsiaTheme="minorEastAsia" w:hAnsi="Calibri" w:cs="Calibri"/>
          <w:szCs w:val="22"/>
        </w:rPr>
        <w:t xml:space="preserve">valued and used </w:t>
      </w:r>
      <w:r w:rsidR="004E58EE" w:rsidRPr="00F4112F">
        <w:rPr>
          <w:rFonts w:ascii="Calibri" w:eastAsiaTheme="minorEastAsia" w:hAnsi="Calibri" w:cs="Calibri"/>
          <w:szCs w:val="22"/>
        </w:rPr>
        <w:t xml:space="preserve">to enable everyone to thrive at work. An inclusive working environment is one in which everyone feels that they belong without having to conform, no matter their background, </w:t>
      </w:r>
      <w:proofErr w:type="gramStart"/>
      <w:r w:rsidR="004E58EE" w:rsidRPr="00F4112F">
        <w:rPr>
          <w:rFonts w:ascii="Calibri" w:eastAsiaTheme="minorEastAsia" w:hAnsi="Calibri" w:cs="Calibri"/>
          <w:szCs w:val="22"/>
        </w:rPr>
        <w:t>identity</w:t>
      </w:r>
      <w:proofErr w:type="gramEnd"/>
      <w:r w:rsidR="004E58EE" w:rsidRPr="00F4112F">
        <w:rPr>
          <w:rFonts w:ascii="Calibri" w:eastAsiaTheme="minorEastAsia" w:hAnsi="Calibri" w:cs="Calibri"/>
          <w:szCs w:val="22"/>
        </w:rPr>
        <w:t xml:space="preserve"> or circumstances” CIPD (2022). </w:t>
      </w:r>
    </w:p>
    <w:p w14:paraId="348E06AC" w14:textId="067ED547" w:rsidR="004E58EE" w:rsidRPr="00F4112F" w:rsidRDefault="004E58EE"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 xml:space="preserve">It is key to have some form of equality, </w:t>
      </w:r>
      <w:proofErr w:type="gramStart"/>
      <w:r w:rsidRPr="00F4112F">
        <w:rPr>
          <w:rFonts w:ascii="Calibri" w:eastAsiaTheme="minorEastAsia" w:hAnsi="Calibri" w:cs="Calibri"/>
          <w:szCs w:val="22"/>
        </w:rPr>
        <w:t>diversity</w:t>
      </w:r>
      <w:proofErr w:type="gramEnd"/>
      <w:r w:rsidRPr="00F4112F">
        <w:rPr>
          <w:rFonts w:ascii="Calibri" w:eastAsiaTheme="minorEastAsia" w:hAnsi="Calibri" w:cs="Calibri"/>
          <w:szCs w:val="22"/>
        </w:rPr>
        <w:t xml:space="preserve"> and inclusion policy within the organisation to ensure the business is supporting all it’s employees, everyone knows what is expected of them, employees understand the law relating to discrimination and they know how to resolve any problems (A</w:t>
      </w:r>
      <w:r w:rsidR="0080588F" w:rsidRPr="00F4112F">
        <w:rPr>
          <w:rFonts w:ascii="Calibri" w:eastAsiaTheme="minorEastAsia" w:hAnsi="Calibri" w:cs="Calibri"/>
          <w:szCs w:val="22"/>
        </w:rPr>
        <w:t>CAS).</w:t>
      </w:r>
    </w:p>
    <w:p w14:paraId="7EFA1A75" w14:textId="3B40D104" w:rsidR="004E58EE" w:rsidRPr="00F4112F" w:rsidRDefault="004E58EE"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 xml:space="preserve">Workplace culture is key in any business and promotive an inclusive culture will ensure every employee feel valued, </w:t>
      </w:r>
      <w:proofErr w:type="gramStart"/>
      <w:r w:rsidRPr="00F4112F">
        <w:rPr>
          <w:rFonts w:ascii="Calibri" w:eastAsiaTheme="minorEastAsia" w:hAnsi="Calibri" w:cs="Calibri"/>
          <w:szCs w:val="22"/>
        </w:rPr>
        <w:t>recognised</w:t>
      </w:r>
      <w:proofErr w:type="gramEnd"/>
      <w:r w:rsidRPr="00F4112F">
        <w:rPr>
          <w:rFonts w:ascii="Calibri" w:eastAsiaTheme="minorEastAsia" w:hAnsi="Calibri" w:cs="Calibri"/>
          <w:szCs w:val="22"/>
        </w:rPr>
        <w:t xml:space="preserve"> and respected</w:t>
      </w:r>
      <w:r w:rsidR="0080588F" w:rsidRPr="00F4112F">
        <w:rPr>
          <w:rFonts w:ascii="Calibri" w:eastAsiaTheme="minorEastAsia" w:hAnsi="Calibri" w:cs="Calibri"/>
          <w:szCs w:val="22"/>
        </w:rPr>
        <w:t xml:space="preserve"> respecting and promoting diversity and inclusion develops a strong employment relationship with all employees as they feel valued</w:t>
      </w:r>
      <w:r w:rsidRPr="00F4112F">
        <w:rPr>
          <w:rFonts w:ascii="Calibri" w:eastAsiaTheme="minorEastAsia" w:hAnsi="Calibri" w:cs="Calibri"/>
          <w:szCs w:val="22"/>
        </w:rPr>
        <w:t>.</w:t>
      </w:r>
    </w:p>
    <w:p w14:paraId="3DC228F8" w14:textId="77777777" w:rsidR="0080588F" w:rsidRPr="00F4112F" w:rsidRDefault="0080588F" w:rsidP="00F4112F">
      <w:pPr>
        <w:pStyle w:val="Listparag"/>
        <w:numPr>
          <w:ilvl w:val="0"/>
          <w:numId w:val="0"/>
        </w:numPr>
        <w:spacing w:line="276" w:lineRule="auto"/>
        <w:rPr>
          <w:rFonts w:ascii="Calibri" w:eastAsiaTheme="minorEastAsia" w:hAnsi="Calibri" w:cs="Calibri"/>
          <w:szCs w:val="22"/>
        </w:rPr>
      </w:pPr>
    </w:p>
    <w:p w14:paraId="160C1E65" w14:textId="5D149F3D" w:rsidR="0080588F" w:rsidRPr="00F4112F" w:rsidRDefault="0080588F"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AC 3.5</w:t>
      </w:r>
    </w:p>
    <w:p w14:paraId="28E4058C" w14:textId="1D5669F8" w:rsidR="0080588F" w:rsidRPr="00F4112F" w:rsidRDefault="0080588F"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 xml:space="preserve">At times an employer must terminate a member of staff’s contract through dismissal, it is essential that there are policies and procedures in place to ensure that any dismissals are classed as </w:t>
      </w:r>
      <w:proofErr w:type="gramStart"/>
      <w:r w:rsidRPr="00F4112F">
        <w:rPr>
          <w:rFonts w:ascii="Calibri" w:eastAsiaTheme="minorEastAsia" w:hAnsi="Calibri" w:cs="Calibri"/>
          <w:szCs w:val="22"/>
        </w:rPr>
        <w:t>fair</w:t>
      </w:r>
      <w:proofErr w:type="gramEnd"/>
      <w:r w:rsidRPr="00F4112F">
        <w:rPr>
          <w:rFonts w:ascii="Calibri" w:eastAsiaTheme="minorEastAsia" w:hAnsi="Calibri" w:cs="Calibri"/>
          <w:szCs w:val="22"/>
        </w:rPr>
        <w:t xml:space="preserve"> or it could lead to a tribunal case. For a dismissal to be fair the reason for dismissal must be fair but also the handling of the dismissal.</w:t>
      </w:r>
    </w:p>
    <w:p w14:paraId="129E7C59" w14:textId="03057CA0" w:rsidR="0080588F" w:rsidRPr="00F4112F" w:rsidRDefault="0080588F"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Reasons for a fair dismissal can be found in the Employment Rights Act 1996, which includes:</w:t>
      </w:r>
    </w:p>
    <w:p w14:paraId="5AAE4738" w14:textId="041BA492" w:rsidR="0080588F" w:rsidRPr="00F4112F" w:rsidRDefault="0080588F" w:rsidP="00F4112F">
      <w:pPr>
        <w:pStyle w:val="Listparag"/>
        <w:numPr>
          <w:ilvl w:val="0"/>
          <w:numId w:val="9"/>
        </w:numPr>
        <w:spacing w:line="276" w:lineRule="auto"/>
        <w:rPr>
          <w:rFonts w:ascii="Calibri" w:eastAsiaTheme="minorEastAsia" w:hAnsi="Calibri" w:cs="Calibri"/>
          <w:szCs w:val="22"/>
        </w:rPr>
      </w:pPr>
      <w:r w:rsidRPr="00F4112F">
        <w:rPr>
          <w:rFonts w:ascii="Calibri" w:eastAsiaTheme="minorEastAsia" w:hAnsi="Calibri" w:cs="Calibri"/>
          <w:szCs w:val="22"/>
        </w:rPr>
        <w:t>Capability or qualification, if an employee is lacking the skills or qualifications to complete their job,</w:t>
      </w:r>
    </w:p>
    <w:p w14:paraId="1B3D412C" w14:textId="33851E67" w:rsidR="0080588F" w:rsidRPr="00F4112F" w:rsidRDefault="0080588F" w:rsidP="00F4112F">
      <w:pPr>
        <w:pStyle w:val="Listparag"/>
        <w:numPr>
          <w:ilvl w:val="0"/>
          <w:numId w:val="9"/>
        </w:numPr>
        <w:spacing w:line="276" w:lineRule="auto"/>
        <w:rPr>
          <w:rFonts w:ascii="Calibri" w:eastAsiaTheme="minorEastAsia" w:hAnsi="Calibri" w:cs="Calibri"/>
          <w:szCs w:val="22"/>
        </w:rPr>
      </w:pPr>
      <w:r w:rsidRPr="00F4112F">
        <w:rPr>
          <w:rFonts w:ascii="Calibri" w:eastAsiaTheme="minorEastAsia" w:hAnsi="Calibri" w:cs="Calibri"/>
          <w:szCs w:val="22"/>
        </w:rPr>
        <w:t>Conduct, the employer must be able to show that the employees conduct has broken the organisation’s rules,</w:t>
      </w:r>
    </w:p>
    <w:p w14:paraId="17DE61BA" w14:textId="2FA077BE" w:rsidR="0080588F" w:rsidRPr="00F4112F" w:rsidRDefault="0080588F" w:rsidP="00F4112F">
      <w:pPr>
        <w:pStyle w:val="Listparag"/>
        <w:numPr>
          <w:ilvl w:val="0"/>
          <w:numId w:val="9"/>
        </w:numPr>
        <w:spacing w:line="276" w:lineRule="auto"/>
        <w:rPr>
          <w:rFonts w:ascii="Calibri" w:eastAsiaTheme="minorEastAsia" w:hAnsi="Calibri" w:cs="Calibri"/>
          <w:szCs w:val="22"/>
        </w:rPr>
      </w:pPr>
      <w:r w:rsidRPr="00F4112F">
        <w:rPr>
          <w:rFonts w:ascii="Calibri" w:eastAsiaTheme="minorEastAsia" w:hAnsi="Calibri" w:cs="Calibri"/>
          <w:szCs w:val="22"/>
        </w:rPr>
        <w:t>Redundancy, if the role is no longer necessary,</w:t>
      </w:r>
    </w:p>
    <w:p w14:paraId="03D91B82" w14:textId="255FBCDE" w:rsidR="0080588F" w:rsidRPr="00F4112F" w:rsidRDefault="0080588F" w:rsidP="00F4112F">
      <w:pPr>
        <w:pStyle w:val="Listparag"/>
        <w:numPr>
          <w:ilvl w:val="0"/>
          <w:numId w:val="9"/>
        </w:numPr>
        <w:spacing w:line="276" w:lineRule="auto"/>
        <w:rPr>
          <w:rFonts w:ascii="Calibri" w:eastAsiaTheme="minorEastAsia" w:hAnsi="Calibri" w:cs="Calibri"/>
          <w:szCs w:val="22"/>
        </w:rPr>
      </w:pPr>
      <w:r w:rsidRPr="00F4112F">
        <w:rPr>
          <w:rFonts w:ascii="Calibri" w:eastAsiaTheme="minorEastAsia" w:hAnsi="Calibri" w:cs="Calibri"/>
          <w:szCs w:val="22"/>
        </w:rPr>
        <w:t>Legals restriction or statutory ban, if the law prevents an employee from completing their job,</w:t>
      </w:r>
    </w:p>
    <w:p w14:paraId="6300B537" w14:textId="70BC2CDA" w:rsidR="0080588F" w:rsidRPr="00F4112F" w:rsidRDefault="0080588F" w:rsidP="00F4112F">
      <w:pPr>
        <w:pStyle w:val="Listparag"/>
        <w:numPr>
          <w:ilvl w:val="0"/>
          <w:numId w:val="9"/>
        </w:numPr>
        <w:spacing w:line="276" w:lineRule="auto"/>
        <w:rPr>
          <w:rFonts w:ascii="Calibri" w:eastAsiaTheme="minorEastAsia" w:hAnsi="Calibri" w:cs="Calibri"/>
          <w:szCs w:val="22"/>
        </w:rPr>
      </w:pPr>
      <w:r w:rsidRPr="00F4112F">
        <w:rPr>
          <w:rFonts w:ascii="Calibri" w:eastAsiaTheme="minorEastAsia" w:hAnsi="Calibri" w:cs="Calibri"/>
          <w:szCs w:val="22"/>
        </w:rPr>
        <w:t>And some other substantial reason, the employer must be able to demonstrate that they acted reasonable and fair.</w:t>
      </w:r>
    </w:p>
    <w:p w14:paraId="04294E89" w14:textId="187C91DD" w:rsidR="0080588F" w:rsidRPr="00F4112F" w:rsidRDefault="0005563F"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According to Waite et al. (2021) u</w:t>
      </w:r>
      <w:r w:rsidR="0080588F" w:rsidRPr="00F4112F">
        <w:rPr>
          <w:rFonts w:ascii="Calibri" w:eastAsiaTheme="minorEastAsia" w:hAnsi="Calibri" w:cs="Calibri"/>
          <w:szCs w:val="22"/>
        </w:rPr>
        <w:t xml:space="preserve">nfair dismissal </w:t>
      </w:r>
      <w:r w:rsidRPr="00F4112F">
        <w:rPr>
          <w:rFonts w:ascii="Calibri" w:eastAsiaTheme="minorEastAsia" w:hAnsi="Calibri" w:cs="Calibri"/>
          <w:szCs w:val="22"/>
        </w:rPr>
        <w:t xml:space="preserve">is automatically deemed unfair if the reason relates to </w:t>
      </w:r>
    </w:p>
    <w:p w14:paraId="109CF0E4" w14:textId="77777777" w:rsidR="0005563F" w:rsidRPr="00F4112F" w:rsidRDefault="0005563F" w:rsidP="00F4112F">
      <w:pPr>
        <w:pStyle w:val="Listparag"/>
        <w:numPr>
          <w:ilvl w:val="0"/>
          <w:numId w:val="10"/>
        </w:numPr>
        <w:spacing w:line="276" w:lineRule="auto"/>
        <w:rPr>
          <w:rFonts w:ascii="Calibri" w:eastAsiaTheme="minorEastAsia" w:hAnsi="Calibri" w:cs="Calibri"/>
          <w:szCs w:val="22"/>
        </w:rPr>
      </w:pPr>
      <w:r w:rsidRPr="00F4112F">
        <w:rPr>
          <w:rFonts w:ascii="Calibri" w:eastAsiaTheme="minorEastAsia" w:hAnsi="Calibri" w:cs="Calibri"/>
          <w:szCs w:val="22"/>
          <w:lang w:val="en-US"/>
        </w:rPr>
        <w:t>Being pregnant or on maternity leave</w:t>
      </w:r>
    </w:p>
    <w:p w14:paraId="6FD2041C" w14:textId="77777777" w:rsidR="0005563F" w:rsidRPr="00F4112F" w:rsidRDefault="0005563F" w:rsidP="00F4112F">
      <w:pPr>
        <w:pStyle w:val="Listparag"/>
        <w:numPr>
          <w:ilvl w:val="0"/>
          <w:numId w:val="10"/>
        </w:numPr>
        <w:spacing w:line="276" w:lineRule="auto"/>
        <w:rPr>
          <w:rFonts w:ascii="Calibri" w:eastAsiaTheme="minorEastAsia" w:hAnsi="Calibri" w:cs="Calibri"/>
          <w:szCs w:val="22"/>
        </w:rPr>
      </w:pPr>
      <w:r w:rsidRPr="00F4112F">
        <w:rPr>
          <w:rFonts w:ascii="Calibri" w:eastAsiaTheme="minorEastAsia" w:hAnsi="Calibri" w:cs="Calibri"/>
          <w:szCs w:val="22"/>
          <w:lang w:val="en-US"/>
        </w:rPr>
        <w:lastRenderedPageBreak/>
        <w:t xml:space="preserve">Wanting to take family leave, for example parental, paternity or adoption </w:t>
      </w:r>
      <w:proofErr w:type="gramStart"/>
      <w:r w:rsidRPr="00F4112F">
        <w:rPr>
          <w:rFonts w:ascii="Calibri" w:eastAsiaTheme="minorEastAsia" w:hAnsi="Calibri" w:cs="Calibri"/>
          <w:szCs w:val="22"/>
          <w:lang w:val="en-US"/>
        </w:rPr>
        <w:t>leave</w:t>
      </w:r>
      <w:proofErr w:type="gramEnd"/>
      <w:r w:rsidRPr="00F4112F">
        <w:rPr>
          <w:rFonts w:ascii="Calibri" w:eastAsiaTheme="minorEastAsia" w:hAnsi="Calibri" w:cs="Calibri"/>
          <w:szCs w:val="22"/>
          <w:lang w:val="en-US"/>
        </w:rPr>
        <w:t xml:space="preserve"> </w:t>
      </w:r>
    </w:p>
    <w:p w14:paraId="66F4A998" w14:textId="77777777" w:rsidR="0005563F" w:rsidRPr="00F4112F" w:rsidRDefault="0005563F" w:rsidP="00F4112F">
      <w:pPr>
        <w:pStyle w:val="Listparag"/>
        <w:numPr>
          <w:ilvl w:val="0"/>
          <w:numId w:val="10"/>
        </w:numPr>
        <w:spacing w:line="276" w:lineRule="auto"/>
        <w:rPr>
          <w:rFonts w:ascii="Calibri" w:eastAsiaTheme="minorEastAsia" w:hAnsi="Calibri" w:cs="Calibri"/>
          <w:szCs w:val="22"/>
        </w:rPr>
      </w:pPr>
      <w:r w:rsidRPr="00F4112F">
        <w:rPr>
          <w:rFonts w:ascii="Calibri" w:eastAsiaTheme="minorEastAsia" w:hAnsi="Calibri" w:cs="Calibri"/>
          <w:szCs w:val="22"/>
          <w:lang w:val="en-US"/>
        </w:rPr>
        <w:t xml:space="preserve">Being a trade union member or representative </w:t>
      </w:r>
    </w:p>
    <w:p w14:paraId="531B1D23" w14:textId="42D23E5B" w:rsidR="0005563F" w:rsidRPr="00F4112F" w:rsidRDefault="0005563F" w:rsidP="00F4112F">
      <w:pPr>
        <w:pStyle w:val="Listparag"/>
        <w:numPr>
          <w:ilvl w:val="0"/>
          <w:numId w:val="10"/>
        </w:numPr>
        <w:spacing w:line="276" w:lineRule="auto"/>
        <w:rPr>
          <w:rFonts w:ascii="Calibri" w:eastAsiaTheme="minorEastAsia" w:hAnsi="Calibri" w:cs="Calibri"/>
          <w:szCs w:val="22"/>
        </w:rPr>
      </w:pPr>
      <w:r w:rsidRPr="00F4112F">
        <w:rPr>
          <w:rFonts w:ascii="Calibri" w:eastAsiaTheme="minorEastAsia" w:hAnsi="Calibri" w:cs="Calibri"/>
          <w:szCs w:val="22"/>
          <w:lang w:val="en-US"/>
        </w:rPr>
        <w:t>Asking for a legal right</w:t>
      </w:r>
      <w:r w:rsidRPr="00F4112F">
        <w:rPr>
          <w:rFonts w:ascii="Calibri" w:eastAsiaTheme="minorEastAsia" w:hAnsi="Calibri" w:cs="Calibri"/>
          <w:szCs w:val="22"/>
          <w:lang w:val="en-US"/>
        </w:rPr>
        <w:t xml:space="preserve">, for example to be paid the national minimum </w:t>
      </w:r>
      <w:proofErr w:type="gramStart"/>
      <w:r w:rsidRPr="00F4112F">
        <w:rPr>
          <w:rFonts w:ascii="Calibri" w:eastAsiaTheme="minorEastAsia" w:hAnsi="Calibri" w:cs="Calibri"/>
          <w:szCs w:val="22"/>
          <w:lang w:val="en-US"/>
        </w:rPr>
        <w:t>wage</w:t>
      </w:r>
      <w:proofErr w:type="gramEnd"/>
    </w:p>
    <w:p w14:paraId="5239974A" w14:textId="77777777" w:rsidR="0005563F" w:rsidRPr="00F4112F" w:rsidRDefault="0005563F" w:rsidP="00F4112F">
      <w:pPr>
        <w:pStyle w:val="Listparag"/>
        <w:numPr>
          <w:ilvl w:val="0"/>
          <w:numId w:val="10"/>
        </w:numPr>
        <w:spacing w:line="276" w:lineRule="auto"/>
        <w:rPr>
          <w:rFonts w:ascii="Calibri" w:eastAsiaTheme="minorEastAsia" w:hAnsi="Calibri" w:cs="Calibri"/>
          <w:szCs w:val="22"/>
        </w:rPr>
      </w:pPr>
      <w:r w:rsidRPr="00F4112F">
        <w:rPr>
          <w:rFonts w:ascii="Calibri" w:eastAsiaTheme="minorEastAsia" w:hAnsi="Calibri" w:cs="Calibri"/>
          <w:szCs w:val="22"/>
          <w:lang w:val="en-US"/>
        </w:rPr>
        <w:t xml:space="preserve">Doing jury service </w:t>
      </w:r>
    </w:p>
    <w:p w14:paraId="066DC7FB" w14:textId="77777777" w:rsidR="0005563F" w:rsidRPr="00F4112F" w:rsidRDefault="0005563F" w:rsidP="00F4112F">
      <w:pPr>
        <w:pStyle w:val="Listparag"/>
        <w:numPr>
          <w:ilvl w:val="0"/>
          <w:numId w:val="10"/>
        </w:numPr>
        <w:spacing w:line="276" w:lineRule="auto"/>
        <w:rPr>
          <w:rFonts w:ascii="Calibri" w:eastAsiaTheme="minorEastAsia" w:hAnsi="Calibri" w:cs="Calibri"/>
          <w:szCs w:val="22"/>
        </w:rPr>
      </w:pPr>
      <w:r w:rsidRPr="00F4112F">
        <w:rPr>
          <w:rFonts w:ascii="Calibri" w:eastAsiaTheme="minorEastAsia" w:hAnsi="Calibri" w:cs="Calibri"/>
          <w:szCs w:val="22"/>
          <w:lang w:val="en-US"/>
        </w:rPr>
        <w:t xml:space="preserve">Being involved in whistleblowing </w:t>
      </w:r>
    </w:p>
    <w:p w14:paraId="3C9D9058" w14:textId="77777777" w:rsidR="0005563F" w:rsidRPr="00F4112F" w:rsidRDefault="0005563F" w:rsidP="00F4112F">
      <w:pPr>
        <w:pStyle w:val="Listparag"/>
        <w:numPr>
          <w:ilvl w:val="0"/>
          <w:numId w:val="10"/>
        </w:numPr>
        <w:spacing w:line="276" w:lineRule="auto"/>
        <w:rPr>
          <w:rFonts w:ascii="Calibri" w:eastAsiaTheme="minorEastAsia" w:hAnsi="Calibri" w:cs="Calibri"/>
          <w:szCs w:val="22"/>
        </w:rPr>
      </w:pPr>
      <w:r w:rsidRPr="00F4112F">
        <w:rPr>
          <w:rFonts w:ascii="Calibri" w:eastAsiaTheme="minorEastAsia" w:hAnsi="Calibri" w:cs="Calibri"/>
          <w:szCs w:val="22"/>
          <w:lang w:val="en-US"/>
        </w:rPr>
        <w:t xml:space="preserve">Taking action, or proposing to take action over a health and safety </w:t>
      </w:r>
      <w:proofErr w:type="gramStart"/>
      <w:r w:rsidRPr="00F4112F">
        <w:rPr>
          <w:rFonts w:ascii="Calibri" w:eastAsiaTheme="minorEastAsia" w:hAnsi="Calibri" w:cs="Calibri"/>
          <w:szCs w:val="22"/>
          <w:lang w:val="en-US"/>
        </w:rPr>
        <w:t>issue</w:t>
      </w:r>
      <w:proofErr w:type="gramEnd"/>
    </w:p>
    <w:p w14:paraId="7AE6EAE4" w14:textId="7C4A1FAB" w:rsidR="00F4112F" w:rsidRPr="00F4112F" w:rsidRDefault="00F4112F"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Sometimes a dismissal may be deemed unfair if the way it is handled is unfair, although the reasoning was fair or if an employee feels they have no other choice but to resign because of something serious the employer has done.</w:t>
      </w:r>
    </w:p>
    <w:p w14:paraId="1C735C34" w14:textId="4238601E" w:rsidR="00180FB7" w:rsidRPr="00F4112F" w:rsidRDefault="00F4112F" w:rsidP="00F4112F">
      <w:pPr>
        <w:pStyle w:val="Listparag"/>
        <w:numPr>
          <w:ilvl w:val="0"/>
          <w:numId w:val="0"/>
        </w:numPr>
        <w:spacing w:line="276" w:lineRule="auto"/>
        <w:rPr>
          <w:rFonts w:ascii="Calibri" w:eastAsiaTheme="minorEastAsia" w:hAnsi="Calibri" w:cs="Calibri"/>
          <w:szCs w:val="22"/>
        </w:rPr>
      </w:pPr>
      <w:r w:rsidRPr="00F4112F">
        <w:rPr>
          <w:rFonts w:ascii="Calibri" w:eastAsiaTheme="minorEastAsia" w:hAnsi="Calibri" w:cs="Calibri"/>
          <w:szCs w:val="22"/>
        </w:rPr>
        <w:t xml:space="preserve">When considering </w:t>
      </w:r>
      <w:r w:rsidR="00180FB7" w:rsidRPr="00F4112F">
        <w:rPr>
          <w:rFonts w:ascii="Calibri" w:eastAsiaTheme="minorEastAsia" w:hAnsi="Calibri" w:cs="Calibri"/>
          <w:szCs w:val="22"/>
        </w:rPr>
        <w:t xml:space="preserve"> </w:t>
      </w:r>
      <w:r w:rsidRPr="00F4112F">
        <w:rPr>
          <w:rFonts w:ascii="Calibri" w:eastAsiaTheme="minorEastAsia" w:hAnsi="Calibri" w:cs="Calibri"/>
          <w:szCs w:val="22"/>
        </w:rPr>
        <w:t>wellbeing, work-life balance, diversity and all the other topics discussed today, they are all underpinned by strong policies and procedures to have in place to ensure if any situation arises the organisation is aware of how to deal with it effectively and within the law.</w:t>
      </w:r>
    </w:p>
    <w:p w14:paraId="03E32806" w14:textId="77777777" w:rsidR="00F4112F" w:rsidRPr="00F4112F" w:rsidRDefault="00F4112F" w:rsidP="00F4112F">
      <w:pPr>
        <w:pStyle w:val="Listparag"/>
        <w:numPr>
          <w:ilvl w:val="0"/>
          <w:numId w:val="0"/>
        </w:numPr>
        <w:spacing w:line="276" w:lineRule="auto"/>
        <w:ind w:left="142"/>
        <w:rPr>
          <w:rFonts w:ascii="Calibri" w:eastAsiaTheme="minorEastAsia" w:hAnsi="Calibri" w:cs="Calibri"/>
          <w:szCs w:val="22"/>
        </w:rPr>
      </w:pPr>
    </w:p>
    <w:p w14:paraId="4633C673" w14:textId="77777777" w:rsidR="00F4112F" w:rsidRPr="00F4112F" w:rsidRDefault="00F4112F" w:rsidP="00F4112F">
      <w:pPr>
        <w:spacing w:line="276" w:lineRule="auto"/>
        <w:rPr>
          <w:rFonts w:ascii="Calibri" w:hAnsi="Calibri" w:cs="Calibri"/>
          <w:szCs w:val="22"/>
          <w:u w:val="single"/>
        </w:rPr>
      </w:pPr>
      <w:r w:rsidRPr="00F4112F">
        <w:rPr>
          <w:rFonts w:ascii="Calibri" w:hAnsi="Calibri" w:cs="Calibri"/>
          <w:szCs w:val="22"/>
          <w:u w:val="single"/>
        </w:rPr>
        <w:t>Reference List</w:t>
      </w:r>
    </w:p>
    <w:p w14:paraId="4B510783" w14:textId="77777777" w:rsidR="00F4112F" w:rsidRPr="00F4112F" w:rsidRDefault="00F4112F" w:rsidP="00F4112F">
      <w:pPr>
        <w:spacing w:line="276" w:lineRule="auto"/>
        <w:rPr>
          <w:rFonts w:ascii="Calibri" w:hAnsi="Calibri" w:cs="Calibri"/>
          <w:szCs w:val="22"/>
        </w:rPr>
      </w:pPr>
      <w:r w:rsidRPr="00F4112F">
        <w:rPr>
          <w:rFonts w:ascii="Calibri" w:hAnsi="Calibri" w:cs="Calibri"/>
          <w:szCs w:val="22"/>
        </w:rPr>
        <w:t xml:space="preserve">ACAS. () </w:t>
      </w:r>
      <w:r w:rsidRPr="00F4112F">
        <w:rPr>
          <w:rFonts w:ascii="Calibri" w:hAnsi="Calibri" w:cs="Calibri"/>
          <w:i/>
          <w:iCs/>
          <w:szCs w:val="22"/>
        </w:rPr>
        <w:t xml:space="preserve">Equality, </w:t>
      </w:r>
      <w:proofErr w:type="gramStart"/>
      <w:r w:rsidRPr="00F4112F">
        <w:rPr>
          <w:rFonts w:ascii="Calibri" w:hAnsi="Calibri" w:cs="Calibri"/>
          <w:i/>
          <w:iCs/>
          <w:szCs w:val="22"/>
        </w:rPr>
        <w:t>diversity</w:t>
      </w:r>
      <w:proofErr w:type="gramEnd"/>
      <w:r w:rsidRPr="00F4112F">
        <w:rPr>
          <w:rFonts w:ascii="Calibri" w:hAnsi="Calibri" w:cs="Calibri"/>
          <w:i/>
          <w:iCs/>
          <w:szCs w:val="22"/>
        </w:rPr>
        <w:t xml:space="preserve"> and inclusion. </w:t>
      </w:r>
      <w:r w:rsidRPr="00F4112F">
        <w:rPr>
          <w:rFonts w:ascii="Calibri" w:hAnsi="Calibri" w:cs="Calibri"/>
          <w:szCs w:val="22"/>
        </w:rPr>
        <w:t xml:space="preserve">Available at: </w:t>
      </w:r>
      <w:hyperlink r:id="rId5" w:history="1">
        <w:r w:rsidRPr="00F4112F">
          <w:rPr>
            <w:rStyle w:val="Hyperlink"/>
            <w:rFonts w:ascii="Calibri" w:hAnsi="Calibri" w:cs="Calibri"/>
            <w:szCs w:val="22"/>
          </w:rPr>
          <w:t>https://www.acas.org.uk/improving-equality-diversity-and-inclusion/making-your-workplace-inclusive</w:t>
        </w:r>
      </w:hyperlink>
      <w:r w:rsidRPr="00F4112F">
        <w:rPr>
          <w:rFonts w:ascii="Calibri" w:hAnsi="Calibri" w:cs="Calibri"/>
          <w:szCs w:val="22"/>
        </w:rPr>
        <w:t xml:space="preserve"> (Accessed 10 May 2024)</w:t>
      </w:r>
    </w:p>
    <w:p w14:paraId="7E9A0F58" w14:textId="77777777" w:rsidR="00F4112F" w:rsidRPr="00F4112F" w:rsidRDefault="00F4112F" w:rsidP="00F4112F">
      <w:pPr>
        <w:tabs>
          <w:tab w:val="left" w:pos="1354"/>
        </w:tabs>
        <w:spacing w:line="276" w:lineRule="auto"/>
        <w:rPr>
          <w:rFonts w:ascii="Calibri" w:hAnsi="Calibri" w:cs="Calibri"/>
          <w:szCs w:val="22"/>
        </w:rPr>
      </w:pPr>
      <w:r w:rsidRPr="00F4112F">
        <w:rPr>
          <w:rFonts w:ascii="Calibri" w:hAnsi="Calibri" w:cs="Calibri"/>
          <w:szCs w:val="22"/>
        </w:rPr>
        <w:t xml:space="preserve">CIPD (2022) </w:t>
      </w:r>
      <w:r w:rsidRPr="00F4112F">
        <w:rPr>
          <w:rFonts w:ascii="Calibri" w:hAnsi="Calibri" w:cs="Calibri"/>
          <w:i/>
          <w:iCs/>
          <w:szCs w:val="22"/>
        </w:rPr>
        <w:t xml:space="preserve">Inclusion and diversity in the workplace. </w:t>
      </w:r>
      <w:r w:rsidRPr="00F4112F">
        <w:rPr>
          <w:rFonts w:ascii="Calibri" w:hAnsi="Calibri" w:cs="Calibri"/>
          <w:szCs w:val="22"/>
        </w:rPr>
        <w:t>London: Chartered Institute of Personnel and Development.</w:t>
      </w:r>
    </w:p>
    <w:p w14:paraId="774B8C3D" w14:textId="77777777" w:rsidR="00F4112F" w:rsidRPr="00F4112F" w:rsidRDefault="00F4112F" w:rsidP="00F4112F">
      <w:pPr>
        <w:spacing w:line="276" w:lineRule="auto"/>
        <w:rPr>
          <w:rFonts w:ascii="Calibri" w:hAnsi="Calibri" w:cs="Calibri"/>
          <w:szCs w:val="22"/>
        </w:rPr>
      </w:pPr>
      <w:r w:rsidRPr="00F4112F">
        <w:rPr>
          <w:rFonts w:ascii="Calibri" w:hAnsi="Calibri" w:cs="Calibri"/>
          <w:szCs w:val="22"/>
        </w:rPr>
        <w:t>CIPD. (2019)</w:t>
      </w:r>
      <w:r w:rsidRPr="00F4112F">
        <w:rPr>
          <w:rFonts w:ascii="Calibri" w:hAnsi="Calibri" w:cs="Calibri"/>
          <w:i/>
          <w:iCs/>
          <w:szCs w:val="22"/>
        </w:rPr>
        <w:t xml:space="preserve"> UK Working Lives. </w:t>
      </w:r>
      <w:bookmarkStart w:id="1" w:name="_Hlk168008582"/>
      <w:r w:rsidRPr="00F4112F">
        <w:rPr>
          <w:rFonts w:ascii="Calibri" w:hAnsi="Calibri" w:cs="Calibri"/>
          <w:szCs w:val="22"/>
        </w:rPr>
        <w:t>London: Chartered Institute of Personnel and Development.</w:t>
      </w:r>
      <w:bookmarkEnd w:id="1"/>
    </w:p>
    <w:p w14:paraId="2850084E" w14:textId="77777777" w:rsidR="00F4112F" w:rsidRPr="00F4112F" w:rsidRDefault="00F4112F" w:rsidP="00F4112F">
      <w:pPr>
        <w:spacing w:line="276" w:lineRule="auto"/>
        <w:rPr>
          <w:rFonts w:ascii="Calibri" w:hAnsi="Calibri" w:cs="Calibri"/>
          <w:szCs w:val="22"/>
        </w:rPr>
      </w:pPr>
      <w:r w:rsidRPr="00F4112F">
        <w:rPr>
          <w:rFonts w:ascii="Calibri" w:hAnsi="Calibri" w:cs="Calibri"/>
          <w:szCs w:val="22"/>
        </w:rPr>
        <w:t>Employment Rights Act 1996 Available at: https://www.legislation.gov.uk/ukpga/1996/18/contents (Accessed: 29 May 2024)</w:t>
      </w:r>
    </w:p>
    <w:p w14:paraId="215B73D3" w14:textId="77777777" w:rsidR="00F4112F" w:rsidRPr="00F4112F" w:rsidRDefault="00F4112F" w:rsidP="00F4112F">
      <w:pPr>
        <w:spacing w:line="276" w:lineRule="auto"/>
        <w:rPr>
          <w:rFonts w:ascii="Calibri" w:hAnsi="Calibri" w:cs="Calibri"/>
          <w:szCs w:val="22"/>
        </w:rPr>
      </w:pPr>
      <w:r w:rsidRPr="00F4112F">
        <w:rPr>
          <w:rFonts w:ascii="Calibri" w:hAnsi="Calibri" w:cs="Calibri"/>
          <w:szCs w:val="22"/>
        </w:rPr>
        <w:t>Equality Act 2010 Available at: https://www.legislation.gov.uk/ukpga/2010/15/contents (Accessed: 29 May 2024)</w:t>
      </w:r>
    </w:p>
    <w:p w14:paraId="4C77372D" w14:textId="77777777" w:rsidR="00F4112F" w:rsidRPr="00F4112F" w:rsidRDefault="00F4112F" w:rsidP="00F4112F">
      <w:pPr>
        <w:spacing w:line="276" w:lineRule="auto"/>
        <w:rPr>
          <w:rFonts w:ascii="Calibri" w:hAnsi="Calibri" w:cs="Calibri"/>
          <w:szCs w:val="22"/>
        </w:rPr>
      </w:pPr>
      <w:r w:rsidRPr="00F4112F">
        <w:rPr>
          <w:rFonts w:ascii="Calibri" w:hAnsi="Calibri" w:cs="Calibri"/>
          <w:szCs w:val="22"/>
        </w:rPr>
        <w:t xml:space="preserve">Fisher, C. D. (2010) </w:t>
      </w:r>
      <w:r w:rsidRPr="00F4112F">
        <w:rPr>
          <w:rFonts w:ascii="Calibri" w:hAnsi="Calibri" w:cs="Calibri"/>
          <w:i/>
          <w:iCs/>
          <w:szCs w:val="22"/>
        </w:rPr>
        <w:t>Happiness at Work</w:t>
      </w:r>
      <w:r w:rsidRPr="00F4112F">
        <w:rPr>
          <w:rFonts w:ascii="Calibri" w:hAnsi="Calibri" w:cs="Calibri"/>
          <w:szCs w:val="22"/>
        </w:rPr>
        <w:t xml:space="preserve">. International Journal of Management Reviews. Available at: </w:t>
      </w:r>
      <w:hyperlink r:id="rId6" w:history="1">
        <w:r w:rsidRPr="00F4112F">
          <w:rPr>
            <w:rStyle w:val="Hyperlink"/>
            <w:rFonts w:ascii="Calibri" w:hAnsi="Calibri" w:cs="Calibri"/>
            <w:szCs w:val="22"/>
          </w:rPr>
          <w:t>https://doi.org/10.1111/j.1468-2370.2009.00270.x</w:t>
        </w:r>
      </w:hyperlink>
      <w:r w:rsidRPr="00F4112F">
        <w:rPr>
          <w:rFonts w:ascii="Calibri" w:hAnsi="Calibri" w:cs="Calibri"/>
          <w:szCs w:val="22"/>
        </w:rPr>
        <w:t xml:space="preserve"> (Accessed: 30 May 2024)</w:t>
      </w:r>
    </w:p>
    <w:p w14:paraId="148C84CE" w14:textId="77777777" w:rsidR="00F4112F" w:rsidRPr="00F4112F" w:rsidRDefault="00F4112F" w:rsidP="00F4112F">
      <w:pPr>
        <w:spacing w:line="276" w:lineRule="auto"/>
        <w:rPr>
          <w:rFonts w:ascii="Calibri" w:hAnsi="Calibri" w:cs="Calibri"/>
          <w:szCs w:val="22"/>
        </w:rPr>
      </w:pPr>
      <w:r w:rsidRPr="00F4112F">
        <w:rPr>
          <w:rFonts w:ascii="Calibri" w:hAnsi="Calibri" w:cs="Calibri"/>
          <w:szCs w:val="22"/>
        </w:rPr>
        <w:t xml:space="preserve">Grant, A. M., Christianson, M. K. and Price, R. H. (2007) </w:t>
      </w:r>
      <w:r w:rsidRPr="00F4112F">
        <w:rPr>
          <w:rFonts w:ascii="Calibri" w:hAnsi="Calibri" w:cs="Calibri"/>
          <w:i/>
          <w:iCs/>
          <w:szCs w:val="22"/>
        </w:rPr>
        <w:t xml:space="preserve">Happiness, </w:t>
      </w:r>
      <w:proofErr w:type="gramStart"/>
      <w:r w:rsidRPr="00F4112F">
        <w:rPr>
          <w:rFonts w:ascii="Calibri" w:hAnsi="Calibri" w:cs="Calibri"/>
          <w:i/>
          <w:iCs/>
          <w:szCs w:val="22"/>
        </w:rPr>
        <w:t>Health</w:t>
      </w:r>
      <w:proofErr w:type="gramEnd"/>
      <w:r w:rsidRPr="00F4112F">
        <w:rPr>
          <w:rFonts w:ascii="Calibri" w:hAnsi="Calibri" w:cs="Calibri"/>
          <w:i/>
          <w:iCs/>
          <w:szCs w:val="22"/>
        </w:rPr>
        <w:t xml:space="preserve"> or Relationships? Managerial Practices and Employee Well-Being </w:t>
      </w:r>
      <w:proofErr w:type="spellStart"/>
      <w:r w:rsidRPr="00F4112F">
        <w:rPr>
          <w:rFonts w:ascii="Calibri" w:hAnsi="Calibri" w:cs="Calibri"/>
          <w:i/>
          <w:iCs/>
          <w:szCs w:val="22"/>
        </w:rPr>
        <w:t>Tradeoffs</w:t>
      </w:r>
      <w:proofErr w:type="spellEnd"/>
      <w:r w:rsidRPr="00F4112F">
        <w:rPr>
          <w:rFonts w:ascii="Calibri" w:hAnsi="Calibri" w:cs="Calibri"/>
          <w:i/>
          <w:iCs/>
          <w:szCs w:val="22"/>
        </w:rPr>
        <w:t xml:space="preserve">. </w:t>
      </w:r>
      <w:r w:rsidRPr="00F4112F">
        <w:rPr>
          <w:rFonts w:ascii="Calibri" w:hAnsi="Calibri" w:cs="Calibri"/>
          <w:szCs w:val="22"/>
        </w:rPr>
        <w:t xml:space="preserve">Academy of Management </w:t>
      </w:r>
      <w:proofErr w:type="spellStart"/>
      <w:r w:rsidRPr="00F4112F">
        <w:rPr>
          <w:rFonts w:ascii="Calibri" w:hAnsi="Calibri" w:cs="Calibri"/>
          <w:szCs w:val="22"/>
        </w:rPr>
        <w:t>Perspecitives</w:t>
      </w:r>
      <w:proofErr w:type="spellEnd"/>
      <w:r w:rsidRPr="00F4112F">
        <w:rPr>
          <w:rFonts w:ascii="Calibri" w:hAnsi="Calibri" w:cs="Calibri"/>
          <w:szCs w:val="22"/>
        </w:rPr>
        <w:t>.</w:t>
      </w:r>
    </w:p>
    <w:p w14:paraId="6DCF82F0" w14:textId="77777777" w:rsidR="00F4112F" w:rsidRPr="00F4112F" w:rsidRDefault="00F4112F" w:rsidP="00F4112F">
      <w:pPr>
        <w:spacing w:line="276" w:lineRule="auto"/>
        <w:rPr>
          <w:rFonts w:ascii="Calibri" w:hAnsi="Calibri" w:cs="Calibri"/>
          <w:szCs w:val="22"/>
        </w:rPr>
      </w:pPr>
      <w:r w:rsidRPr="00F4112F">
        <w:rPr>
          <w:rFonts w:ascii="Calibri" w:hAnsi="Calibri" w:cs="Calibri"/>
          <w:szCs w:val="22"/>
        </w:rPr>
        <w:t xml:space="preserve">Noon, M and Blyton, P (2007) </w:t>
      </w:r>
      <w:r w:rsidRPr="00F4112F">
        <w:rPr>
          <w:rFonts w:ascii="Calibri" w:hAnsi="Calibri" w:cs="Calibri"/>
          <w:i/>
          <w:iCs/>
          <w:szCs w:val="22"/>
        </w:rPr>
        <w:t>The Realities of Work: Experiencing work and employment in contemporary society</w:t>
      </w:r>
      <w:r w:rsidRPr="00F4112F">
        <w:rPr>
          <w:rFonts w:ascii="Calibri" w:hAnsi="Calibri" w:cs="Calibri"/>
          <w:szCs w:val="22"/>
        </w:rPr>
        <w:t>. 3</w:t>
      </w:r>
      <w:r w:rsidRPr="00F4112F">
        <w:rPr>
          <w:rFonts w:ascii="Calibri" w:hAnsi="Calibri" w:cs="Calibri"/>
          <w:szCs w:val="22"/>
          <w:vertAlign w:val="superscript"/>
        </w:rPr>
        <w:t>rd</w:t>
      </w:r>
      <w:r w:rsidRPr="00F4112F">
        <w:rPr>
          <w:rFonts w:ascii="Calibri" w:hAnsi="Calibri" w:cs="Calibri"/>
          <w:szCs w:val="22"/>
        </w:rPr>
        <w:t xml:space="preserve"> </w:t>
      </w:r>
      <w:proofErr w:type="spellStart"/>
      <w:r w:rsidRPr="00F4112F">
        <w:rPr>
          <w:rFonts w:ascii="Calibri" w:hAnsi="Calibri" w:cs="Calibri"/>
          <w:szCs w:val="22"/>
        </w:rPr>
        <w:t>edn</w:t>
      </w:r>
      <w:proofErr w:type="spellEnd"/>
      <w:r w:rsidRPr="00F4112F">
        <w:rPr>
          <w:rFonts w:ascii="Calibri" w:hAnsi="Calibri" w:cs="Calibri"/>
          <w:szCs w:val="22"/>
        </w:rPr>
        <w:t>. Palgrave Macmillan</w:t>
      </w:r>
    </w:p>
    <w:p w14:paraId="4CDF228E" w14:textId="77777777" w:rsidR="00F4112F" w:rsidRPr="00F4112F" w:rsidRDefault="00F4112F" w:rsidP="00F4112F">
      <w:pPr>
        <w:spacing w:line="276" w:lineRule="auto"/>
        <w:rPr>
          <w:rFonts w:ascii="Calibri" w:hAnsi="Calibri" w:cs="Calibri"/>
          <w:szCs w:val="22"/>
        </w:rPr>
      </w:pPr>
      <w:r w:rsidRPr="00F4112F">
        <w:rPr>
          <w:rFonts w:ascii="Calibri" w:hAnsi="Calibri" w:cs="Calibri"/>
          <w:szCs w:val="22"/>
        </w:rPr>
        <w:t>Waite, K., Beevers, K., Small, N., Tomlinson, K. and Hussain, S. (2021) People practice: a complete guide. London: Kogan Page Limited.</w:t>
      </w:r>
    </w:p>
    <w:p w14:paraId="273D74AF" w14:textId="77777777" w:rsidR="00F4112F" w:rsidRPr="00F4112F" w:rsidRDefault="00F4112F" w:rsidP="00F4112F">
      <w:pPr>
        <w:spacing w:line="276" w:lineRule="auto"/>
        <w:rPr>
          <w:rFonts w:ascii="Calibri" w:hAnsi="Calibri" w:cs="Calibri"/>
          <w:szCs w:val="22"/>
        </w:rPr>
      </w:pPr>
      <w:r w:rsidRPr="00F4112F">
        <w:rPr>
          <w:rFonts w:ascii="Calibri" w:hAnsi="Calibri" w:cs="Calibri"/>
          <w:szCs w:val="22"/>
        </w:rPr>
        <w:t xml:space="preserve">Working Time Regulations 1998. Available at: </w:t>
      </w:r>
      <w:hyperlink r:id="rId7" w:history="1">
        <w:r w:rsidRPr="00F4112F">
          <w:rPr>
            <w:rStyle w:val="Hyperlink"/>
            <w:rFonts w:ascii="Calibri" w:hAnsi="Calibri" w:cs="Calibri"/>
            <w:szCs w:val="22"/>
          </w:rPr>
          <w:t>https://www.legislation.gov.uk/uksi/1998/1833/contents</w:t>
        </w:r>
      </w:hyperlink>
      <w:r w:rsidRPr="00F4112F">
        <w:rPr>
          <w:rFonts w:ascii="Calibri" w:hAnsi="Calibri" w:cs="Calibri"/>
          <w:szCs w:val="22"/>
        </w:rPr>
        <w:t xml:space="preserve"> (Accessed: 30 May 2024)</w:t>
      </w:r>
    </w:p>
    <w:p w14:paraId="0CFFA398" w14:textId="77777777" w:rsidR="00F4112F" w:rsidRPr="00F4112F" w:rsidRDefault="00F4112F" w:rsidP="00F4112F">
      <w:pPr>
        <w:pStyle w:val="Listparag"/>
        <w:numPr>
          <w:ilvl w:val="0"/>
          <w:numId w:val="0"/>
        </w:numPr>
        <w:spacing w:line="276" w:lineRule="auto"/>
        <w:ind w:left="142"/>
        <w:rPr>
          <w:rFonts w:ascii="Calibri" w:eastAsiaTheme="minorEastAsia" w:hAnsi="Calibri" w:cs="Calibri"/>
          <w:szCs w:val="22"/>
        </w:rPr>
      </w:pPr>
    </w:p>
    <w:sectPr w:rsidR="00F4112F" w:rsidRPr="00F411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77022"/>
    <w:multiLevelType w:val="hybridMultilevel"/>
    <w:tmpl w:val="4946692A"/>
    <w:lvl w:ilvl="0" w:tplc="E19490DA">
      <w:start w:val="1"/>
      <w:numFmt w:val="bullet"/>
      <w:lvlText w:val="•"/>
      <w:lvlJc w:val="left"/>
      <w:pPr>
        <w:tabs>
          <w:tab w:val="num" w:pos="720"/>
        </w:tabs>
        <w:ind w:left="720" w:hanging="360"/>
      </w:pPr>
      <w:rPr>
        <w:rFonts w:ascii="Arial" w:hAnsi="Arial" w:hint="default"/>
      </w:rPr>
    </w:lvl>
    <w:lvl w:ilvl="1" w:tplc="8B5E3830" w:tentative="1">
      <w:start w:val="1"/>
      <w:numFmt w:val="bullet"/>
      <w:lvlText w:val="•"/>
      <w:lvlJc w:val="left"/>
      <w:pPr>
        <w:tabs>
          <w:tab w:val="num" w:pos="1440"/>
        </w:tabs>
        <w:ind w:left="1440" w:hanging="360"/>
      </w:pPr>
      <w:rPr>
        <w:rFonts w:ascii="Arial" w:hAnsi="Arial" w:hint="default"/>
      </w:rPr>
    </w:lvl>
    <w:lvl w:ilvl="2" w:tplc="05862620" w:tentative="1">
      <w:start w:val="1"/>
      <w:numFmt w:val="bullet"/>
      <w:lvlText w:val="•"/>
      <w:lvlJc w:val="left"/>
      <w:pPr>
        <w:tabs>
          <w:tab w:val="num" w:pos="2160"/>
        </w:tabs>
        <w:ind w:left="2160" w:hanging="360"/>
      </w:pPr>
      <w:rPr>
        <w:rFonts w:ascii="Arial" w:hAnsi="Arial" w:hint="default"/>
      </w:rPr>
    </w:lvl>
    <w:lvl w:ilvl="3" w:tplc="EF7C28AA" w:tentative="1">
      <w:start w:val="1"/>
      <w:numFmt w:val="bullet"/>
      <w:lvlText w:val="•"/>
      <w:lvlJc w:val="left"/>
      <w:pPr>
        <w:tabs>
          <w:tab w:val="num" w:pos="2880"/>
        </w:tabs>
        <w:ind w:left="2880" w:hanging="360"/>
      </w:pPr>
      <w:rPr>
        <w:rFonts w:ascii="Arial" w:hAnsi="Arial" w:hint="default"/>
      </w:rPr>
    </w:lvl>
    <w:lvl w:ilvl="4" w:tplc="6AEEB470" w:tentative="1">
      <w:start w:val="1"/>
      <w:numFmt w:val="bullet"/>
      <w:lvlText w:val="•"/>
      <w:lvlJc w:val="left"/>
      <w:pPr>
        <w:tabs>
          <w:tab w:val="num" w:pos="3600"/>
        </w:tabs>
        <w:ind w:left="3600" w:hanging="360"/>
      </w:pPr>
      <w:rPr>
        <w:rFonts w:ascii="Arial" w:hAnsi="Arial" w:hint="default"/>
      </w:rPr>
    </w:lvl>
    <w:lvl w:ilvl="5" w:tplc="AADE97B0" w:tentative="1">
      <w:start w:val="1"/>
      <w:numFmt w:val="bullet"/>
      <w:lvlText w:val="•"/>
      <w:lvlJc w:val="left"/>
      <w:pPr>
        <w:tabs>
          <w:tab w:val="num" w:pos="4320"/>
        </w:tabs>
        <w:ind w:left="4320" w:hanging="360"/>
      </w:pPr>
      <w:rPr>
        <w:rFonts w:ascii="Arial" w:hAnsi="Arial" w:hint="default"/>
      </w:rPr>
    </w:lvl>
    <w:lvl w:ilvl="6" w:tplc="D390CC64" w:tentative="1">
      <w:start w:val="1"/>
      <w:numFmt w:val="bullet"/>
      <w:lvlText w:val="•"/>
      <w:lvlJc w:val="left"/>
      <w:pPr>
        <w:tabs>
          <w:tab w:val="num" w:pos="5040"/>
        </w:tabs>
        <w:ind w:left="5040" w:hanging="360"/>
      </w:pPr>
      <w:rPr>
        <w:rFonts w:ascii="Arial" w:hAnsi="Arial" w:hint="default"/>
      </w:rPr>
    </w:lvl>
    <w:lvl w:ilvl="7" w:tplc="C484747C" w:tentative="1">
      <w:start w:val="1"/>
      <w:numFmt w:val="bullet"/>
      <w:lvlText w:val="•"/>
      <w:lvlJc w:val="left"/>
      <w:pPr>
        <w:tabs>
          <w:tab w:val="num" w:pos="5760"/>
        </w:tabs>
        <w:ind w:left="5760" w:hanging="360"/>
      </w:pPr>
      <w:rPr>
        <w:rFonts w:ascii="Arial" w:hAnsi="Arial" w:hint="default"/>
      </w:rPr>
    </w:lvl>
    <w:lvl w:ilvl="8" w:tplc="37F891C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095EF0"/>
    <w:multiLevelType w:val="hybridMultilevel"/>
    <w:tmpl w:val="F12E1278"/>
    <w:lvl w:ilvl="0" w:tplc="E53E42A6">
      <w:start w:val="1"/>
      <w:numFmt w:val="bullet"/>
      <w:lvlText w:val="•"/>
      <w:lvlJc w:val="left"/>
      <w:pPr>
        <w:tabs>
          <w:tab w:val="num" w:pos="720"/>
        </w:tabs>
        <w:ind w:left="720" w:hanging="360"/>
      </w:pPr>
      <w:rPr>
        <w:rFonts w:ascii="Arial" w:hAnsi="Arial" w:hint="default"/>
      </w:rPr>
    </w:lvl>
    <w:lvl w:ilvl="1" w:tplc="3754FE36" w:tentative="1">
      <w:start w:val="1"/>
      <w:numFmt w:val="bullet"/>
      <w:lvlText w:val="•"/>
      <w:lvlJc w:val="left"/>
      <w:pPr>
        <w:tabs>
          <w:tab w:val="num" w:pos="1440"/>
        </w:tabs>
        <w:ind w:left="1440" w:hanging="360"/>
      </w:pPr>
      <w:rPr>
        <w:rFonts w:ascii="Arial" w:hAnsi="Arial" w:hint="default"/>
      </w:rPr>
    </w:lvl>
    <w:lvl w:ilvl="2" w:tplc="2B4ED7B6" w:tentative="1">
      <w:start w:val="1"/>
      <w:numFmt w:val="bullet"/>
      <w:lvlText w:val="•"/>
      <w:lvlJc w:val="left"/>
      <w:pPr>
        <w:tabs>
          <w:tab w:val="num" w:pos="2160"/>
        </w:tabs>
        <w:ind w:left="2160" w:hanging="360"/>
      </w:pPr>
      <w:rPr>
        <w:rFonts w:ascii="Arial" w:hAnsi="Arial" w:hint="default"/>
      </w:rPr>
    </w:lvl>
    <w:lvl w:ilvl="3" w:tplc="0C3A5830" w:tentative="1">
      <w:start w:val="1"/>
      <w:numFmt w:val="bullet"/>
      <w:lvlText w:val="•"/>
      <w:lvlJc w:val="left"/>
      <w:pPr>
        <w:tabs>
          <w:tab w:val="num" w:pos="2880"/>
        </w:tabs>
        <w:ind w:left="2880" w:hanging="360"/>
      </w:pPr>
      <w:rPr>
        <w:rFonts w:ascii="Arial" w:hAnsi="Arial" w:hint="default"/>
      </w:rPr>
    </w:lvl>
    <w:lvl w:ilvl="4" w:tplc="C1FA146A" w:tentative="1">
      <w:start w:val="1"/>
      <w:numFmt w:val="bullet"/>
      <w:lvlText w:val="•"/>
      <w:lvlJc w:val="left"/>
      <w:pPr>
        <w:tabs>
          <w:tab w:val="num" w:pos="3600"/>
        </w:tabs>
        <w:ind w:left="3600" w:hanging="360"/>
      </w:pPr>
      <w:rPr>
        <w:rFonts w:ascii="Arial" w:hAnsi="Arial" w:hint="default"/>
      </w:rPr>
    </w:lvl>
    <w:lvl w:ilvl="5" w:tplc="8496D27A" w:tentative="1">
      <w:start w:val="1"/>
      <w:numFmt w:val="bullet"/>
      <w:lvlText w:val="•"/>
      <w:lvlJc w:val="left"/>
      <w:pPr>
        <w:tabs>
          <w:tab w:val="num" w:pos="4320"/>
        </w:tabs>
        <w:ind w:left="4320" w:hanging="360"/>
      </w:pPr>
      <w:rPr>
        <w:rFonts w:ascii="Arial" w:hAnsi="Arial" w:hint="default"/>
      </w:rPr>
    </w:lvl>
    <w:lvl w:ilvl="6" w:tplc="3E607A2E" w:tentative="1">
      <w:start w:val="1"/>
      <w:numFmt w:val="bullet"/>
      <w:lvlText w:val="•"/>
      <w:lvlJc w:val="left"/>
      <w:pPr>
        <w:tabs>
          <w:tab w:val="num" w:pos="5040"/>
        </w:tabs>
        <w:ind w:left="5040" w:hanging="360"/>
      </w:pPr>
      <w:rPr>
        <w:rFonts w:ascii="Arial" w:hAnsi="Arial" w:hint="default"/>
      </w:rPr>
    </w:lvl>
    <w:lvl w:ilvl="7" w:tplc="C1E03F00" w:tentative="1">
      <w:start w:val="1"/>
      <w:numFmt w:val="bullet"/>
      <w:lvlText w:val="•"/>
      <w:lvlJc w:val="left"/>
      <w:pPr>
        <w:tabs>
          <w:tab w:val="num" w:pos="5760"/>
        </w:tabs>
        <w:ind w:left="5760" w:hanging="360"/>
      </w:pPr>
      <w:rPr>
        <w:rFonts w:ascii="Arial" w:hAnsi="Arial" w:hint="default"/>
      </w:rPr>
    </w:lvl>
    <w:lvl w:ilvl="8" w:tplc="313AD7A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156082"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FA3B49"/>
    <w:multiLevelType w:val="hybridMultilevel"/>
    <w:tmpl w:val="566E3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BC5555"/>
    <w:multiLevelType w:val="hybridMultilevel"/>
    <w:tmpl w:val="D6528A86"/>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5" w15:restartNumberingAfterBreak="0">
    <w:nsid w:val="29E615F6"/>
    <w:multiLevelType w:val="hybridMultilevel"/>
    <w:tmpl w:val="6C5A1D8C"/>
    <w:lvl w:ilvl="0" w:tplc="D94E1F4C">
      <w:start w:val="1"/>
      <w:numFmt w:val="bullet"/>
      <w:lvlText w:val="•"/>
      <w:lvlJc w:val="left"/>
      <w:pPr>
        <w:tabs>
          <w:tab w:val="num" w:pos="720"/>
        </w:tabs>
        <w:ind w:left="720" w:hanging="360"/>
      </w:pPr>
      <w:rPr>
        <w:rFonts w:ascii="Arial" w:hAnsi="Arial" w:hint="default"/>
      </w:rPr>
    </w:lvl>
    <w:lvl w:ilvl="1" w:tplc="2D208B36" w:tentative="1">
      <w:start w:val="1"/>
      <w:numFmt w:val="bullet"/>
      <w:lvlText w:val="•"/>
      <w:lvlJc w:val="left"/>
      <w:pPr>
        <w:tabs>
          <w:tab w:val="num" w:pos="1440"/>
        </w:tabs>
        <w:ind w:left="1440" w:hanging="360"/>
      </w:pPr>
      <w:rPr>
        <w:rFonts w:ascii="Arial" w:hAnsi="Arial" w:hint="default"/>
      </w:rPr>
    </w:lvl>
    <w:lvl w:ilvl="2" w:tplc="0E1C90AC" w:tentative="1">
      <w:start w:val="1"/>
      <w:numFmt w:val="bullet"/>
      <w:lvlText w:val="•"/>
      <w:lvlJc w:val="left"/>
      <w:pPr>
        <w:tabs>
          <w:tab w:val="num" w:pos="2160"/>
        </w:tabs>
        <w:ind w:left="2160" w:hanging="360"/>
      </w:pPr>
      <w:rPr>
        <w:rFonts w:ascii="Arial" w:hAnsi="Arial" w:hint="default"/>
      </w:rPr>
    </w:lvl>
    <w:lvl w:ilvl="3" w:tplc="B58AEAE0" w:tentative="1">
      <w:start w:val="1"/>
      <w:numFmt w:val="bullet"/>
      <w:lvlText w:val="•"/>
      <w:lvlJc w:val="left"/>
      <w:pPr>
        <w:tabs>
          <w:tab w:val="num" w:pos="2880"/>
        </w:tabs>
        <w:ind w:left="2880" w:hanging="360"/>
      </w:pPr>
      <w:rPr>
        <w:rFonts w:ascii="Arial" w:hAnsi="Arial" w:hint="default"/>
      </w:rPr>
    </w:lvl>
    <w:lvl w:ilvl="4" w:tplc="3E7A3132" w:tentative="1">
      <w:start w:val="1"/>
      <w:numFmt w:val="bullet"/>
      <w:lvlText w:val="•"/>
      <w:lvlJc w:val="left"/>
      <w:pPr>
        <w:tabs>
          <w:tab w:val="num" w:pos="3600"/>
        </w:tabs>
        <w:ind w:left="3600" w:hanging="360"/>
      </w:pPr>
      <w:rPr>
        <w:rFonts w:ascii="Arial" w:hAnsi="Arial" w:hint="default"/>
      </w:rPr>
    </w:lvl>
    <w:lvl w:ilvl="5" w:tplc="9C1EB3D2" w:tentative="1">
      <w:start w:val="1"/>
      <w:numFmt w:val="bullet"/>
      <w:lvlText w:val="•"/>
      <w:lvlJc w:val="left"/>
      <w:pPr>
        <w:tabs>
          <w:tab w:val="num" w:pos="4320"/>
        </w:tabs>
        <w:ind w:left="4320" w:hanging="360"/>
      </w:pPr>
      <w:rPr>
        <w:rFonts w:ascii="Arial" w:hAnsi="Arial" w:hint="default"/>
      </w:rPr>
    </w:lvl>
    <w:lvl w:ilvl="6" w:tplc="F8CE9232" w:tentative="1">
      <w:start w:val="1"/>
      <w:numFmt w:val="bullet"/>
      <w:lvlText w:val="•"/>
      <w:lvlJc w:val="left"/>
      <w:pPr>
        <w:tabs>
          <w:tab w:val="num" w:pos="5040"/>
        </w:tabs>
        <w:ind w:left="5040" w:hanging="360"/>
      </w:pPr>
      <w:rPr>
        <w:rFonts w:ascii="Arial" w:hAnsi="Arial" w:hint="default"/>
      </w:rPr>
    </w:lvl>
    <w:lvl w:ilvl="7" w:tplc="FF3092E2" w:tentative="1">
      <w:start w:val="1"/>
      <w:numFmt w:val="bullet"/>
      <w:lvlText w:val="•"/>
      <w:lvlJc w:val="left"/>
      <w:pPr>
        <w:tabs>
          <w:tab w:val="num" w:pos="5760"/>
        </w:tabs>
        <w:ind w:left="5760" w:hanging="360"/>
      </w:pPr>
      <w:rPr>
        <w:rFonts w:ascii="Arial" w:hAnsi="Arial" w:hint="default"/>
      </w:rPr>
    </w:lvl>
    <w:lvl w:ilvl="8" w:tplc="7FFC53B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19F7BB0"/>
    <w:multiLevelType w:val="hybridMultilevel"/>
    <w:tmpl w:val="B73A9C58"/>
    <w:lvl w:ilvl="0" w:tplc="7C569570">
      <w:start w:val="1"/>
      <w:numFmt w:val="decimal"/>
      <w:lvlText w:val="%1."/>
      <w:lvlJc w:val="left"/>
      <w:pPr>
        <w:tabs>
          <w:tab w:val="num" w:pos="720"/>
        </w:tabs>
        <w:ind w:left="720" w:hanging="360"/>
      </w:pPr>
    </w:lvl>
    <w:lvl w:ilvl="1" w:tplc="57A2404A" w:tentative="1">
      <w:start w:val="1"/>
      <w:numFmt w:val="decimal"/>
      <w:lvlText w:val="%2."/>
      <w:lvlJc w:val="left"/>
      <w:pPr>
        <w:tabs>
          <w:tab w:val="num" w:pos="1440"/>
        </w:tabs>
        <w:ind w:left="1440" w:hanging="360"/>
      </w:pPr>
    </w:lvl>
    <w:lvl w:ilvl="2" w:tplc="C010DA7C" w:tentative="1">
      <w:start w:val="1"/>
      <w:numFmt w:val="decimal"/>
      <w:lvlText w:val="%3."/>
      <w:lvlJc w:val="left"/>
      <w:pPr>
        <w:tabs>
          <w:tab w:val="num" w:pos="2160"/>
        </w:tabs>
        <w:ind w:left="2160" w:hanging="360"/>
      </w:pPr>
    </w:lvl>
    <w:lvl w:ilvl="3" w:tplc="636C92F4" w:tentative="1">
      <w:start w:val="1"/>
      <w:numFmt w:val="decimal"/>
      <w:lvlText w:val="%4."/>
      <w:lvlJc w:val="left"/>
      <w:pPr>
        <w:tabs>
          <w:tab w:val="num" w:pos="2880"/>
        </w:tabs>
        <w:ind w:left="2880" w:hanging="360"/>
      </w:pPr>
    </w:lvl>
    <w:lvl w:ilvl="4" w:tplc="30FA6AC4" w:tentative="1">
      <w:start w:val="1"/>
      <w:numFmt w:val="decimal"/>
      <w:lvlText w:val="%5."/>
      <w:lvlJc w:val="left"/>
      <w:pPr>
        <w:tabs>
          <w:tab w:val="num" w:pos="3600"/>
        </w:tabs>
        <w:ind w:left="3600" w:hanging="360"/>
      </w:pPr>
    </w:lvl>
    <w:lvl w:ilvl="5" w:tplc="4B321048" w:tentative="1">
      <w:start w:val="1"/>
      <w:numFmt w:val="decimal"/>
      <w:lvlText w:val="%6."/>
      <w:lvlJc w:val="left"/>
      <w:pPr>
        <w:tabs>
          <w:tab w:val="num" w:pos="4320"/>
        </w:tabs>
        <w:ind w:left="4320" w:hanging="360"/>
      </w:pPr>
    </w:lvl>
    <w:lvl w:ilvl="6" w:tplc="E54AE12E" w:tentative="1">
      <w:start w:val="1"/>
      <w:numFmt w:val="decimal"/>
      <w:lvlText w:val="%7."/>
      <w:lvlJc w:val="left"/>
      <w:pPr>
        <w:tabs>
          <w:tab w:val="num" w:pos="5040"/>
        </w:tabs>
        <w:ind w:left="5040" w:hanging="360"/>
      </w:pPr>
    </w:lvl>
    <w:lvl w:ilvl="7" w:tplc="2E446620" w:tentative="1">
      <w:start w:val="1"/>
      <w:numFmt w:val="decimal"/>
      <w:lvlText w:val="%8."/>
      <w:lvlJc w:val="left"/>
      <w:pPr>
        <w:tabs>
          <w:tab w:val="num" w:pos="5760"/>
        </w:tabs>
        <w:ind w:left="5760" w:hanging="360"/>
      </w:pPr>
    </w:lvl>
    <w:lvl w:ilvl="8" w:tplc="50E6050E" w:tentative="1">
      <w:start w:val="1"/>
      <w:numFmt w:val="decimal"/>
      <w:lvlText w:val="%9."/>
      <w:lvlJc w:val="left"/>
      <w:pPr>
        <w:tabs>
          <w:tab w:val="num" w:pos="6480"/>
        </w:tabs>
        <w:ind w:left="6480" w:hanging="360"/>
      </w:pPr>
    </w:lvl>
  </w:abstractNum>
  <w:abstractNum w:abstractNumId="7" w15:restartNumberingAfterBreak="0">
    <w:nsid w:val="66396362"/>
    <w:multiLevelType w:val="hybridMultilevel"/>
    <w:tmpl w:val="CBF89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7D1EEC"/>
    <w:multiLevelType w:val="hybridMultilevel"/>
    <w:tmpl w:val="1A9AE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5244E1"/>
    <w:multiLevelType w:val="hybridMultilevel"/>
    <w:tmpl w:val="63063A46"/>
    <w:lvl w:ilvl="0" w:tplc="08090001">
      <w:start w:val="1"/>
      <w:numFmt w:val="bullet"/>
      <w:lvlText w:val=""/>
      <w:lvlJc w:val="left"/>
      <w:pPr>
        <w:tabs>
          <w:tab w:val="num" w:pos="720"/>
        </w:tabs>
        <w:ind w:left="720" w:hanging="360"/>
      </w:pPr>
      <w:rPr>
        <w:rFonts w:ascii="Symbol" w:hAnsi="Symbol" w:hint="default"/>
      </w:rPr>
    </w:lvl>
    <w:lvl w:ilvl="1" w:tplc="1012C1EC" w:tentative="1">
      <w:start w:val="1"/>
      <w:numFmt w:val="bullet"/>
      <w:lvlText w:val=""/>
      <w:lvlJc w:val="left"/>
      <w:pPr>
        <w:tabs>
          <w:tab w:val="num" w:pos="1440"/>
        </w:tabs>
        <w:ind w:left="1440" w:hanging="360"/>
      </w:pPr>
      <w:rPr>
        <w:rFonts w:ascii="Wingdings" w:hAnsi="Wingdings" w:hint="default"/>
      </w:rPr>
    </w:lvl>
    <w:lvl w:ilvl="2" w:tplc="071AB51A" w:tentative="1">
      <w:start w:val="1"/>
      <w:numFmt w:val="bullet"/>
      <w:lvlText w:val=""/>
      <w:lvlJc w:val="left"/>
      <w:pPr>
        <w:tabs>
          <w:tab w:val="num" w:pos="2160"/>
        </w:tabs>
        <w:ind w:left="2160" w:hanging="360"/>
      </w:pPr>
      <w:rPr>
        <w:rFonts w:ascii="Wingdings" w:hAnsi="Wingdings" w:hint="default"/>
      </w:rPr>
    </w:lvl>
    <w:lvl w:ilvl="3" w:tplc="4D52DC5C" w:tentative="1">
      <w:start w:val="1"/>
      <w:numFmt w:val="bullet"/>
      <w:lvlText w:val=""/>
      <w:lvlJc w:val="left"/>
      <w:pPr>
        <w:tabs>
          <w:tab w:val="num" w:pos="2880"/>
        </w:tabs>
        <w:ind w:left="2880" w:hanging="360"/>
      </w:pPr>
      <w:rPr>
        <w:rFonts w:ascii="Wingdings" w:hAnsi="Wingdings" w:hint="default"/>
      </w:rPr>
    </w:lvl>
    <w:lvl w:ilvl="4" w:tplc="38D6ECA6" w:tentative="1">
      <w:start w:val="1"/>
      <w:numFmt w:val="bullet"/>
      <w:lvlText w:val=""/>
      <w:lvlJc w:val="left"/>
      <w:pPr>
        <w:tabs>
          <w:tab w:val="num" w:pos="3600"/>
        </w:tabs>
        <w:ind w:left="3600" w:hanging="360"/>
      </w:pPr>
      <w:rPr>
        <w:rFonts w:ascii="Wingdings" w:hAnsi="Wingdings" w:hint="default"/>
      </w:rPr>
    </w:lvl>
    <w:lvl w:ilvl="5" w:tplc="4A284930" w:tentative="1">
      <w:start w:val="1"/>
      <w:numFmt w:val="bullet"/>
      <w:lvlText w:val=""/>
      <w:lvlJc w:val="left"/>
      <w:pPr>
        <w:tabs>
          <w:tab w:val="num" w:pos="4320"/>
        </w:tabs>
        <w:ind w:left="4320" w:hanging="360"/>
      </w:pPr>
      <w:rPr>
        <w:rFonts w:ascii="Wingdings" w:hAnsi="Wingdings" w:hint="default"/>
      </w:rPr>
    </w:lvl>
    <w:lvl w:ilvl="6" w:tplc="3CB419B4" w:tentative="1">
      <w:start w:val="1"/>
      <w:numFmt w:val="bullet"/>
      <w:lvlText w:val=""/>
      <w:lvlJc w:val="left"/>
      <w:pPr>
        <w:tabs>
          <w:tab w:val="num" w:pos="5040"/>
        </w:tabs>
        <w:ind w:left="5040" w:hanging="360"/>
      </w:pPr>
      <w:rPr>
        <w:rFonts w:ascii="Wingdings" w:hAnsi="Wingdings" w:hint="default"/>
      </w:rPr>
    </w:lvl>
    <w:lvl w:ilvl="7" w:tplc="741275A2" w:tentative="1">
      <w:start w:val="1"/>
      <w:numFmt w:val="bullet"/>
      <w:lvlText w:val=""/>
      <w:lvlJc w:val="left"/>
      <w:pPr>
        <w:tabs>
          <w:tab w:val="num" w:pos="5760"/>
        </w:tabs>
        <w:ind w:left="5760" w:hanging="360"/>
      </w:pPr>
      <w:rPr>
        <w:rFonts w:ascii="Wingdings" w:hAnsi="Wingdings" w:hint="default"/>
      </w:rPr>
    </w:lvl>
    <w:lvl w:ilvl="8" w:tplc="3C70F572" w:tentative="1">
      <w:start w:val="1"/>
      <w:numFmt w:val="bullet"/>
      <w:lvlText w:val=""/>
      <w:lvlJc w:val="left"/>
      <w:pPr>
        <w:tabs>
          <w:tab w:val="num" w:pos="6480"/>
        </w:tabs>
        <w:ind w:left="6480" w:hanging="360"/>
      </w:pPr>
      <w:rPr>
        <w:rFonts w:ascii="Wingdings" w:hAnsi="Wingdings" w:hint="default"/>
      </w:rPr>
    </w:lvl>
  </w:abstractNum>
  <w:num w:numId="1" w16cid:durableId="58407245">
    <w:abstractNumId w:val="2"/>
  </w:num>
  <w:num w:numId="2" w16cid:durableId="1779372379">
    <w:abstractNumId w:val="9"/>
  </w:num>
  <w:num w:numId="3" w16cid:durableId="457071380">
    <w:abstractNumId w:val="1"/>
  </w:num>
  <w:num w:numId="4" w16cid:durableId="712581755">
    <w:abstractNumId w:val="5"/>
  </w:num>
  <w:num w:numId="5" w16cid:durableId="2089644156">
    <w:abstractNumId w:val="0"/>
  </w:num>
  <w:num w:numId="6" w16cid:durableId="674649050">
    <w:abstractNumId w:val="6"/>
  </w:num>
  <w:num w:numId="7" w16cid:durableId="495266610">
    <w:abstractNumId w:val="7"/>
  </w:num>
  <w:num w:numId="8" w16cid:durableId="385180467">
    <w:abstractNumId w:val="8"/>
  </w:num>
  <w:num w:numId="9" w16cid:durableId="574974069">
    <w:abstractNumId w:val="3"/>
  </w:num>
  <w:num w:numId="10" w16cid:durableId="158611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33A"/>
    <w:rsid w:val="00010913"/>
    <w:rsid w:val="00027369"/>
    <w:rsid w:val="0005563F"/>
    <w:rsid w:val="0009757C"/>
    <w:rsid w:val="000A56D2"/>
    <w:rsid w:val="00136748"/>
    <w:rsid w:val="00180FB7"/>
    <w:rsid w:val="00332785"/>
    <w:rsid w:val="00464D32"/>
    <w:rsid w:val="004A3644"/>
    <w:rsid w:val="004E58EE"/>
    <w:rsid w:val="006C66B5"/>
    <w:rsid w:val="0080588F"/>
    <w:rsid w:val="00893505"/>
    <w:rsid w:val="009D05BA"/>
    <w:rsid w:val="00B73FB0"/>
    <w:rsid w:val="00BC4548"/>
    <w:rsid w:val="00BD6ABD"/>
    <w:rsid w:val="00DF7BBE"/>
    <w:rsid w:val="00EC4273"/>
    <w:rsid w:val="00F1533A"/>
    <w:rsid w:val="00F411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4D13A"/>
  <w15:chartTrackingRefBased/>
  <w15:docId w15:val="{77F81999-E194-40E9-8148-5195AF288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1533A"/>
    <w:pPr>
      <w:spacing w:after="0"/>
    </w:pPr>
    <w:rPr>
      <w:rFonts w:ascii="Arial" w:hAnsi="Arial"/>
      <w:kern w:val="0"/>
      <w:szCs w:val="24"/>
    </w:rPr>
  </w:style>
  <w:style w:type="paragraph" w:styleId="Heading1">
    <w:name w:val="heading 1"/>
    <w:basedOn w:val="Normal"/>
    <w:next w:val="Normal"/>
    <w:link w:val="Heading1Char"/>
    <w:uiPriority w:val="9"/>
    <w:qFormat/>
    <w:rsid w:val="00F153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53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53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53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53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533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33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33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33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3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53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53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3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3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3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3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3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33A"/>
    <w:rPr>
      <w:rFonts w:eastAsiaTheme="majorEastAsia" w:cstheme="majorBidi"/>
      <w:color w:val="272727" w:themeColor="text1" w:themeTint="D8"/>
    </w:rPr>
  </w:style>
  <w:style w:type="paragraph" w:styleId="Title">
    <w:name w:val="Title"/>
    <w:basedOn w:val="Normal"/>
    <w:next w:val="Normal"/>
    <w:link w:val="TitleChar"/>
    <w:uiPriority w:val="10"/>
    <w:qFormat/>
    <w:rsid w:val="00F153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3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3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3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33A"/>
    <w:pPr>
      <w:spacing w:before="160"/>
      <w:jc w:val="center"/>
    </w:pPr>
    <w:rPr>
      <w:i/>
      <w:iCs/>
      <w:color w:val="404040" w:themeColor="text1" w:themeTint="BF"/>
    </w:rPr>
  </w:style>
  <w:style w:type="character" w:customStyle="1" w:styleId="QuoteChar">
    <w:name w:val="Quote Char"/>
    <w:basedOn w:val="DefaultParagraphFont"/>
    <w:link w:val="Quote"/>
    <w:uiPriority w:val="29"/>
    <w:rsid w:val="00F1533A"/>
    <w:rPr>
      <w:i/>
      <w:iCs/>
      <w:color w:val="404040" w:themeColor="text1" w:themeTint="BF"/>
    </w:rPr>
  </w:style>
  <w:style w:type="paragraph" w:styleId="ListParagraph">
    <w:name w:val="List Paragraph"/>
    <w:basedOn w:val="Normal"/>
    <w:uiPriority w:val="34"/>
    <w:qFormat/>
    <w:rsid w:val="00F1533A"/>
    <w:pPr>
      <w:ind w:left="720"/>
      <w:contextualSpacing/>
    </w:pPr>
  </w:style>
  <w:style w:type="character" w:styleId="IntenseEmphasis">
    <w:name w:val="Intense Emphasis"/>
    <w:basedOn w:val="DefaultParagraphFont"/>
    <w:uiPriority w:val="21"/>
    <w:qFormat/>
    <w:rsid w:val="00F1533A"/>
    <w:rPr>
      <w:i/>
      <w:iCs/>
      <w:color w:val="0F4761" w:themeColor="accent1" w:themeShade="BF"/>
    </w:rPr>
  </w:style>
  <w:style w:type="paragraph" w:styleId="IntenseQuote">
    <w:name w:val="Intense Quote"/>
    <w:basedOn w:val="Normal"/>
    <w:next w:val="Normal"/>
    <w:link w:val="IntenseQuoteChar"/>
    <w:uiPriority w:val="30"/>
    <w:qFormat/>
    <w:rsid w:val="00F153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533A"/>
    <w:rPr>
      <w:i/>
      <w:iCs/>
      <w:color w:val="0F4761" w:themeColor="accent1" w:themeShade="BF"/>
    </w:rPr>
  </w:style>
  <w:style w:type="character" w:styleId="IntenseReference">
    <w:name w:val="Intense Reference"/>
    <w:basedOn w:val="DefaultParagraphFont"/>
    <w:uiPriority w:val="32"/>
    <w:qFormat/>
    <w:rsid w:val="00F1533A"/>
    <w:rPr>
      <w:b/>
      <w:bCs/>
      <w:smallCaps/>
      <w:color w:val="0F4761" w:themeColor="accent1" w:themeShade="BF"/>
      <w:spacing w:val="5"/>
    </w:rPr>
  </w:style>
  <w:style w:type="paragraph" w:customStyle="1" w:styleId="Nornal">
    <w:name w:val="Nornal"/>
    <w:basedOn w:val="Normal"/>
    <w:link w:val="NornalChar"/>
    <w:qFormat/>
    <w:rsid w:val="00F1533A"/>
    <w:pPr>
      <w:spacing w:after="160" w:line="264" w:lineRule="auto"/>
    </w:pPr>
    <w:rPr>
      <w:rFonts w:cs="Arial"/>
      <w:szCs w:val="22"/>
    </w:rPr>
  </w:style>
  <w:style w:type="character" w:customStyle="1" w:styleId="NornalChar">
    <w:name w:val="Nornal Char"/>
    <w:basedOn w:val="DefaultParagraphFont"/>
    <w:link w:val="Nornal"/>
    <w:rsid w:val="00F1533A"/>
    <w:rPr>
      <w:rFonts w:ascii="Arial" w:hAnsi="Arial" w:cs="Arial"/>
      <w:kern w:val="0"/>
    </w:rPr>
  </w:style>
  <w:style w:type="paragraph" w:customStyle="1" w:styleId="Listparag">
    <w:name w:val="List parag"/>
    <w:basedOn w:val="ListParagraph"/>
    <w:link w:val="ListparagChar"/>
    <w:qFormat/>
    <w:rsid w:val="00F1533A"/>
    <w:pPr>
      <w:numPr>
        <w:numId w:val="1"/>
      </w:numPr>
      <w:spacing w:after="120" w:line="264" w:lineRule="auto"/>
      <w:contextualSpacing w:val="0"/>
    </w:pPr>
    <w:rPr>
      <w:rFonts w:eastAsia="Times New Roman" w:cs="Arial"/>
      <w:lang w:eastAsia="en-GB"/>
    </w:rPr>
  </w:style>
  <w:style w:type="character" w:customStyle="1" w:styleId="ListparagChar">
    <w:name w:val="List parag Char"/>
    <w:basedOn w:val="DefaultParagraphFont"/>
    <w:link w:val="Listparag"/>
    <w:rsid w:val="00F1533A"/>
    <w:rPr>
      <w:rFonts w:ascii="Arial" w:eastAsia="Times New Roman" w:hAnsi="Arial" w:cs="Arial"/>
      <w:kern w:val="0"/>
      <w:szCs w:val="24"/>
      <w:lang w:eastAsia="en-GB"/>
    </w:rPr>
  </w:style>
  <w:style w:type="character" w:styleId="Hyperlink">
    <w:name w:val="Hyperlink"/>
    <w:basedOn w:val="DefaultParagraphFont"/>
    <w:uiPriority w:val="99"/>
    <w:unhideWhenUsed/>
    <w:rsid w:val="0080588F"/>
    <w:rPr>
      <w:color w:val="467886" w:themeColor="hyperlink"/>
      <w:u w:val="single"/>
    </w:rPr>
  </w:style>
  <w:style w:type="character" w:styleId="UnresolvedMention">
    <w:name w:val="Unresolved Mention"/>
    <w:basedOn w:val="DefaultParagraphFont"/>
    <w:uiPriority w:val="99"/>
    <w:semiHidden/>
    <w:unhideWhenUsed/>
    <w:rsid w:val="008058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si/1998/1833/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11/j.1468-2370.2009.00270.x" TargetMode="External"/><Relationship Id="rId5" Type="http://schemas.openxmlformats.org/officeDocument/2006/relationships/hyperlink" Target="https://www.acas.org.uk/improving-equality-diversity-and-inclusion/making-your-workplace-inclusiv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465</TotalTime>
  <Pages>4</Pages>
  <Words>1528</Words>
  <Characters>8710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Hughes</dc:creator>
  <cp:keywords/>
  <dc:description/>
  <cp:lastModifiedBy>Catrin Hughes</cp:lastModifiedBy>
  <cp:revision>3</cp:revision>
  <dcterms:created xsi:type="dcterms:W3CDTF">2024-05-30T16:12:00Z</dcterms:created>
  <dcterms:modified xsi:type="dcterms:W3CDTF">2024-05-31T00:17:00Z</dcterms:modified>
</cp:coreProperties>
</file>