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3453E" w:rsidRPr="0053453E" w:rsidRDefault="0053453E" w:rsidP="0053453E">
      <w:pPr>
        <w:spacing w:line="360" w:lineRule="auto"/>
        <w:jc w:val="center"/>
        <w:rPr>
          <w:rFonts w:ascii="Times New Roman" w:hAnsi="Times New Roman" w:cs="Times New Roman"/>
          <w:b/>
          <w:sz w:val="32"/>
          <w:szCs w:val="32"/>
        </w:rPr>
      </w:pPr>
    </w:p>
    <w:p w:rsidR="0053453E" w:rsidRPr="0053453E" w:rsidRDefault="0053453E" w:rsidP="0053453E">
      <w:pPr>
        <w:spacing w:line="360" w:lineRule="auto"/>
        <w:jc w:val="center"/>
        <w:rPr>
          <w:rFonts w:ascii="Times New Roman" w:hAnsi="Times New Roman" w:cs="Times New Roman"/>
          <w:b/>
          <w:sz w:val="32"/>
          <w:szCs w:val="32"/>
        </w:rPr>
      </w:pPr>
    </w:p>
    <w:p w:rsidR="0053453E" w:rsidRPr="0053453E" w:rsidRDefault="0053453E" w:rsidP="0053453E">
      <w:pPr>
        <w:spacing w:line="360" w:lineRule="auto"/>
        <w:jc w:val="center"/>
        <w:rPr>
          <w:rFonts w:ascii="Times New Roman" w:hAnsi="Times New Roman" w:cs="Times New Roman"/>
          <w:b/>
          <w:sz w:val="32"/>
          <w:szCs w:val="32"/>
        </w:rPr>
      </w:pPr>
    </w:p>
    <w:p w:rsidR="0053453E" w:rsidRPr="0053453E" w:rsidRDefault="0053453E" w:rsidP="0053453E">
      <w:pPr>
        <w:spacing w:line="360" w:lineRule="auto"/>
        <w:jc w:val="center"/>
        <w:rPr>
          <w:rFonts w:ascii="Times New Roman" w:hAnsi="Times New Roman" w:cs="Times New Roman"/>
          <w:b/>
          <w:sz w:val="32"/>
          <w:szCs w:val="32"/>
        </w:rPr>
      </w:pPr>
    </w:p>
    <w:p w:rsidR="0053453E" w:rsidRPr="0053453E" w:rsidRDefault="0053453E" w:rsidP="0053453E">
      <w:pPr>
        <w:spacing w:line="360" w:lineRule="auto"/>
        <w:jc w:val="center"/>
        <w:rPr>
          <w:rFonts w:ascii="Times New Roman" w:hAnsi="Times New Roman" w:cs="Times New Roman"/>
          <w:b/>
          <w:sz w:val="32"/>
          <w:szCs w:val="32"/>
        </w:rPr>
      </w:pPr>
    </w:p>
    <w:p w:rsidR="0053453E" w:rsidRPr="0053453E" w:rsidRDefault="0053453E" w:rsidP="0053453E">
      <w:pPr>
        <w:spacing w:line="360" w:lineRule="auto"/>
        <w:jc w:val="center"/>
        <w:rPr>
          <w:rFonts w:ascii="Times New Roman" w:hAnsi="Times New Roman" w:cs="Times New Roman"/>
          <w:b/>
          <w:sz w:val="32"/>
          <w:szCs w:val="32"/>
        </w:rPr>
      </w:pPr>
      <w:r w:rsidRPr="0053453E">
        <w:rPr>
          <w:rFonts w:ascii="Times New Roman" w:hAnsi="Times New Roman" w:cs="Times New Roman"/>
          <w:b/>
          <w:sz w:val="32"/>
          <w:szCs w:val="32"/>
        </w:rPr>
        <w:t>Assessment 2- Group Presentation Human Resource Management</w:t>
      </w:r>
    </w:p>
    <w:p w:rsidR="0053453E" w:rsidRPr="0053453E" w:rsidRDefault="0053453E" w:rsidP="0053453E">
      <w:pPr>
        <w:spacing w:line="360" w:lineRule="auto"/>
        <w:jc w:val="center"/>
        <w:rPr>
          <w:rFonts w:ascii="Times New Roman" w:hAnsi="Times New Roman" w:cs="Times New Roman"/>
          <w:b/>
          <w:sz w:val="32"/>
          <w:szCs w:val="32"/>
          <w:shd w:val="clear" w:color="auto" w:fill="FFFFFF"/>
        </w:rPr>
      </w:pPr>
      <w:r w:rsidRPr="0053453E">
        <w:rPr>
          <w:rFonts w:ascii="Times New Roman" w:hAnsi="Times New Roman" w:cs="Times New Roman"/>
          <w:b/>
          <w:sz w:val="32"/>
          <w:szCs w:val="32"/>
          <w:shd w:val="clear" w:color="auto" w:fill="FFFFFF"/>
        </w:rPr>
        <w:t>"Training Courses" in Learning and development</w:t>
      </w:r>
    </w:p>
    <w:p w:rsidR="0053453E" w:rsidRPr="0053453E" w:rsidRDefault="0053453E" w:rsidP="0053453E">
      <w:pPr>
        <w:rPr>
          <w:rFonts w:ascii="Times New Roman" w:hAnsi="Times New Roman" w:cs="Times New Roman"/>
          <w:b/>
          <w:sz w:val="32"/>
          <w:szCs w:val="32"/>
          <w:shd w:val="clear" w:color="auto" w:fill="FFFFFF"/>
        </w:rPr>
      </w:pPr>
      <w:r w:rsidRPr="0053453E">
        <w:rPr>
          <w:rFonts w:ascii="Times New Roman" w:hAnsi="Times New Roman" w:cs="Times New Roman"/>
          <w:b/>
          <w:sz w:val="32"/>
          <w:szCs w:val="32"/>
          <w:shd w:val="clear" w:color="auto" w:fill="FFFFFF"/>
        </w:rPr>
        <w:br w:type="page"/>
      </w:r>
    </w:p>
    <w:sdt>
      <w:sdtPr>
        <w:rPr>
          <w:rFonts w:asciiTheme="minorHAnsi" w:eastAsiaTheme="minorHAnsi" w:hAnsiTheme="minorHAnsi" w:cstheme="minorBidi"/>
          <w:color w:val="auto"/>
          <w:sz w:val="22"/>
          <w:szCs w:val="22"/>
          <w:lang w:val="en-IN"/>
        </w:rPr>
        <w:id w:val="1044102261"/>
        <w:docPartObj>
          <w:docPartGallery w:val="Table of Contents"/>
          <w:docPartUnique/>
        </w:docPartObj>
      </w:sdtPr>
      <w:sdtEndPr>
        <w:rPr>
          <w:b/>
          <w:bCs/>
          <w:noProof/>
        </w:rPr>
      </w:sdtEndPr>
      <w:sdtContent>
        <w:p w:rsidR="0053453E" w:rsidRPr="0053453E" w:rsidRDefault="0053453E" w:rsidP="0053453E">
          <w:pPr>
            <w:pStyle w:val="TOCHeading"/>
            <w:jc w:val="center"/>
            <w:rPr>
              <w:color w:val="auto"/>
            </w:rPr>
          </w:pPr>
          <w:r w:rsidRPr="0053453E">
            <w:rPr>
              <w:color w:val="auto"/>
            </w:rPr>
            <w:t>Table of Contents</w:t>
          </w:r>
        </w:p>
        <w:p w:rsidR="0053453E" w:rsidRPr="0053453E" w:rsidRDefault="0053453E">
          <w:pPr>
            <w:pStyle w:val="TOC1"/>
            <w:tabs>
              <w:tab w:val="right" w:leader="dot" w:pos="9016"/>
            </w:tabs>
            <w:rPr>
              <w:rStyle w:val="Hyperlink"/>
              <w:noProof/>
              <w:color w:val="auto"/>
            </w:rPr>
          </w:pPr>
          <w:r w:rsidRPr="0053453E">
            <w:fldChar w:fldCharType="begin"/>
          </w:r>
          <w:r w:rsidRPr="0053453E">
            <w:instrText xml:space="preserve"> TOC \o "1-3" \h \z \u </w:instrText>
          </w:r>
          <w:r w:rsidRPr="0053453E">
            <w:fldChar w:fldCharType="separate"/>
          </w:r>
          <w:hyperlink w:anchor="_Toc133157826" w:history="1">
            <w:r w:rsidRPr="0053453E">
              <w:rPr>
                <w:rStyle w:val="Hyperlink"/>
                <w:noProof/>
                <w:color w:val="auto"/>
                <w:sz w:val="24"/>
                <w:szCs w:val="24"/>
                <w:u w:val="none"/>
              </w:rPr>
              <w:t>Reflection</w:t>
            </w:r>
            <w:r w:rsidRPr="0053453E">
              <w:rPr>
                <w:noProof/>
                <w:webHidden/>
              </w:rPr>
              <w:tab/>
            </w:r>
            <w:r w:rsidRPr="0053453E">
              <w:rPr>
                <w:noProof/>
                <w:webHidden/>
              </w:rPr>
              <w:fldChar w:fldCharType="begin"/>
            </w:r>
            <w:r w:rsidRPr="0053453E">
              <w:rPr>
                <w:noProof/>
                <w:webHidden/>
              </w:rPr>
              <w:instrText xml:space="preserve"> PAGEREF _Toc133157826 \h </w:instrText>
            </w:r>
            <w:r w:rsidRPr="0053453E">
              <w:rPr>
                <w:noProof/>
                <w:webHidden/>
              </w:rPr>
            </w:r>
            <w:r w:rsidRPr="0053453E">
              <w:rPr>
                <w:noProof/>
                <w:webHidden/>
              </w:rPr>
              <w:fldChar w:fldCharType="separate"/>
            </w:r>
            <w:r w:rsidRPr="0053453E">
              <w:rPr>
                <w:noProof/>
                <w:webHidden/>
              </w:rPr>
              <w:t>3</w:t>
            </w:r>
            <w:r w:rsidRPr="0053453E">
              <w:rPr>
                <w:noProof/>
                <w:webHidden/>
              </w:rPr>
              <w:fldChar w:fldCharType="end"/>
            </w:r>
          </w:hyperlink>
        </w:p>
        <w:p w:rsidR="0053453E" w:rsidRPr="0053453E" w:rsidRDefault="0053453E" w:rsidP="0053453E">
          <w:r w:rsidRPr="0053453E">
            <w:t>References ………………………………………………………………………………………………………………………………………..6</w:t>
          </w:r>
        </w:p>
        <w:p w:rsidR="0053453E" w:rsidRPr="0053453E" w:rsidRDefault="0053453E">
          <w:r w:rsidRPr="0053453E">
            <w:rPr>
              <w:b/>
              <w:bCs/>
              <w:noProof/>
            </w:rPr>
            <w:fldChar w:fldCharType="end"/>
          </w:r>
        </w:p>
      </w:sdtContent>
    </w:sdt>
    <w:p w:rsidR="0053453E" w:rsidRPr="0053453E" w:rsidRDefault="0053453E" w:rsidP="0053453E">
      <w:pPr>
        <w:pStyle w:val="Heading1"/>
        <w:rPr>
          <w:shd w:val="clear" w:color="auto" w:fill="FFFFFF"/>
        </w:rPr>
      </w:pPr>
    </w:p>
    <w:p w:rsidR="0053453E" w:rsidRPr="0053453E" w:rsidRDefault="0053453E" w:rsidP="0053453E">
      <w:pPr>
        <w:spacing w:line="360" w:lineRule="auto"/>
        <w:jc w:val="center"/>
        <w:rPr>
          <w:rFonts w:ascii="Times New Roman" w:hAnsi="Times New Roman" w:cs="Times New Roman"/>
          <w:b/>
          <w:sz w:val="32"/>
          <w:szCs w:val="32"/>
          <w:shd w:val="clear" w:color="auto" w:fill="FFFFFF"/>
        </w:rPr>
      </w:pPr>
    </w:p>
    <w:p w:rsidR="0053453E" w:rsidRPr="0053453E" w:rsidRDefault="0053453E" w:rsidP="0053453E">
      <w:r w:rsidRPr="0053453E">
        <w:br w:type="page"/>
      </w:r>
    </w:p>
    <w:p w:rsidR="0053453E" w:rsidRPr="0053453E" w:rsidRDefault="0053453E" w:rsidP="0053453E">
      <w:pPr>
        <w:pStyle w:val="Heading1"/>
      </w:pPr>
      <w:bookmarkStart w:id="0" w:name="_Toc133157472"/>
      <w:bookmarkStart w:id="1" w:name="_Toc133157795"/>
      <w:bookmarkStart w:id="2" w:name="_Toc133157826"/>
      <w:r w:rsidRPr="0053453E">
        <w:t>Reflection</w:t>
      </w:r>
      <w:bookmarkEnd w:id="0"/>
      <w:bookmarkEnd w:id="1"/>
      <w:bookmarkEnd w:id="2"/>
      <w:r w:rsidRPr="0053453E">
        <w:t xml:space="preserve"> </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As the Human Resource Director of an international firm, I have been involved in countless presentations and meetings with senior managers. One topic that I always comes up is training courses in learning and development. Over the years, I have gained a lot of experience in this area and have learned a great deal about what actually works and what specifically does not. Along with an ideology to prepare the presentation on training courses in learning and development, I had the opportunity to contribute in several ways that helped make the presentation a successful one. In this reflective piece, I would like to highlight various lessons that I have learned along the way of developing the provided task. Besides, I also intend to discuss my thoughts and perceptions on the significance of training courses for both personal and professional development including the various training forms.</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The provided task basically focuses on the significance of learning and development in the business corporations and the diverse role that training courses evolves in acquiring these goals. Referring to the undertaken task, I have been able to learn several lessons that individual can acquire regarding training courses relative to learning and development concept as illustrated below.</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b/>
          <w:i/>
          <w:sz w:val="24"/>
          <w:szCs w:val="24"/>
        </w:rPr>
        <w:t xml:space="preserve">Significance of learning and development: </w:t>
      </w:r>
      <w:r w:rsidRPr="0053453E">
        <w:rPr>
          <w:rFonts w:ascii="Times New Roman" w:hAnsi="Times New Roman" w:cs="Times New Roman"/>
          <w:sz w:val="24"/>
          <w:szCs w:val="24"/>
        </w:rPr>
        <w:t>The assignment emphasises how crucial learning and development are to any organisation. It further focuses how enhancing workers' abilities and knowledge can boost output, job satisfaction, and retention rates. This lesson demonstrates the need of giving learning and development a top priority for businesses to stay competitive in their respective fields (</w:t>
      </w:r>
      <w:proofErr w:type="spellStart"/>
      <w:r w:rsidRPr="0053453E">
        <w:rPr>
          <w:rFonts w:ascii="Times New Roman" w:hAnsi="Times New Roman" w:cs="Times New Roman"/>
          <w:sz w:val="24"/>
          <w:szCs w:val="24"/>
        </w:rPr>
        <w:t>Herrity</w:t>
      </w:r>
      <w:proofErr w:type="spellEnd"/>
      <w:r w:rsidRPr="0053453E">
        <w:rPr>
          <w:rFonts w:ascii="Times New Roman" w:hAnsi="Times New Roman" w:cs="Times New Roman"/>
          <w:sz w:val="24"/>
          <w:szCs w:val="24"/>
        </w:rPr>
        <w:t>, 2023).</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b/>
          <w:i/>
          <w:sz w:val="24"/>
          <w:szCs w:val="24"/>
        </w:rPr>
        <w:t xml:space="preserve">Advantages of training courses: </w:t>
      </w:r>
      <w:r w:rsidRPr="0053453E">
        <w:rPr>
          <w:rFonts w:ascii="Times New Roman" w:hAnsi="Times New Roman" w:cs="Times New Roman"/>
          <w:sz w:val="24"/>
          <w:szCs w:val="24"/>
        </w:rPr>
        <w:t>The assignment lists the advantages of training programs for both the organisations and their working employees. It emphasises the benefits of training programs for workers, including how they can increase their motivation and job satisfaction while also assisting organisations in staying competitive in their respective industries. This lesson demonstrates the importance of training programs in accomplishing learning and growth objectives (Andersen et al., 2018).</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b/>
          <w:i/>
          <w:sz w:val="24"/>
          <w:szCs w:val="24"/>
        </w:rPr>
        <w:t xml:space="preserve">Different types of training courses: </w:t>
      </w:r>
      <w:r w:rsidRPr="0053453E">
        <w:rPr>
          <w:rFonts w:ascii="Times New Roman" w:hAnsi="Times New Roman" w:cs="Times New Roman"/>
          <w:sz w:val="24"/>
          <w:szCs w:val="24"/>
        </w:rPr>
        <w:t>The assignment describes several training program formats, such as classroom-based training, e-learning, on-the-job training, and coaching. It also describes the advantages and drawbacks of each form while emphasising that organisations must select the one that best suits their unique requirements (Torrington et al., 2020). This lesson demonstrates that while selecting the type of training course to undertake, organisations need to take into account a number of aspects.</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b/>
          <w:i/>
          <w:sz w:val="24"/>
          <w:szCs w:val="24"/>
        </w:rPr>
        <w:t xml:space="preserve">Continuous evaluation of training courses: </w:t>
      </w:r>
      <w:r w:rsidRPr="0053453E">
        <w:rPr>
          <w:rFonts w:ascii="Times New Roman" w:hAnsi="Times New Roman" w:cs="Times New Roman"/>
          <w:sz w:val="24"/>
          <w:szCs w:val="24"/>
        </w:rPr>
        <w:t>The assignment emphasises the necessity for organisations to routinely assess the success of training programs. It includes how this assessment ensures that the training programs are producing the expected results. This lesson demonstrates the need for monitoring and evaluation plans in organisations to determine the effectiveness of training programs (</w:t>
      </w:r>
      <w:proofErr w:type="spellStart"/>
      <w:r w:rsidRPr="0053453E">
        <w:rPr>
          <w:rFonts w:ascii="Times New Roman" w:hAnsi="Times New Roman" w:cs="Times New Roman"/>
          <w:sz w:val="24"/>
          <w:szCs w:val="24"/>
        </w:rPr>
        <w:t>Inamdar</w:t>
      </w:r>
      <w:proofErr w:type="spellEnd"/>
      <w:r w:rsidRPr="0053453E">
        <w:rPr>
          <w:rFonts w:ascii="Times New Roman" w:hAnsi="Times New Roman" w:cs="Times New Roman"/>
          <w:sz w:val="24"/>
          <w:szCs w:val="24"/>
        </w:rPr>
        <w:t>, 2022).</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b/>
          <w:i/>
          <w:sz w:val="24"/>
          <w:szCs w:val="24"/>
        </w:rPr>
        <w:t xml:space="preserve">Cost-effectiveness of training courses: </w:t>
      </w:r>
      <w:r w:rsidRPr="0053453E">
        <w:rPr>
          <w:rFonts w:ascii="Times New Roman" w:hAnsi="Times New Roman" w:cs="Times New Roman"/>
          <w:sz w:val="24"/>
          <w:szCs w:val="24"/>
        </w:rPr>
        <w:t>The assignment shows how organisations can save money by using training programs that are cost-effective. For instance, taking a Lean Six Sigma training course can help staff find and remove waste from their operations, saving the company money. This lesson ensure how training programs can be a practical means of attaining learning and growth objectives (O’Malley et al., 2020).</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b/>
          <w:i/>
          <w:sz w:val="24"/>
          <w:szCs w:val="24"/>
        </w:rPr>
        <w:t xml:space="preserve">Customisation of training courses: </w:t>
      </w:r>
      <w:r w:rsidRPr="0053453E">
        <w:rPr>
          <w:rFonts w:ascii="Times New Roman" w:hAnsi="Times New Roman" w:cs="Times New Roman"/>
          <w:sz w:val="24"/>
          <w:szCs w:val="24"/>
        </w:rPr>
        <w:t>The assignment highlights the fact that training programs can be tailored to the particular requirements of the organisation. For instance, e-learning can be tailored to the demands of a workforce that is geographically separated. This lesson demonstrates the need for organisations to take their unique needs into account while establishing training programs (Forbes, 2022).</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 xml:space="preserve">Looking more broadly at the topic of training courses in learning and development, I am struck by how essential they are for personal and professional growth. In today's fast-paced business world, it is more important than ever to make sure that employees can stay up-to-date with the latest technologies, trends, and best practices in their industry. I have helped highlighted to develop a range of ongoing training opportunities for our employees, including e-learning, coaching, on-the-job training, and classroom-based learning. </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One of the key benefits of training courses that I have come through is that they can help individuals stay up-to-date with the latest trends and best practices in their field. For instance, a software developer might take a course on a new programming language to enhance their skills and knowledge (</w:t>
      </w:r>
      <w:proofErr w:type="spellStart"/>
      <w:r w:rsidRPr="0053453E">
        <w:rPr>
          <w:rFonts w:ascii="Times New Roman" w:hAnsi="Times New Roman" w:cs="Times New Roman"/>
          <w:sz w:val="24"/>
          <w:szCs w:val="24"/>
        </w:rPr>
        <w:t>Nobels</w:t>
      </w:r>
      <w:proofErr w:type="spellEnd"/>
      <w:r w:rsidRPr="0053453E">
        <w:rPr>
          <w:rFonts w:ascii="Times New Roman" w:hAnsi="Times New Roman" w:cs="Times New Roman"/>
          <w:sz w:val="24"/>
          <w:szCs w:val="24"/>
        </w:rPr>
        <w:t xml:space="preserve"> &amp; </w:t>
      </w:r>
      <w:proofErr w:type="spellStart"/>
      <w:r w:rsidRPr="0053453E">
        <w:rPr>
          <w:rFonts w:ascii="Times New Roman" w:hAnsi="Times New Roman" w:cs="Times New Roman"/>
          <w:sz w:val="24"/>
          <w:szCs w:val="24"/>
        </w:rPr>
        <w:t>Baele</w:t>
      </w:r>
      <w:proofErr w:type="spellEnd"/>
      <w:r w:rsidRPr="0053453E">
        <w:rPr>
          <w:rFonts w:ascii="Times New Roman" w:hAnsi="Times New Roman" w:cs="Times New Roman"/>
          <w:sz w:val="24"/>
          <w:szCs w:val="24"/>
        </w:rPr>
        <w:t>, 2022). Similarly, a salesperson might take a course on negotiation techniques to improve their ability to close deals. By staying abreast of the latest developments in their field, individuals can remain competitive and relevant in their careers.</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Another benefit of training courses that I have presented is that they can help individuals develop new skills and competencies. For instance, a manager might take a course on leadership to improve their ability to motivate and inspire their team. Similarly, an accountant might take a course on data analytics to enhance their ability to analyse financial data. By developing new skills and competencies, individuals can become more effective in their roles and better positioned for career advancement (Torrington et al., 2020)</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Finally, I have also understood that training courses can also provide valuable networking opportunities. By attending workshops, seminars, and other training events, individuals can connect with others in their field and build relationships that can be beneficial in the long run. For instance, a marketing professional might attend a conference and meet other marketers who can provide insights and advice on their work (Andersen et al., 2018). Similarly, a human resources professional might attend a training session and connect with others in their field who can help them find new job opportunities.</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The aforementioned assignment offers insightful information on the function that training programs have in growth and learning. The essay also underlines how crucial it is to choose the right kind of training and assess its efficacy in order to obtain the intended results. Organisations can use the lessons learned from the task to design training programs that will increase employee retention, productivity, and job satisfaction. It also emphasises the significance of ongoing evaluation and cost-effectiveness while putting training programs into place. Furthermore, corporations can achieve their learning and development objectives and maintain competitiveness in their particular industries by utilising the above mentioned lessons.</w:t>
      </w:r>
    </w:p>
    <w:p w:rsidR="0053453E" w:rsidRPr="0053453E" w:rsidRDefault="0053453E" w:rsidP="0053453E">
      <w:pPr>
        <w:rPr>
          <w:rFonts w:ascii="Times New Roman" w:hAnsi="Times New Roman" w:cs="Times New Roman"/>
          <w:b/>
          <w:bCs/>
          <w:sz w:val="24"/>
          <w:szCs w:val="24"/>
        </w:rPr>
      </w:pPr>
      <w:r w:rsidRPr="0053453E">
        <w:rPr>
          <w:rFonts w:ascii="Times New Roman" w:hAnsi="Times New Roman" w:cs="Times New Roman"/>
          <w:b/>
          <w:bCs/>
          <w:sz w:val="24"/>
          <w:szCs w:val="24"/>
        </w:rPr>
        <w:br w:type="page"/>
      </w:r>
    </w:p>
    <w:p w:rsidR="0053453E" w:rsidRPr="0053453E" w:rsidRDefault="0053453E" w:rsidP="0053453E">
      <w:pPr>
        <w:spacing w:line="360" w:lineRule="auto"/>
        <w:jc w:val="both"/>
        <w:rPr>
          <w:rFonts w:ascii="Times New Roman" w:hAnsi="Times New Roman" w:cs="Times New Roman"/>
          <w:b/>
          <w:bCs/>
          <w:sz w:val="24"/>
          <w:szCs w:val="24"/>
        </w:rPr>
      </w:pPr>
      <w:r w:rsidRPr="0053453E">
        <w:rPr>
          <w:rFonts w:ascii="Times New Roman" w:hAnsi="Times New Roman" w:cs="Times New Roman"/>
          <w:b/>
          <w:bCs/>
          <w:sz w:val="24"/>
          <w:szCs w:val="24"/>
        </w:rPr>
        <w:t>References</w:t>
      </w:r>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 xml:space="preserve">Andersen, E., Davey, L., &amp;amp; </w:t>
      </w:r>
      <w:proofErr w:type="spellStart"/>
      <w:r w:rsidRPr="0053453E">
        <w:rPr>
          <w:rFonts w:ascii="Times New Roman" w:hAnsi="Times New Roman" w:cs="Times New Roman"/>
          <w:sz w:val="24"/>
          <w:szCs w:val="24"/>
        </w:rPr>
        <w:t>Valcour</w:t>
      </w:r>
      <w:proofErr w:type="spellEnd"/>
      <w:r w:rsidRPr="0053453E">
        <w:rPr>
          <w:rFonts w:ascii="Times New Roman" w:hAnsi="Times New Roman" w:cs="Times New Roman"/>
          <w:sz w:val="24"/>
          <w:szCs w:val="24"/>
        </w:rPr>
        <w:t xml:space="preserve">, M. (2018, December 18). When companies should invest in training their employees - and when they shouldn't. Harvard Business Review. Retrieved April 20, 2023, from </w:t>
      </w:r>
      <w:hyperlink r:id="rId7" w:history="1">
        <w:r w:rsidRPr="0053453E">
          <w:rPr>
            <w:rStyle w:val="Hyperlink"/>
            <w:rFonts w:ascii="Times New Roman" w:hAnsi="Times New Roman" w:cs="Times New Roman"/>
            <w:color w:val="auto"/>
            <w:sz w:val="24"/>
            <w:szCs w:val="24"/>
          </w:rPr>
          <w:t>https://hbr.org/2018/10/when-companies-should-invest-in-training-their-employees-and-when-they-shouldnt</w:t>
        </w:r>
      </w:hyperlink>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 xml:space="preserve">Forbes. (2022, November 9). Council post: 12 ways to implement successful employee training initiatives. Forbes. Retrieved April 20, 2023, from </w:t>
      </w:r>
      <w:hyperlink r:id="rId8" w:history="1">
        <w:r w:rsidRPr="0053453E">
          <w:rPr>
            <w:rStyle w:val="Hyperlink"/>
            <w:rFonts w:ascii="Times New Roman" w:hAnsi="Times New Roman" w:cs="Times New Roman"/>
            <w:color w:val="auto"/>
            <w:sz w:val="24"/>
            <w:szCs w:val="24"/>
          </w:rPr>
          <w:t>https://www.forbes.com/sites/forbeshumanresourcescouncil/2021/07/13/12-ways-to-implement-successful-employee-training-initiatives/?sh=e093c974a8ac</w:t>
        </w:r>
      </w:hyperlink>
    </w:p>
    <w:p w:rsidR="0053453E" w:rsidRPr="0053453E" w:rsidRDefault="0053453E" w:rsidP="0053453E">
      <w:pPr>
        <w:spacing w:line="360" w:lineRule="auto"/>
        <w:jc w:val="both"/>
        <w:rPr>
          <w:rFonts w:ascii="Times New Roman" w:hAnsi="Times New Roman" w:cs="Times New Roman"/>
          <w:sz w:val="24"/>
          <w:szCs w:val="24"/>
        </w:rPr>
      </w:pPr>
      <w:proofErr w:type="spellStart"/>
      <w:r w:rsidRPr="0053453E">
        <w:rPr>
          <w:rFonts w:ascii="Times New Roman" w:hAnsi="Times New Roman" w:cs="Times New Roman"/>
          <w:sz w:val="24"/>
          <w:szCs w:val="24"/>
        </w:rPr>
        <w:t>Herrity</w:t>
      </w:r>
      <w:proofErr w:type="spellEnd"/>
      <w:r w:rsidRPr="0053453E">
        <w:rPr>
          <w:rFonts w:ascii="Times New Roman" w:hAnsi="Times New Roman" w:cs="Times New Roman"/>
          <w:sz w:val="24"/>
          <w:szCs w:val="24"/>
        </w:rPr>
        <w:t xml:space="preserve">, J. (2023). The importance of training employees: 11 benefits | indeed.com. Retrieved April 20, 2023, from </w:t>
      </w:r>
      <w:hyperlink r:id="rId9" w:history="1">
        <w:r w:rsidRPr="0053453E">
          <w:rPr>
            <w:rStyle w:val="Hyperlink"/>
            <w:rFonts w:ascii="Times New Roman" w:hAnsi="Times New Roman" w:cs="Times New Roman"/>
            <w:color w:val="auto"/>
            <w:sz w:val="24"/>
            <w:szCs w:val="24"/>
          </w:rPr>
          <w:t>https://www.indeed.com/career-advice/career-development/importance-of-training</w:t>
        </w:r>
      </w:hyperlink>
    </w:p>
    <w:p w:rsidR="0053453E" w:rsidRPr="0053453E" w:rsidRDefault="0053453E" w:rsidP="0053453E">
      <w:pPr>
        <w:spacing w:line="360" w:lineRule="auto"/>
        <w:jc w:val="both"/>
        <w:rPr>
          <w:rFonts w:ascii="Times New Roman" w:hAnsi="Times New Roman" w:cs="Times New Roman"/>
          <w:sz w:val="24"/>
          <w:szCs w:val="24"/>
        </w:rPr>
      </w:pPr>
      <w:proofErr w:type="spellStart"/>
      <w:r w:rsidRPr="0053453E">
        <w:rPr>
          <w:rFonts w:ascii="Times New Roman" w:hAnsi="Times New Roman" w:cs="Times New Roman"/>
          <w:sz w:val="24"/>
          <w:szCs w:val="24"/>
        </w:rPr>
        <w:t>Inamdar</w:t>
      </w:r>
      <w:proofErr w:type="spellEnd"/>
      <w:r w:rsidRPr="0053453E">
        <w:rPr>
          <w:rFonts w:ascii="Times New Roman" w:hAnsi="Times New Roman" w:cs="Times New Roman"/>
          <w:sz w:val="24"/>
          <w:szCs w:val="24"/>
        </w:rPr>
        <w:t xml:space="preserve">, A. (2022, July 1). Council post: Upskilling the evaluation procedure. Forbes. Retrieved April 20, 2023, from </w:t>
      </w:r>
      <w:hyperlink r:id="rId10" w:history="1">
        <w:r w:rsidRPr="0053453E">
          <w:rPr>
            <w:rStyle w:val="Hyperlink"/>
            <w:rFonts w:ascii="Times New Roman" w:hAnsi="Times New Roman" w:cs="Times New Roman"/>
            <w:color w:val="auto"/>
            <w:sz w:val="24"/>
            <w:szCs w:val="24"/>
          </w:rPr>
          <w:t>https://www.forbes.com/sites/forbeshumanresourcescouncil/2022/06/29/upskilling-the-evaluation-procedure/?sh=e0a0ce74dbc9</w:t>
        </w:r>
      </w:hyperlink>
    </w:p>
    <w:p w:rsidR="0053453E" w:rsidRPr="0053453E" w:rsidRDefault="0053453E" w:rsidP="0053453E">
      <w:pPr>
        <w:spacing w:line="360" w:lineRule="auto"/>
        <w:jc w:val="both"/>
        <w:rPr>
          <w:rFonts w:ascii="Times New Roman" w:hAnsi="Times New Roman" w:cs="Times New Roman"/>
          <w:sz w:val="24"/>
          <w:szCs w:val="24"/>
        </w:rPr>
      </w:pPr>
      <w:proofErr w:type="spellStart"/>
      <w:r w:rsidRPr="0053453E">
        <w:rPr>
          <w:rFonts w:ascii="Times New Roman" w:hAnsi="Times New Roman" w:cs="Times New Roman"/>
          <w:sz w:val="24"/>
          <w:szCs w:val="24"/>
        </w:rPr>
        <w:t>Nobels</w:t>
      </w:r>
      <w:proofErr w:type="spellEnd"/>
      <w:r w:rsidRPr="0053453E">
        <w:rPr>
          <w:rFonts w:ascii="Times New Roman" w:hAnsi="Times New Roman" w:cs="Times New Roman"/>
          <w:sz w:val="24"/>
          <w:szCs w:val="24"/>
        </w:rPr>
        <w:t xml:space="preserve">, P., &amp;amp; </w:t>
      </w:r>
      <w:proofErr w:type="spellStart"/>
      <w:r w:rsidRPr="0053453E">
        <w:rPr>
          <w:rFonts w:ascii="Times New Roman" w:hAnsi="Times New Roman" w:cs="Times New Roman"/>
          <w:sz w:val="24"/>
          <w:szCs w:val="24"/>
        </w:rPr>
        <w:t>Baele</w:t>
      </w:r>
      <w:proofErr w:type="spellEnd"/>
      <w:r w:rsidRPr="0053453E">
        <w:rPr>
          <w:rFonts w:ascii="Times New Roman" w:hAnsi="Times New Roman" w:cs="Times New Roman"/>
          <w:sz w:val="24"/>
          <w:szCs w:val="24"/>
        </w:rPr>
        <w:t xml:space="preserve">, S. (2022, March 3). The ever-growing importance of </w:t>
      </w:r>
      <w:proofErr w:type="spellStart"/>
      <w:r w:rsidRPr="0053453E">
        <w:rPr>
          <w:rFonts w:ascii="Times New Roman" w:hAnsi="Times New Roman" w:cs="Times New Roman"/>
          <w:sz w:val="24"/>
          <w:szCs w:val="24"/>
        </w:rPr>
        <w:t>L&amp;amp;D</w:t>
      </w:r>
      <w:proofErr w:type="spellEnd"/>
      <w:r w:rsidRPr="0053453E">
        <w:rPr>
          <w:rFonts w:ascii="Times New Roman" w:hAnsi="Times New Roman" w:cs="Times New Roman"/>
          <w:sz w:val="24"/>
          <w:szCs w:val="24"/>
        </w:rPr>
        <w:t xml:space="preserve"> in the future of work. EY US - Home. Retrieved April 20, 2023, from </w:t>
      </w:r>
      <w:hyperlink r:id="rId11" w:history="1">
        <w:r w:rsidRPr="0053453E">
          <w:rPr>
            <w:rStyle w:val="Hyperlink"/>
            <w:rFonts w:ascii="Times New Roman" w:hAnsi="Times New Roman" w:cs="Times New Roman"/>
            <w:color w:val="auto"/>
            <w:sz w:val="24"/>
            <w:szCs w:val="24"/>
          </w:rPr>
          <w:t>https://www.ey.com/en_be/workforce/the-ever-growing-importance-of-l-d-in-the-future-of-work</w:t>
        </w:r>
      </w:hyperlink>
    </w:p>
    <w:p w:rsidR="0053453E" w:rsidRPr="0053453E" w:rsidRDefault="0053453E" w:rsidP="0053453E">
      <w:pPr>
        <w:spacing w:line="360" w:lineRule="auto"/>
        <w:jc w:val="both"/>
        <w:rPr>
          <w:rFonts w:ascii="Times New Roman" w:hAnsi="Times New Roman" w:cs="Times New Roman"/>
          <w:sz w:val="24"/>
          <w:szCs w:val="24"/>
        </w:rPr>
      </w:pPr>
      <w:r w:rsidRPr="0053453E">
        <w:rPr>
          <w:rFonts w:ascii="Times New Roman" w:hAnsi="Times New Roman" w:cs="Times New Roman"/>
          <w:sz w:val="24"/>
          <w:szCs w:val="24"/>
        </w:rPr>
        <w:t xml:space="preserve">O’Malley, G., Marseille, E., &amp;amp; Weaver, M. R. (2020). Cost-effectiveness analyses of training: A manager’s guide. Human Resources for Health, 11(1). </w:t>
      </w:r>
      <w:hyperlink r:id="rId12" w:history="1">
        <w:r w:rsidRPr="0053453E">
          <w:rPr>
            <w:rStyle w:val="Hyperlink"/>
            <w:rFonts w:ascii="Times New Roman" w:hAnsi="Times New Roman" w:cs="Times New Roman"/>
            <w:color w:val="auto"/>
            <w:sz w:val="24"/>
            <w:szCs w:val="24"/>
          </w:rPr>
          <w:t>https://doi.org/10.1186/1478-4491-11-20</w:t>
        </w:r>
      </w:hyperlink>
    </w:p>
    <w:p w:rsidR="0053453E" w:rsidRPr="0053453E" w:rsidRDefault="0053453E" w:rsidP="0053453E">
      <w:pPr>
        <w:pStyle w:val="NormalWeb"/>
        <w:spacing w:before="0" w:beforeAutospacing="0" w:after="240" w:afterAutospacing="0" w:line="360" w:lineRule="auto"/>
      </w:pPr>
      <w:r w:rsidRPr="0053453E">
        <w:t xml:space="preserve">Torrington, D., Hall, L., Taylor, S. and Atkinson, C. (2020). </w:t>
      </w:r>
      <w:r w:rsidRPr="0053453E">
        <w:rPr>
          <w:i/>
          <w:iCs/>
        </w:rPr>
        <w:t>Human resource management</w:t>
      </w:r>
      <w:r w:rsidRPr="0053453E">
        <w:t>. 11th ed. Harlow, England ; New York: Pearson.</w:t>
      </w:r>
    </w:p>
    <w:p w:rsidR="0053453E" w:rsidRPr="0053453E" w:rsidRDefault="0053453E" w:rsidP="0053453E">
      <w:pPr>
        <w:spacing w:line="360" w:lineRule="auto"/>
        <w:jc w:val="both"/>
        <w:rPr>
          <w:rFonts w:ascii="Times New Roman" w:hAnsi="Times New Roman" w:cs="Times New Roman"/>
          <w:sz w:val="24"/>
          <w:szCs w:val="24"/>
        </w:rPr>
      </w:pPr>
    </w:p>
    <w:p w:rsidR="00636DDC" w:rsidRPr="0053453E" w:rsidRDefault="00636DDC"/>
    <w:sectPr w:rsidR="00636DDC" w:rsidRPr="0053453E" w:rsidSect="00B53A6D">
      <w:head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E0B82" w:rsidRDefault="001E0B82">
      <w:pPr>
        <w:spacing w:after="0" w:line="240" w:lineRule="auto"/>
      </w:pPr>
      <w:r>
        <w:separator/>
      </w:r>
    </w:p>
  </w:endnote>
  <w:endnote w:type="continuationSeparator" w:id="0">
    <w:p w:rsidR="001E0B82" w:rsidRDefault="001E0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E0B82" w:rsidRDefault="001E0B82">
      <w:pPr>
        <w:spacing w:after="0" w:line="240" w:lineRule="auto"/>
      </w:pPr>
      <w:r>
        <w:separator/>
      </w:r>
    </w:p>
  </w:footnote>
  <w:footnote w:type="continuationSeparator" w:id="0">
    <w:p w:rsidR="001E0B82" w:rsidRDefault="001E0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308550"/>
      <w:docPartObj>
        <w:docPartGallery w:val="Page Numbers (Top of Page)"/>
        <w:docPartUnique/>
      </w:docPartObj>
    </w:sdtPr>
    <w:sdtEndPr>
      <w:rPr>
        <w:noProof/>
      </w:rPr>
    </w:sdtEndPr>
    <w:sdtContent>
      <w:p w:rsidR="00B53A6D" w:rsidRDefault="0053453E">
        <w:pPr>
          <w:pStyle w:val="Header"/>
          <w:jc w:val="right"/>
        </w:pPr>
        <w:r>
          <w:fldChar w:fldCharType="begin"/>
        </w:r>
        <w:r>
          <w:instrText xml:space="preserve"> PAGE   \* MERGEFORMAT </w:instrText>
        </w:r>
        <w:r>
          <w:fldChar w:fldCharType="separate"/>
        </w:r>
        <w:r w:rsidR="004B73D4">
          <w:rPr>
            <w:noProof/>
          </w:rPr>
          <w:t>6</w:t>
        </w:r>
        <w:r>
          <w:rPr>
            <w:noProof/>
          </w:rPr>
          <w:fldChar w:fldCharType="end"/>
        </w:r>
      </w:p>
    </w:sdtContent>
  </w:sdt>
  <w:p w:rsidR="00B53A6D" w:rsidRDefault="00C815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3453E"/>
    <w:rsid w:val="001E0B82"/>
    <w:rsid w:val="004B73D4"/>
    <w:rsid w:val="0053453E"/>
    <w:rsid w:val="00636DDC"/>
    <w:rsid w:val="00BA06F6"/>
    <w:rsid w:val="00C81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7B3DFEF-79C1-2F4F-A3C2-07DADF0F3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53E"/>
    <w:pPr>
      <w:spacing w:after="160" w:line="259" w:lineRule="auto"/>
    </w:pPr>
    <w:rPr>
      <w:lang w:val="en-IN"/>
    </w:rPr>
  </w:style>
  <w:style w:type="paragraph" w:styleId="Heading1">
    <w:name w:val="heading 1"/>
    <w:basedOn w:val="Normal"/>
    <w:next w:val="Normal"/>
    <w:link w:val="Heading1Char"/>
    <w:uiPriority w:val="9"/>
    <w:qFormat/>
    <w:rsid w:val="0053453E"/>
    <w:pPr>
      <w:keepNext/>
      <w:keepLines/>
      <w:spacing w:before="240" w:after="0"/>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53E"/>
    <w:rPr>
      <w:rFonts w:ascii="Times New Roman" w:eastAsiaTheme="majorEastAsia" w:hAnsi="Times New Roman" w:cstheme="majorBidi"/>
      <w:b/>
      <w:sz w:val="24"/>
      <w:szCs w:val="32"/>
      <w:lang w:val="en-IN"/>
    </w:rPr>
  </w:style>
  <w:style w:type="paragraph" w:styleId="Header">
    <w:name w:val="header"/>
    <w:basedOn w:val="Normal"/>
    <w:link w:val="HeaderChar"/>
    <w:uiPriority w:val="99"/>
    <w:unhideWhenUsed/>
    <w:rsid w:val="00534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53E"/>
    <w:rPr>
      <w:lang w:val="en-IN"/>
    </w:rPr>
  </w:style>
  <w:style w:type="paragraph" w:styleId="TOCHeading">
    <w:name w:val="TOC Heading"/>
    <w:basedOn w:val="Heading1"/>
    <w:next w:val="Normal"/>
    <w:uiPriority w:val="39"/>
    <w:unhideWhenUsed/>
    <w:qFormat/>
    <w:rsid w:val="0053453E"/>
    <w:pPr>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qFormat/>
    <w:rsid w:val="0053453E"/>
    <w:pPr>
      <w:spacing w:after="100"/>
    </w:pPr>
  </w:style>
  <w:style w:type="character" w:styleId="Hyperlink">
    <w:name w:val="Hyperlink"/>
    <w:basedOn w:val="DefaultParagraphFont"/>
    <w:uiPriority w:val="99"/>
    <w:unhideWhenUsed/>
    <w:rsid w:val="0053453E"/>
    <w:rPr>
      <w:color w:val="0000FF" w:themeColor="hyperlink"/>
      <w:u w:val="single"/>
    </w:rPr>
  </w:style>
  <w:style w:type="paragraph" w:styleId="NormalWeb">
    <w:name w:val="Normal (Web)"/>
    <w:basedOn w:val="Normal"/>
    <w:uiPriority w:val="99"/>
    <w:semiHidden/>
    <w:unhideWhenUsed/>
    <w:rsid w:val="0053453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5345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453E"/>
    <w:rPr>
      <w:rFonts w:ascii="Tahoma" w:hAnsi="Tahoma" w:cs="Tahoma"/>
      <w:sz w:val="16"/>
      <w:szCs w:val="16"/>
      <w:lang w:val="en-IN"/>
    </w:rPr>
  </w:style>
  <w:style w:type="paragraph" w:styleId="NoSpacing">
    <w:name w:val="No Spacing"/>
    <w:uiPriority w:val="1"/>
    <w:qFormat/>
    <w:rsid w:val="0053453E"/>
    <w:pPr>
      <w:spacing w:after="0" w:line="240" w:lineRule="auto"/>
    </w:pPr>
    <w:rPr>
      <w:lang w:val="en-IN"/>
    </w:rPr>
  </w:style>
  <w:style w:type="paragraph" w:styleId="TOC2">
    <w:name w:val="toc 2"/>
    <w:basedOn w:val="Normal"/>
    <w:next w:val="Normal"/>
    <w:autoRedefine/>
    <w:uiPriority w:val="39"/>
    <w:semiHidden/>
    <w:unhideWhenUsed/>
    <w:qFormat/>
    <w:rsid w:val="0053453E"/>
    <w:pPr>
      <w:spacing w:after="100" w:line="276" w:lineRule="auto"/>
      <w:ind w:left="220"/>
    </w:pPr>
    <w:rPr>
      <w:rFonts w:eastAsiaTheme="minorEastAsia"/>
      <w:lang w:val="en-US" w:eastAsia="ja-JP"/>
    </w:rPr>
  </w:style>
  <w:style w:type="paragraph" w:styleId="TOC3">
    <w:name w:val="toc 3"/>
    <w:basedOn w:val="Normal"/>
    <w:next w:val="Normal"/>
    <w:autoRedefine/>
    <w:uiPriority w:val="39"/>
    <w:semiHidden/>
    <w:unhideWhenUsed/>
    <w:qFormat/>
    <w:rsid w:val="0053453E"/>
    <w:pPr>
      <w:spacing w:after="100" w:line="276" w:lineRule="auto"/>
      <w:ind w:left="440"/>
    </w:pPr>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humanresourcescouncil/2021/07/13/12-ways-to-implement-successful-employee-training-initiatives/?sh=e093c974a8ac"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hbr.org/2018/10/when-companies-should-invest-in-training-their-employees-and-when-they-shouldnt" TargetMode="External" /><Relationship Id="rId12" Type="http://schemas.openxmlformats.org/officeDocument/2006/relationships/hyperlink" Target="https://doi.org/10.1186/1478-4491-11-20"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ey.com/en_be/workforce/the-ever-growing-importance-of-l-d-in-the-future-of-work"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forbes.com/sites/forbeshumanresourcescouncil/2022/06/29/upskilling-the-evaluation-procedure/?sh=e0a0ce74dbc9" TargetMode="External" /><Relationship Id="rId4" Type="http://schemas.openxmlformats.org/officeDocument/2006/relationships/webSettings" Target="webSettings.xml" /><Relationship Id="rId9" Type="http://schemas.openxmlformats.org/officeDocument/2006/relationships/hyperlink" Target="https://www.indeed.com/career-advice/career-development/importance-of-training"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A209C-B462-456E-BF0F-392FA0BCFE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1424</Words>
  <Characters>8119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Vanshika</cp:lastModifiedBy>
  <cp:revision>2</cp:revision>
  <dcterms:created xsi:type="dcterms:W3CDTF">2023-04-23T15:12:00Z</dcterms:created>
  <dcterms:modified xsi:type="dcterms:W3CDTF">2023-04-23T15:12:00Z</dcterms:modified>
</cp:coreProperties>
</file>