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4FAEE609"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66F8B">
              <w:rPr>
                <w:rFonts w:ascii="Times New Roman" w:hAnsi="Times New Roman" w:cs="Times New Roman"/>
                <w:b/>
                <w:color w:val="auto"/>
                <w:sz w:val="48"/>
              </w:rPr>
              <w:t xml:space="preserve">Amanda Thomas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46E9508"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66F8B">
              <w:rPr>
                <w:rFonts w:ascii="Times New Roman" w:hAnsi="Times New Roman" w:cs="Times New Roman"/>
                <w:b/>
                <w:color w:val="auto"/>
                <w:sz w:val="48"/>
              </w:rPr>
              <w:t xml:space="preserve"> </w:t>
            </w:r>
            <w:r w:rsidR="00EC4F7F">
              <w:rPr>
                <w:rFonts w:ascii="Times New Roman" w:hAnsi="Times New Roman" w:cs="Times New Roman"/>
                <w:b/>
                <w:color w:val="auto"/>
                <w:sz w:val="48"/>
              </w:rPr>
              <w:t>2521439@student.uwtsd.ac.uk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E72A5F9" w14:textId="5A94E453" w:rsidR="00EC4F7F" w:rsidRPr="005D3F07" w:rsidRDefault="00EC4F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2521439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433794BC" w14:textId="77777777" w:rsidR="00EC4F7F" w:rsidRPr="00971E53" w:rsidRDefault="00EC4F7F" w:rsidP="00EC4F7F">
            <w:pPr>
              <w:spacing w:line="276" w:lineRule="auto"/>
              <w:jc w:val="both"/>
              <w:rPr>
                <w:sz w:val="24"/>
                <w:szCs w:val="24"/>
              </w:rPr>
            </w:pPr>
            <w:r w:rsidRPr="00971E53">
              <w:rPr>
                <w:sz w:val="24"/>
                <w:szCs w:val="24"/>
              </w:rPr>
              <w:t>The primary legislation regarding children's safeguarding in Wales is the Social Services and Well-being Act Wales 2014 (SSWB), which establishes a distinct framework for the region. Notably, Part 7 of the SSWB emphasises safeguarding provisions, particularly Section 130, which outlines the "duty to report children at risk," and Section 131, which provides “Guidance about children at risk,” focusing specifically on children’s safeguarding measures. The Children Act 1989 remains pertinent, as it delineates the circumstances under which care proceedings should be initiated and articulates the local authority's duty to safeguard and promote the welfare of children. Additionally, the Children Act 2004 is relevant, as it encourages collaboration among professional agencies and enhances accountability.</w:t>
            </w:r>
          </w:p>
          <w:p w14:paraId="4651D0CE" w14:textId="77777777" w:rsidR="00EC4F7F" w:rsidRPr="00971E53" w:rsidRDefault="00EC4F7F" w:rsidP="00EC4F7F">
            <w:pPr>
              <w:spacing w:line="276" w:lineRule="auto"/>
              <w:jc w:val="both"/>
              <w:rPr>
                <w:sz w:val="24"/>
                <w:szCs w:val="24"/>
              </w:rPr>
            </w:pPr>
            <w:r w:rsidRPr="00971E53">
              <w:rPr>
                <w:sz w:val="24"/>
                <w:szCs w:val="24"/>
              </w:rPr>
              <w:t xml:space="preserve">However, it is essential to recognise that certain provisions within the Children Act </w:t>
            </w:r>
            <w:proofErr w:type="gramStart"/>
            <w:r w:rsidRPr="00971E53">
              <w:rPr>
                <w:sz w:val="24"/>
                <w:szCs w:val="24"/>
              </w:rPr>
              <w:t>1989</w:t>
            </w:r>
            <w:proofErr w:type="gramEnd"/>
            <w:r w:rsidRPr="00971E53">
              <w:rPr>
                <w:sz w:val="24"/>
                <w:szCs w:val="24"/>
              </w:rPr>
              <w:t xml:space="preserve"> and the Children Act 2004 have been amended, repealed, or supplanted by the SSWB and the Well-being of Future Generations (Wales) Act 2015. The Future Generations (Wales) Act 2015 mandates public bodies to consider the long-term ramifications of their decisions, to engage collaboratively with individuals, communities, and one another, and to mitigate persistent issues such as poverty, health disparities, and climate change, all of which hold particular significance in the context of safeguarding.</w:t>
            </w:r>
          </w:p>
          <w:p w14:paraId="4BC446E0" w14:textId="77777777" w:rsidR="00EC4F7F" w:rsidRPr="00971E53" w:rsidRDefault="00EC4F7F" w:rsidP="00EC4F7F">
            <w:pPr>
              <w:spacing w:line="276" w:lineRule="auto"/>
              <w:jc w:val="both"/>
              <w:rPr>
                <w:sz w:val="24"/>
                <w:szCs w:val="24"/>
              </w:rPr>
            </w:pPr>
            <w:r w:rsidRPr="00971E53">
              <w:rPr>
                <w:sz w:val="24"/>
                <w:szCs w:val="24"/>
              </w:rPr>
              <w:t>Wales has adopted the United Nations Convention on the Rights of the Child (UNCRC) as the foundation for all policies pertaining to children and young people. This convention delineates the civil, political, economic, social, and cultural rights of every child and consists of 54 articles. Moreover, children’s rights are safeguarded in Welsh law by the Rights of Children and Young People (Wales) Measure 2011, which requires ministers to give due consideration to the UNCRC. Furthermore, it is crucial to remain cognizant of the European Convention on Human Rights (ECHR), which comprises 18 articles; the most relevant articles include Article 2: the right to life, Article 3: freedom from torture, Article 5: the right to liberty, Article 6: the right to a fair trial, and Article 8: the right to respect for family and private life.</w:t>
            </w:r>
          </w:p>
          <w:p w14:paraId="43DFE9A0" w14:textId="77777777" w:rsidR="00EC4F7F" w:rsidRPr="00971E53" w:rsidRDefault="00EC4F7F" w:rsidP="00EC4F7F">
            <w:pPr>
              <w:spacing w:line="276" w:lineRule="auto"/>
              <w:jc w:val="both"/>
              <w:rPr>
                <w:sz w:val="24"/>
                <w:szCs w:val="24"/>
              </w:rPr>
            </w:pPr>
            <w:r w:rsidRPr="00971E53">
              <w:rPr>
                <w:sz w:val="24"/>
                <w:szCs w:val="24"/>
              </w:rPr>
              <w:lastRenderedPageBreak/>
              <w:t>The statutory guidance document "Working Together to Safeguard People" (2021) is pertinent to Part 7 of the SSWB and comprises several volumes. Volume 1 offers an introduction and overview, while Volume 2 addresses Child Practice Reviews. Volume 5 focuses on handling individual cases to protect children at risk, and Volume 7 discusses safeguarding children from sexual exploitation, all of which are particularly relevant to the safeguarding of children. The Wales Safeguarding Procedures (2019) furnish a standardised set of procedures and practice guidelines for safeguarding boards across Wales. The relevant sections for children and young people include Section 1, which pertains to safeguarding principles and effective practice; Section 2, which describes the duty to report a child at risk of abuse, neglect, and/or harm; Section 3, which details the responses to reports of children at risk, decision-making processes, and initial child protection conferences; Section 4, which relates to planning and intervention for children on the child protection register; and Section 5, which addresses safeguarding allegations or concerns regarding practitioners and individuals in positions of trust. These procedures are designed to assist practitioners in fulfilling their safeguarding responsibilities while adhering to the SSWB's legislative requirements.</w:t>
            </w:r>
          </w:p>
          <w:p w14:paraId="00126856" w14:textId="77777777" w:rsidR="00EC4F7F" w:rsidRPr="00971E53" w:rsidRDefault="00EC4F7F" w:rsidP="00EC4F7F">
            <w:pPr>
              <w:spacing w:line="276" w:lineRule="auto"/>
              <w:jc w:val="both"/>
              <w:rPr>
                <w:sz w:val="24"/>
                <w:szCs w:val="24"/>
              </w:rPr>
            </w:pPr>
          </w:p>
          <w:p w14:paraId="5D394A1C" w14:textId="77777777" w:rsidR="00EC4F7F" w:rsidRPr="00971E53" w:rsidRDefault="00EC4F7F" w:rsidP="00EC4F7F">
            <w:pPr>
              <w:spacing w:line="276" w:lineRule="auto"/>
              <w:jc w:val="both"/>
              <w:rPr>
                <w:sz w:val="24"/>
                <w:szCs w:val="24"/>
              </w:rPr>
            </w:pPr>
            <w:r w:rsidRPr="00971E53">
              <w:rPr>
                <w:sz w:val="24"/>
                <w:szCs w:val="24"/>
              </w:rPr>
              <w:t>527</w:t>
            </w:r>
          </w:p>
          <w:p w14:paraId="0318E819" w14:textId="77777777" w:rsidR="00FC0334" w:rsidRPr="00EC4F7F" w:rsidRDefault="00FC0334" w:rsidP="00EC4F7F">
            <w:pPr>
              <w:spacing w:line="276" w:lineRule="auto"/>
              <w:jc w:val="both"/>
              <w:rPr>
                <w:sz w:val="28"/>
                <w:szCs w:val="28"/>
              </w:rPr>
            </w:pPr>
          </w:p>
          <w:p w14:paraId="6D8CB8AF" w14:textId="77777777" w:rsidR="00FC0334" w:rsidRDefault="00FC0334" w:rsidP="00FF7EBB">
            <w:pPr>
              <w:jc w:val="both"/>
              <w:rPr>
                <w:sz w:val="24"/>
                <w:szCs w:val="24"/>
              </w:rPr>
            </w:pPr>
          </w:p>
          <w:p w14:paraId="4A95F4DB" w14:textId="77777777" w:rsidR="00FC0334" w:rsidRDefault="00FC0334" w:rsidP="00FF7EBB">
            <w:pPr>
              <w:jc w:val="both"/>
              <w:rPr>
                <w:sz w:val="24"/>
                <w:szCs w:val="24"/>
              </w:rPr>
            </w:pPr>
          </w:p>
          <w:p w14:paraId="75DF59E2" w14:textId="77777777" w:rsidR="00FC0334" w:rsidRDefault="00FC0334" w:rsidP="00FF7EBB">
            <w:pPr>
              <w:jc w:val="both"/>
              <w:rPr>
                <w:sz w:val="24"/>
                <w:szCs w:val="24"/>
              </w:rPr>
            </w:pPr>
          </w:p>
          <w:p w14:paraId="14883BA0" w14:textId="77777777" w:rsidR="00FC0334" w:rsidRDefault="00FC0334" w:rsidP="00FF7EBB">
            <w:pPr>
              <w:jc w:val="both"/>
              <w:rPr>
                <w:sz w:val="24"/>
                <w:szCs w:val="24"/>
              </w:rPr>
            </w:pPr>
          </w:p>
          <w:p w14:paraId="49641ACD" w14:textId="77777777" w:rsidR="00FC0334" w:rsidRDefault="00FC0334" w:rsidP="00FF7EBB">
            <w:pPr>
              <w:jc w:val="both"/>
              <w:rPr>
                <w:sz w:val="24"/>
                <w:szCs w:val="24"/>
              </w:rPr>
            </w:pP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0280C46" w14:textId="77777777" w:rsidR="00971E53" w:rsidRDefault="00971E53" w:rsidP="00FC0334">
            <w:pPr>
              <w:jc w:val="both"/>
              <w:rPr>
                <w:sz w:val="24"/>
                <w:szCs w:val="24"/>
              </w:rPr>
            </w:pPr>
          </w:p>
          <w:p w14:paraId="648EB09E" w14:textId="77777777" w:rsidR="00971E53" w:rsidRPr="00971E53" w:rsidRDefault="00971E53" w:rsidP="00971E53">
            <w:pPr>
              <w:spacing w:line="276" w:lineRule="auto"/>
              <w:jc w:val="both"/>
              <w:rPr>
                <w:sz w:val="24"/>
                <w:szCs w:val="24"/>
              </w:rPr>
            </w:pPr>
            <w:r w:rsidRPr="00971E53">
              <w:rPr>
                <w:sz w:val="24"/>
                <w:szCs w:val="24"/>
              </w:rPr>
              <w:t xml:space="preserve">One of the key characteristics of the Social Services and Well-being (Wales) Act 2014 (SSWBWA14) is its unified approach to safeguarding both adults and children. Connolly et al. (2020) underscore the necessity of a joint approach to effectively address the needs of children, young people, and adults. In contrast, McManus and Boulton (2020) assert that a recent study evaluating the progress of a multi-agency approach to safeguarding found that the implementation of a collaborative strategy has been insufficient relative to the provisions set out in legislation. Certain professionals were hesitant to embrace a multidisciplinary team concept, resulting in numerous adult and children’s safeguarding teams operating from </w:t>
            </w:r>
            <w:r w:rsidRPr="00971E53">
              <w:rPr>
                <w:sz w:val="24"/>
                <w:szCs w:val="24"/>
              </w:rPr>
              <w:lastRenderedPageBreak/>
              <w:t xml:space="preserve">separate facilities (McManus &amp; Boulton, 2020). Keeling and </w:t>
            </w:r>
            <w:proofErr w:type="spellStart"/>
            <w:r w:rsidRPr="00971E53">
              <w:rPr>
                <w:sz w:val="24"/>
                <w:szCs w:val="24"/>
              </w:rPr>
              <w:t>Goosey</w:t>
            </w:r>
            <w:proofErr w:type="spellEnd"/>
            <w:r w:rsidRPr="00971E53">
              <w:rPr>
                <w:sz w:val="24"/>
                <w:szCs w:val="24"/>
              </w:rPr>
              <w:t xml:space="preserve"> (2021) further highlight a prevailing perception that adult safeguarding is perceived as less significant than that of children’s safeguarding; the authors notably draw a connection between parents in need of support due to mental health challenges and substance misuse and those who have children requiring safeguarding. This observation emphasises the necessity for a lifespan approach.</w:t>
            </w:r>
          </w:p>
          <w:p w14:paraId="511A81F4" w14:textId="77777777" w:rsidR="00971E53" w:rsidRPr="00971E53" w:rsidRDefault="00971E53" w:rsidP="00971E53">
            <w:pPr>
              <w:spacing w:line="276" w:lineRule="auto"/>
              <w:jc w:val="both"/>
              <w:rPr>
                <w:sz w:val="24"/>
                <w:szCs w:val="24"/>
              </w:rPr>
            </w:pPr>
            <w:r w:rsidRPr="00971E53">
              <w:rPr>
                <w:sz w:val="24"/>
                <w:szCs w:val="24"/>
              </w:rPr>
              <w:t xml:space="preserve">Webber et al. (2013) further delineate that safeguarding teams may pursue divergent agendas and policies, thereby creating obstacles to a cohesive strategy. Chisnell and Kelly (2019) advocate for the critical nature of the lifespan approach in safeguarding, while also acknowledging the limitations inherent within the current legislative framework for adult safeguarding. In Wales, an “adult at risk” is defined as an individual who is experiencing or is at risk of harm or neglect, has care and support needs, and, as a result, is unable to protect themselves (Gov. Wales, 2018b). The shift in terminology from “protecting vulnerable adults” to “adults at risk” has received positive reception; Pritchard-Jones (2018) notes that this transformation places greater emphasis on an individual’s strengths rather than their weaknesses.   </w:t>
            </w:r>
          </w:p>
          <w:p w14:paraId="00F83E58" w14:textId="4BC6A6E3" w:rsidR="00971E53" w:rsidRPr="00971E53" w:rsidRDefault="00971E53" w:rsidP="00971E53">
            <w:pPr>
              <w:spacing w:line="276" w:lineRule="auto"/>
              <w:jc w:val="both"/>
              <w:rPr>
                <w:sz w:val="24"/>
                <w:szCs w:val="24"/>
              </w:rPr>
            </w:pPr>
            <w:r w:rsidRPr="00971E53">
              <w:rPr>
                <w:sz w:val="24"/>
                <w:szCs w:val="24"/>
              </w:rPr>
              <w:t xml:space="preserve">A significant distinction between safeguarding adults and safeguarding children lies in the principle of self-determination afforded to adults. In contrast, the paramount concern for children is their safety, which takes precedence over individual choice; however, it remains essential to consider the child's voice. For individuals under sixteen years of age, decision-making usually requires the consent of a parent or guardian. Relevant case law, known as Gillick competency, assesses a child's ability to make such decisions but is </w:t>
            </w:r>
            <w:r w:rsidRPr="00971E53">
              <w:rPr>
                <w:sz w:val="24"/>
                <w:szCs w:val="24"/>
              </w:rPr>
              <w:t>decision specific</w:t>
            </w:r>
            <w:r w:rsidRPr="00971E53">
              <w:rPr>
                <w:sz w:val="24"/>
                <w:szCs w:val="24"/>
              </w:rPr>
              <w:t xml:space="preserve">. </w:t>
            </w:r>
          </w:p>
          <w:p w14:paraId="4E7C5B22" w14:textId="77777777" w:rsidR="00971E53" w:rsidRPr="00971E53" w:rsidRDefault="00971E53" w:rsidP="00971E53">
            <w:pPr>
              <w:spacing w:line="276" w:lineRule="auto"/>
              <w:jc w:val="both"/>
              <w:rPr>
                <w:sz w:val="24"/>
                <w:szCs w:val="24"/>
              </w:rPr>
            </w:pPr>
            <w:r w:rsidRPr="00971E53">
              <w:rPr>
                <w:sz w:val="24"/>
                <w:szCs w:val="24"/>
              </w:rPr>
              <w:t>Legislative frameworks differ for adults and children; for instance, adults have the right to opt out of protective measures intended to prevent potential harm. The Mental Health Act of 1983 (MHA, 1983) and the Mental Capacity Act of 2005 (MCA, 2005) empower individuals by upholding their right to self-determination, even when they may make unwise decisions. Nevertheless, these statutes also establish a regulatory framework to safeguard vulnerable individuals who are unable to make their own decisions.</w:t>
            </w:r>
          </w:p>
          <w:p w14:paraId="4CABE426" w14:textId="77777777" w:rsidR="00FC0334" w:rsidRDefault="00FC0334" w:rsidP="00FC0334">
            <w:pPr>
              <w:jc w:val="both"/>
              <w:rPr>
                <w:sz w:val="24"/>
                <w:szCs w:val="24"/>
              </w:rPr>
            </w:pPr>
          </w:p>
          <w:p w14:paraId="795C6051" w14:textId="790BD5FA" w:rsidR="00FC0334" w:rsidRDefault="00971E53" w:rsidP="00FC0334">
            <w:pPr>
              <w:jc w:val="both"/>
              <w:rPr>
                <w:sz w:val="24"/>
                <w:szCs w:val="24"/>
              </w:rPr>
            </w:pPr>
            <w:r>
              <w:rPr>
                <w:sz w:val="24"/>
                <w:szCs w:val="24"/>
              </w:rPr>
              <w:t>437</w:t>
            </w:r>
          </w:p>
          <w:p w14:paraId="67E7ED72" w14:textId="77777777" w:rsidR="00FC0334" w:rsidRDefault="00FC0334" w:rsidP="00FC0334">
            <w:pPr>
              <w:jc w:val="both"/>
              <w:rPr>
                <w:sz w:val="24"/>
                <w:szCs w:val="24"/>
              </w:rPr>
            </w:pPr>
          </w:p>
          <w:p w14:paraId="478D2F84" w14:textId="77777777" w:rsidR="00FC0334" w:rsidRDefault="00FC0334" w:rsidP="00FC0334">
            <w:pPr>
              <w:jc w:val="both"/>
              <w:rPr>
                <w:sz w:val="24"/>
                <w:szCs w:val="24"/>
              </w:rPr>
            </w:pP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8A78EE" w14:textId="77777777" w:rsidR="00FE2BF3" w:rsidRDefault="00FE2BF3">
      <w:r>
        <w:separator/>
      </w:r>
    </w:p>
  </w:endnote>
  <w:endnote w:type="continuationSeparator" w:id="0">
    <w:p w14:paraId="30BCEF55" w14:textId="77777777" w:rsidR="00FE2BF3" w:rsidRDefault="00FE2B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A7A7A0" w14:textId="77777777" w:rsidR="00FE2BF3" w:rsidRDefault="00FE2BF3">
      <w:r>
        <w:separator/>
      </w:r>
    </w:p>
  </w:footnote>
  <w:footnote w:type="continuationSeparator" w:id="0">
    <w:p w14:paraId="0DA0E91D" w14:textId="77777777" w:rsidR="00FE2BF3" w:rsidRDefault="00FE2BF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66F8B"/>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71E53"/>
    <w:rsid w:val="0098262C"/>
    <w:rsid w:val="0098427C"/>
    <w:rsid w:val="00986B43"/>
    <w:rsid w:val="00986C0B"/>
    <w:rsid w:val="00986D46"/>
    <w:rsid w:val="00991FDA"/>
    <w:rsid w:val="00992ACA"/>
    <w:rsid w:val="009A1BA3"/>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4F7F"/>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2BF3"/>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4</Pages>
  <Words>1136</Words>
  <Characters>6898</Characters>
  <Application>Microsoft Office Word</Application>
  <DocSecurity>0</DocSecurity>
  <Lines>132</Lines>
  <Paragraphs>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Amanda Thomas</cp:lastModifiedBy>
  <cp:revision>5</cp:revision>
  <cp:lastPrinted>2020-02-11T19:20:00Z</cp:lastPrinted>
  <dcterms:created xsi:type="dcterms:W3CDTF">2022-09-29T11:35:00Z</dcterms:created>
  <dcterms:modified xsi:type="dcterms:W3CDTF">2026-09-29T10:53:00Z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bc5428ec86fe98327b52c6d138d879e427f54ef44f908b47365e68046bcad017</vt:lpwstr>
  </property>
</Properties>
</file>