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1BABC94A" w:rsidR="00301299" w:rsidRDefault="00936CE1" w:rsidP="00301299">
      <w:pPr>
        <w:jc w:val="center"/>
        <w:rPr>
          <w:sz w:val="36"/>
          <w:szCs w:val="36"/>
        </w:rPr>
      </w:pPr>
      <w:r>
        <w:rPr>
          <w:sz w:val="96"/>
          <w:szCs w:val="96"/>
        </w:rPr>
        <w:t>Electronic Circuits Testing</w:t>
      </w:r>
    </w:p>
    <w:p w14:paraId="15CBFCE8" w14:textId="4DB20BC6" w:rsidR="00EC6D62" w:rsidRPr="00301299" w:rsidRDefault="00EC6D62" w:rsidP="00EC6D62">
      <w:pPr>
        <w:jc w:val="center"/>
        <w:rPr>
          <w:sz w:val="36"/>
          <w:szCs w:val="36"/>
        </w:rPr>
      </w:pPr>
      <w:r>
        <w:rPr>
          <w:sz w:val="36"/>
          <w:szCs w:val="36"/>
        </w:rPr>
        <w:t>Vehicle electronics</w:t>
      </w:r>
    </w:p>
    <w:p w14:paraId="5ECC3549" w14:textId="77777777" w:rsidR="00301299" w:rsidRDefault="00301299" w:rsidP="00B347E4">
      <w:pP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1CC64161" w:rsidR="00301299" w:rsidRPr="00EC6D62" w:rsidRDefault="00EC6D62" w:rsidP="00301299">
      <w:pPr>
        <w:jc w:val="center"/>
        <w:rPr>
          <w:sz w:val="40"/>
          <w:szCs w:val="40"/>
        </w:rPr>
      </w:pPr>
      <w:r w:rsidRPr="00EC6D62">
        <w:rPr>
          <w:sz w:val="32"/>
          <w:szCs w:val="32"/>
        </w:rPr>
        <w:t>Filip szczepaniuk</w:t>
      </w:r>
    </w:p>
    <w:p w14:paraId="6BFE1304" w14:textId="45C17EBC" w:rsidR="00301299" w:rsidRPr="00EC6D62" w:rsidRDefault="00EC6D62" w:rsidP="00301299">
      <w:pPr>
        <w:jc w:val="center"/>
      </w:pPr>
      <w:r w:rsidRPr="00EC6D62">
        <w:rPr>
          <w:sz w:val="24"/>
          <w:szCs w:val="24"/>
        </w:rPr>
        <w:t>2517734</w:t>
      </w:r>
    </w:p>
    <w:p w14:paraId="5E3CE57E" w14:textId="2BB46A68" w:rsidR="00301299" w:rsidRDefault="00EC6D62"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19/03/2026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0E03AE4B" w14:textId="3B05E739" w:rsidR="004138A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3594319" w:history="1">
            <w:r w:rsidR="004138A3" w:rsidRPr="00ED2D6B">
              <w:rPr>
                <w:rStyle w:val="Hyperlink"/>
                <w:noProof/>
              </w:rPr>
              <w:t>1</w:t>
            </w:r>
            <w:r w:rsidR="004138A3">
              <w:rPr>
                <w:rFonts w:eastAsiaTheme="minorEastAsia"/>
                <w:noProof/>
                <w:kern w:val="2"/>
                <w:sz w:val="24"/>
                <w:szCs w:val="24"/>
                <w:lang w:eastAsia="zh-CN"/>
                <w14:ligatures w14:val="standardContextual"/>
              </w:rPr>
              <w:tab/>
            </w:r>
            <w:r w:rsidR="004138A3" w:rsidRPr="00ED2D6B">
              <w:rPr>
                <w:rStyle w:val="Hyperlink"/>
                <w:noProof/>
              </w:rPr>
              <w:t>Task 3</w:t>
            </w:r>
            <w:r w:rsidR="004138A3">
              <w:rPr>
                <w:noProof/>
                <w:webHidden/>
              </w:rPr>
              <w:tab/>
            </w:r>
            <w:r w:rsidR="004138A3">
              <w:rPr>
                <w:noProof/>
                <w:webHidden/>
              </w:rPr>
              <w:fldChar w:fldCharType="begin"/>
            </w:r>
            <w:r w:rsidR="004138A3">
              <w:rPr>
                <w:noProof/>
                <w:webHidden/>
              </w:rPr>
              <w:instrText xml:space="preserve"> PAGEREF _Toc223594319 \h </w:instrText>
            </w:r>
            <w:r w:rsidR="004138A3">
              <w:rPr>
                <w:noProof/>
                <w:webHidden/>
              </w:rPr>
            </w:r>
            <w:r w:rsidR="004138A3">
              <w:rPr>
                <w:noProof/>
                <w:webHidden/>
              </w:rPr>
              <w:fldChar w:fldCharType="separate"/>
            </w:r>
            <w:r w:rsidR="004138A3">
              <w:rPr>
                <w:noProof/>
                <w:webHidden/>
              </w:rPr>
              <w:t>1</w:t>
            </w:r>
            <w:r w:rsidR="004138A3">
              <w:rPr>
                <w:noProof/>
                <w:webHidden/>
              </w:rPr>
              <w:fldChar w:fldCharType="end"/>
            </w:r>
          </w:hyperlink>
        </w:p>
        <w:p w14:paraId="3E423961" w14:textId="294312A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0" w:history="1">
            <w:r w:rsidRPr="00ED2D6B">
              <w:rPr>
                <w:rStyle w:val="Hyperlink"/>
                <w:noProof/>
              </w:rPr>
              <w:t>1.1</w:t>
            </w:r>
            <w:r>
              <w:rPr>
                <w:rFonts w:eastAsiaTheme="minorEastAsia"/>
                <w:noProof/>
                <w:kern w:val="2"/>
                <w:sz w:val="24"/>
                <w:szCs w:val="24"/>
                <w:lang w:eastAsia="zh-CN"/>
                <w14:ligatures w14:val="standardContextual"/>
              </w:rPr>
              <w:tab/>
            </w:r>
            <w:r w:rsidRPr="00ED2D6B">
              <w:rPr>
                <w:rStyle w:val="Hyperlink"/>
                <w:noProof/>
              </w:rPr>
              <w:t>Scope Time Division Calculations (6)</w:t>
            </w:r>
            <w:r>
              <w:rPr>
                <w:noProof/>
                <w:webHidden/>
              </w:rPr>
              <w:tab/>
            </w:r>
            <w:r>
              <w:rPr>
                <w:noProof/>
                <w:webHidden/>
              </w:rPr>
              <w:fldChar w:fldCharType="begin"/>
            </w:r>
            <w:r>
              <w:rPr>
                <w:noProof/>
                <w:webHidden/>
              </w:rPr>
              <w:instrText xml:space="preserve"> PAGEREF _Toc223594320 \h </w:instrText>
            </w:r>
            <w:r>
              <w:rPr>
                <w:noProof/>
                <w:webHidden/>
              </w:rPr>
            </w:r>
            <w:r>
              <w:rPr>
                <w:noProof/>
                <w:webHidden/>
              </w:rPr>
              <w:fldChar w:fldCharType="separate"/>
            </w:r>
            <w:r>
              <w:rPr>
                <w:noProof/>
                <w:webHidden/>
              </w:rPr>
              <w:t>1</w:t>
            </w:r>
            <w:r>
              <w:rPr>
                <w:noProof/>
                <w:webHidden/>
              </w:rPr>
              <w:fldChar w:fldCharType="end"/>
            </w:r>
          </w:hyperlink>
        </w:p>
        <w:p w14:paraId="0DA018AE" w14:textId="0B338B12"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1" w:history="1">
            <w:r w:rsidRPr="00ED2D6B">
              <w:rPr>
                <w:rStyle w:val="Hyperlink"/>
                <w:noProof/>
              </w:rPr>
              <w:t>1.2</w:t>
            </w:r>
            <w:r>
              <w:rPr>
                <w:rFonts w:eastAsiaTheme="minorEastAsia"/>
                <w:noProof/>
                <w:kern w:val="2"/>
                <w:sz w:val="24"/>
                <w:szCs w:val="24"/>
                <w:lang w:eastAsia="zh-CN"/>
                <w14:ligatures w14:val="standardContextual"/>
              </w:rPr>
              <w:tab/>
            </w:r>
            <w:r w:rsidRPr="00ED2D6B">
              <w:rPr>
                <w:rStyle w:val="Hyperlink"/>
                <w:noProof/>
              </w:rPr>
              <w:t>Function Generator output square wave (6)</w:t>
            </w:r>
            <w:r>
              <w:rPr>
                <w:noProof/>
                <w:webHidden/>
              </w:rPr>
              <w:tab/>
            </w:r>
            <w:r>
              <w:rPr>
                <w:noProof/>
                <w:webHidden/>
              </w:rPr>
              <w:fldChar w:fldCharType="begin"/>
            </w:r>
            <w:r>
              <w:rPr>
                <w:noProof/>
                <w:webHidden/>
              </w:rPr>
              <w:instrText xml:space="preserve"> PAGEREF _Toc223594321 \h </w:instrText>
            </w:r>
            <w:r>
              <w:rPr>
                <w:noProof/>
                <w:webHidden/>
              </w:rPr>
            </w:r>
            <w:r>
              <w:rPr>
                <w:noProof/>
                <w:webHidden/>
              </w:rPr>
              <w:fldChar w:fldCharType="separate"/>
            </w:r>
            <w:r>
              <w:rPr>
                <w:noProof/>
                <w:webHidden/>
              </w:rPr>
              <w:t>1</w:t>
            </w:r>
            <w:r>
              <w:rPr>
                <w:noProof/>
                <w:webHidden/>
              </w:rPr>
              <w:fldChar w:fldCharType="end"/>
            </w:r>
          </w:hyperlink>
        </w:p>
        <w:p w14:paraId="51DF87E7" w14:textId="46E65BD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2" w:history="1">
            <w:r w:rsidRPr="00ED2D6B">
              <w:rPr>
                <w:rStyle w:val="Hyperlink"/>
                <w:noProof/>
              </w:rPr>
              <w:t>1.3</w:t>
            </w:r>
            <w:r>
              <w:rPr>
                <w:rFonts w:eastAsiaTheme="minorEastAsia"/>
                <w:noProof/>
                <w:kern w:val="2"/>
                <w:sz w:val="24"/>
                <w:szCs w:val="24"/>
                <w:lang w:eastAsia="zh-CN"/>
                <w14:ligatures w14:val="standardContextual"/>
              </w:rPr>
              <w:tab/>
            </w:r>
            <w:r w:rsidRPr="00ED2D6B">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_Toc223594322 \h </w:instrText>
            </w:r>
            <w:r>
              <w:rPr>
                <w:noProof/>
                <w:webHidden/>
              </w:rPr>
            </w:r>
            <w:r>
              <w:rPr>
                <w:noProof/>
                <w:webHidden/>
              </w:rPr>
              <w:fldChar w:fldCharType="separate"/>
            </w:r>
            <w:r>
              <w:rPr>
                <w:noProof/>
                <w:webHidden/>
              </w:rPr>
              <w:t>1</w:t>
            </w:r>
            <w:r>
              <w:rPr>
                <w:noProof/>
                <w:webHidden/>
              </w:rPr>
              <w:fldChar w:fldCharType="end"/>
            </w:r>
          </w:hyperlink>
        </w:p>
        <w:p w14:paraId="076D87B5" w14:textId="73137515"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3" w:history="1">
            <w:r w:rsidRPr="00ED2D6B">
              <w:rPr>
                <w:rStyle w:val="Hyperlink"/>
                <w:noProof/>
              </w:rPr>
              <w:t>1.4</w:t>
            </w:r>
            <w:r>
              <w:rPr>
                <w:rFonts w:eastAsiaTheme="minorEastAsia"/>
                <w:noProof/>
                <w:kern w:val="2"/>
                <w:sz w:val="24"/>
                <w:szCs w:val="24"/>
                <w:lang w:eastAsia="zh-CN"/>
                <w14:ligatures w14:val="standardContextual"/>
              </w:rPr>
              <w:tab/>
            </w:r>
            <w:r w:rsidRPr="00ED2D6B">
              <w:rPr>
                <w:rStyle w:val="Hyperlink"/>
                <w:noProof/>
              </w:rPr>
              <w:t>Basic Capacitor Calculations (6)</w:t>
            </w:r>
            <w:r>
              <w:rPr>
                <w:noProof/>
                <w:webHidden/>
              </w:rPr>
              <w:tab/>
            </w:r>
            <w:r>
              <w:rPr>
                <w:noProof/>
                <w:webHidden/>
              </w:rPr>
              <w:fldChar w:fldCharType="begin"/>
            </w:r>
            <w:r>
              <w:rPr>
                <w:noProof/>
                <w:webHidden/>
              </w:rPr>
              <w:instrText xml:space="preserve"> PAGEREF _Toc223594323 \h </w:instrText>
            </w:r>
            <w:r>
              <w:rPr>
                <w:noProof/>
                <w:webHidden/>
              </w:rPr>
            </w:r>
            <w:r>
              <w:rPr>
                <w:noProof/>
                <w:webHidden/>
              </w:rPr>
              <w:fldChar w:fldCharType="separate"/>
            </w:r>
            <w:r>
              <w:rPr>
                <w:noProof/>
                <w:webHidden/>
              </w:rPr>
              <w:t>1</w:t>
            </w:r>
            <w:r>
              <w:rPr>
                <w:noProof/>
                <w:webHidden/>
              </w:rPr>
              <w:fldChar w:fldCharType="end"/>
            </w:r>
          </w:hyperlink>
        </w:p>
        <w:p w14:paraId="0FFBD59E" w14:textId="55056F9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4" w:history="1">
            <w:r w:rsidRPr="00ED2D6B">
              <w:rPr>
                <w:rStyle w:val="Hyperlink"/>
                <w:noProof/>
              </w:rPr>
              <w:t>1.5</w:t>
            </w:r>
            <w:r>
              <w:rPr>
                <w:rFonts w:eastAsiaTheme="minorEastAsia"/>
                <w:noProof/>
                <w:kern w:val="2"/>
                <w:sz w:val="24"/>
                <w:szCs w:val="24"/>
                <w:lang w:eastAsia="zh-CN"/>
                <w14:ligatures w14:val="standardContextual"/>
              </w:rPr>
              <w:tab/>
            </w:r>
            <w:r w:rsidRPr="00ED2D6B">
              <w:rPr>
                <w:rStyle w:val="Hyperlink"/>
                <w:noProof/>
              </w:rPr>
              <w:t>Capacitor discharge table (5)</w:t>
            </w:r>
            <w:r>
              <w:rPr>
                <w:noProof/>
                <w:webHidden/>
              </w:rPr>
              <w:tab/>
            </w:r>
            <w:r>
              <w:rPr>
                <w:noProof/>
                <w:webHidden/>
              </w:rPr>
              <w:fldChar w:fldCharType="begin"/>
            </w:r>
            <w:r>
              <w:rPr>
                <w:noProof/>
                <w:webHidden/>
              </w:rPr>
              <w:instrText xml:space="preserve"> PAGEREF _Toc223594324 \h </w:instrText>
            </w:r>
            <w:r>
              <w:rPr>
                <w:noProof/>
                <w:webHidden/>
              </w:rPr>
            </w:r>
            <w:r>
              <w:rPr>
                <w:noProof/>
                <w:webHidden/>
              </w:rPr>
              <w:fldChar w:fldCharType="separate"/>
            </w:r>
            <w:r>
              <w:rPr>
                <w:noProof/>
                <w:webHidden/>
              </w:rPr>
              <w:t>1</w:t>
            </w:r>
            <w:r>
              <w:rPr>
                <w:noProof/>
                <w:webHidden/>
              </w:rPr>
              <w:fldChar w:fldCharType="end"/>
            </w:r>
          </w:hyperlink>
        </w:p>
        <w:p w14:paraId="4B3EBDFA" w14:textId="58C6F67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5" w:history="1">
            <w:r w:rsidRPr="00ED2D6B">
              <w:rPr>
                <w:rStyle w:val="Hyperlink"/>
                <w:noProof/>
              </w:rPr>
              <w:t>1.6</w:t>
            </w:r>
            <w:r>
              <w:rPr>
                <w:rFonts w:eastAsiaTheme="minorEastAsia"/>
                <w:noProof/>
                <w:kern w:val="2"/>
                <w:sz w:val="24"/>
                <w:szCs w:val="24"/>
                <w:lang w:eastAsia="zh-CN"/>
                <w14:ligatures w14:val="standardContextual"/>
              </w:rPr>
              <w:tab/>
            </w:r>
            <w:r w:rsidRPr="00ED2D6B">
              <w:rPr>
                <w:rStyle w:val="Hyperlink"/>
                <w:noProof/>
              </w:rPr>
              <w:t>Plot log(V) Gradient (5)</w:t>
            </w:r>
            <w:r>
              <w:rPr>
                <w:noProof/>
                <w:webHidden/>
              </w:rPr>
              <w:tab/>
            </w:r>
            <w:r>
              <w:rPr>
                <w:noProof/>
                <w:webHidden/>
              </w:rPr>
              <w:fldChar w:fldCharType="begin"/>
            </w:r>
            <w:r>
              <w:rPr>
                <w:noProof/>
                <w:webHidden/>
              </w:rPr>
              <w:instrText xml:space="preserve"> PAGEREF _Toc223594325 \h </w:instrText>
            </w:r>
            <w:r>
              <w:rPr>
                <w:noProof/>
                <w:webHidden/>
              </w:rPr>
            </w:r>
            <w:r>
              <w:rPr>
                <w:noProof/>
                <w:webHidden/>
              </w:rPr>
              <w:fldChar w:fldCharType="separate"/>
            </w:r>
            <w:r>
              <w:rPr>
                <w:noProof/>
                <w:webHidden/>
              </w:rPr>
              <w:t>1</w:t>
            </w:r>
            <w:r>
              <w:rPr>
                <w:noProof/>
                <w:webHidden/>
              </w:rPr>
              <w:fldChar w:fldCharType="end"/>
            </w:r>
          </w:hyperlink>
        </w:p>
        <w:p w14:paraId="410B06C6" w14:textId="2DCEF7F3"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6" w:history="1">
            <w:r w:rsidRPr="00ED2D6B">
              <w:rPr>
                <w:rStyle w:val="Hyperlink"/>
                <w:noProof/>
              </w:rPr>
              <w:t>1.7</w:t>
            </w:r>
            <w:r>
              <w:rPr>
                <w:rFonts w:eastAsiaTheme="minorEastAsia"/>
                <w:noProof/>
                <w:kern w:val="2"/>
                <w:sz w:val="24"/>
                <w:szCs w:val="24"/>
                <w:lang w:eastAsia="zh-CN"/>
                <w14:ligatures w14:val="standardContextual"/>
              </w:rPr>
              <w:tab/>
            </w:r>
            <w:r w:rsidRPr="00ED2D6B">
              <w:rPr>
                <w:rStyle w:val="Hyperlink"/>
                <w:noProof/>
              </w:rPr>
              <w:t>Gradient Calculations and Compare(8)</w:t>
            </w:r>
            <w:r>
              <w:rPr>
                <w:noProof/>
                <w:webHidden/>
              </w:rPr>
              <w:tab/>
            </w:r>
            <w:r>
              <w:rPr>
                <w:noProof/>
                <w:webHidden/>
              </w:rPr>
              <w:fldChar w:fldCharType="begin"/>
            </w:r>
            <w:r>
              <w:rPr>
                <w:noProof/>
                <w:webHidden/>
              </w:rPr>
              <w:instrText xml:space="preserve"> PAGEREF _Toc223594326 \h </w:instrText>
            </w:r>
            <w:r>
              <w:rPr>
                <w:noProof/>
                <w:webHidden/>
              </w:rPr>
            </w:r>
            <w:r>
              <w:rPr>
                <w:noProof/>
                <w:webHidden/>
              </w:rPr>
              <w:fldChar w:fldCharType="separate"/>
            </w:r>
            <w:r>
              <w:rPr>
                <w:noProof/>
                <w:webHidden/>
              </w:rPr>
              <w:t>1</w:t>
            </w:r>
            <w:r>
              <w:rPr>
                <w:noProof/>
                <w:webHidden/>
              </w:rPr>
              <w:fldChar w:fldCharType="end"/>
            </w:r>
          </w:hyperlink>
        </w:p>
        <w:p w14:paraId="5F0FA36F" w14:textId="5834DBB7"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7" w:history="1">
            <w:r w:rsidRPr="00ED2D6B">
              <w:rPr>
                <w:rStyle w:val="Hyperlink"/>
                <w:noProof/>
              </w:rPr>
              <w:t>1.7.1</w:t>
            </w:r>
            <w:r>
              <w:rPr>
                <w:rFonts w:eastAsiaTheme="minorEastAsia"/>
                <w:noProof/>
                <w:kern w:val="2"/>
                <w:sz w:val="24"/>
                <w:szCs w:val="24"/>
                <w:lang w:eastAsia="zh-CN"/>
                <w14:ligatures w14:val="standardContextual"/>
              </w:rPr>
              <w:tab/>
            </w:r>
            <w:r w:rsidRPr="00ED2D6B">
              <w:rPr>
                <w:rStyle w:val="Hyperlink"/>
                <w:noProof/>
              </w:rPr>
              <w:t>Gradient Calculations</w:t>
            </w:r>
            <w:r>
              <w:rPr>
                <w:noProof/>
                <w:webHidden/>
              </w:rPr>
              <w:tab/>
            </w:r>
            <w:r>
              <w:rPr>
                <w:noProof/>
                <w:webHidden/>
              </w:rPr>
              <w:fldChar w:fldCharType="begin"/>
            </w:r>
            <w:r>
              <w:rPr>
                <w:noProof/>
                <w:webHidden/>
              </w:rPr>
              <w:instrText xml:space="preserve"> PAGEREF _Toc223594327 \h </w:instrText>
            </w:r>
            <w:r>
              <w:rPr>
                <w:noProof/>
                <w:webHidden/>
              </w:rPr>
            </w:r>
            <w:r>
              <w:rPr>
                <w:noProof/>
                <w:webHidden/>
              </w:rPr>
              <w:fldChar w:fldCharType="separate"/>
            </w:r>
            <w:r>
              <w:rPr>
                <w:noProof/>
                <w:webHidden/>
              </w:rPr>
              <w:t>1</w:t>
            </w:r>
            <w:r>
              <w:rPr>
                <w:noProof/>
                <w:webHidden/>
              </w:rPr>
              <w:fldChar w:fldCharType="end"/>
            </w:r>
          </w:hyperlink>
        </w:p>
        <w:p w14:paraId="75FDBA6E" w14:textId="23A8CA49"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8" w:history="1">
            <w:r w:rsidRPr="00ED2D6B">
              <w:rPr>
                <w:rStyle w:val="Hyperlink"/>
                <w:noProof/>
              </w:rPr>
              <w:t>1.7.2</w:t>
            </w:r>
            <w:r>
              <w:rPr>
                <w:rFonts w:eastAsiaTheme="minorEastAsia"/>
                <w:noProof/>
                <w:kern w:val="2"/>
                <w:sz w:val="24"/>
                <w:szCs w:val="24"/>
                <w:lang w:eastAsia="zh-CN"/>
                <w14:ligatures w14:val="standardContextual"/>
              </w:rPr>
              <w:tab/>
            </w:r>
            <w:r w:rsidRPr="00ED2D6B">
              <w:rPr>
                <w:rStyle w:val="Hyperlink"/>
                <w:noProof/>
              </w:rPr>
              <w:t>Comparison table</w:t>
            </w:r>
            <w:r>
              <w:rPr>
                <w:noProof/>
                <w:webHidden/>
              </w:rPr>
              <w:tab/>
            </w:r>
            <w:r>
              <w:rPr>
                <w:noProof/>
                <w:webHidden/>
              </w:rPr>
              <w:fldChar w:fldCharType="begin"/>
            </w:r>
            <w:r>
              <w:rPr>
                <w:noProof/>
                <w:webHidden/>
              </w:rPr>
              <w:instrText xml:space="preserve"> PAGEREF _Toc223594328 \h </w:instrText>
            </w:r>
            <w:r>
              <w:rPr>
                <w:noProof/>
                <w:webHidden/>
              </w:rPr>
            </w:r>
            <w:r>
              <w:rPr>
                <w:noProof/>
                <w:webHidden/>
              </w:rPr>
              <w:fldChar w:fldCharType="separate"/>
            </w:r>
            <w:r>
              <w:rPr>
                <w:noProof/>
                <w:webHidden/>
              </w:rPr>
              <w:t>1</w:t>
            </w:r>
            <w:r>
              <w:rPr>
                <w:noProof/>
                <w:webHidden/>
              </w:rPr>
              <w:fldChar w:fldCharType="end"/>
            </w:r>
          </w:hyperlink>
        </w:p>
        <w:p w14:paraId="21E5F763" w14:textId="496FC49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9" w:history="1">
            <w:r w:rsidRPr="00ED2D6B">
              <w:rPr>
                <w:rStyle w:val="Hyperlink"/>
                <w:noProof/>
              </w:rPr>
              <w:t>1.8</w:t>
            </w:r>
            <w:r>
              <w:rPr>
                <w:rFonts w:eastAsiaTheme="minorEastAsia"/>
                <w:noProof/>
                <w:kern w:val="2"/>
                <w:sz w:val="24"/>
                <w:szCs w:val="24"/>
                <w:lang w:eastAsia="zh-CN"/>
                <w14:ligatures w14:val="standardContextual"/>
              </w:rPr>
              <w:tab/>
            </w:r>
            <w:r w:rsidRPr="00ED2D6B">
              <w:rPr>
                <w:rStyle w:val="Hyperlink"/>
                <w:noProof/>
              </w:rPr>
              <w:t>Capacitor Uses (5)</w:t>
            </w:r>
            <w:r>
              <w:rPr>
                <w:noProof/>
                <w:webHidden/>
              </w:rPr>
              <w:tab/>
            </w:r>
            <w:r>
              <w:rPr>
                <w:noProof/>
                <w:webHidden/>
              </w:rPr>
              <w:fldChar w:fldCharType="begin"/>
            </w:r>
            <w:r>
              <w:rPr>
                <w:noProof/>
                <w:webHidden/>
              </w:rPr>
              <w:instrText xml:space="preserve"> PAGEREF _Toc223594329 \h </w:instrText>
            </w:r>
            <w:r>
              <w:rPr>
                <w:noProof/>
                <w:webHidden/>
              </w:rPr>
            </w:r>
            <w:r>
              <w:rPr>
                <w:noProof/>
                <w:webHidden/>
              </w:rPr>
              <w:fldChar w:fldCharType="separate"/>
            </w:r>
            <w:r>
              <w:rPr>
                <w:noProof/>
                <w:webHidden/>
              </w:rPr>
              <w:t>1</w:t>
            </w:r>
            <w:r>
              <w:rPr>
                <w:noProof/>
                <w:webHidden/>
              </w:rPr>
              <w:fldChar w:fldCharType="end"/>
            </w:r>
          </w:hyperlink>
        </w:p>
        <w:p w14:paraId="0E505A53" w14:textId="4AB4B206"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0" w:history="1">
            <w:r w:rsidRPr="00ED2D6B">
              <w:rPr>
                <w:rStyle w:val="Hyperlink"/>
                <w:noProof/>
              </w:rPr>
              <w:t>1.9</w:t>
            </w:r>
            <w:r>
              <w:rPr>
                <w:rFonts w:eastAsiaTheme="minorEastAsia"/>
                <w:noProof/>
                <w:kern w:val="2"/>
                <w:sz w:val="24"/>
                <w:szCs w:val="24"/>
                <w:lang w:eastAsia="zh-CN"/>
                <w14:ligatures w14:val="standardContextual"/>
              </w:rPr>
              <w:tab/>
            </w:r>
            <w:r w:rsidRPr="00ED2D6B">
              <w:rPr>
                <w:rStyle w:val="Hyperlink"/>
                <w:noProof/>
              </w:rPr>
              <w:t>Inaccuracies Question (4)</w:t>
            </w:r>
            <w:r>
              <w:rPr>
                <w:noProof/>
                <w:webHidden/>
              </w:rPr>
              <w:tab/>
            </w:r>
            <w:r>
              <w:rPr>
                <w:noProof/>
                <w:webHidden/>
              </w:rPr>
              <w:fldChar w:fldCharType="begin"/>
            </w:r>
            <w:r>
              <w:rPr>
                <w:noProof/>
                <w:webHidden/>
              </w:rPr>
              <w:instrText xml:space="preserve"> PAGEREF _Toc223594330 \h </w:instrText>
            </w:r>
            <w:r>
              <w:rPr>
                <w:noProof/>
                <w:webHidden/>
              </w:rPr>
            </w:r>
            <w:r>
              <w:rPr>
                <w:noProof/>
                <w:webHidden/>
              </w:rPr>
              <w:fldChar w:fldCharType="separate"/>
            </w:r>
            <w:r>
              <w:rPr>
                <w:noProof/>
                <w:webHidden/>
              </w:rPr>
              <w:t>1</w:t>
            </w:r>
            <w:r>
              <w:rPr>
                <w:noProof/>
                <w:webHidden/>
              </w:rPr>
              <w:fldChar w:fldCharType="end"/>
            </w:r>
          </w:hyperlink>
        </w:p>
        <w:p w14:paraId="3BA5CEF6" w14:textId="5685971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1" w:history="1">
            <w:r w:rsidRPr="00ED2D6B">
              <w:rPr>
                <w:rStyle w:val="Hyperlink"/>
                <w:noProof/>
              </w:rPr>
              <w:t>1.10</w:t>
            </w:r>
            <w:r>
              <w:rPr>
                <w:rFonts w:eastAsiaTheme="minorEastAsia"/>
                <w:noProof/>
                <w:kern w:val="2"/>
                <w:sz w:val="24"/>
                <w:szCs w:val="24"/>
                <w:lang w:eastAsia="zh-CN"/>
                <w14:ligatures w14:val="standardContextual"/>
              </w:rPr>
              <w:tab/>
            </w:r>
            <w:r w:rsidRPr="00ED2D6B">
              <w:rPr>
                <w:rStyle w:val="Hyperlink"/>
                <w:noProof/>
              </w:rPr>
              <w:t>Risk Question (10)</w:t>
            </w:r>
            <w:r>
              <w:rPr>
                <w:noProof/>
                <w:webHidden/>
              </w:rPr>
              <w:tab/>
            </w:r>
            <w:r>
              <w:rPr>
                <w:noProof/>
                <w:webHidden/>
              </w:rPr>
              <w:fldChar w:fldCharType="begin"/>
            </w:r>
            <w:r>
              <w:rPr>
                <w:noProof/>
                <w:webHidden/>
              </w:rPr>
              <w:instrText xml:space="preserve"> PAGEREF _Toc223594331 \h </w:instrText>
            </w:r>
            <w:r>
              <w:rPr>
                <w:noProof/>
                <w:webHidden/>
              </w:rPr>
            </w:r>
            <w:r>
              <w:rPr>
                <w:noProof/>
                <w:webHidden/>
              </w:rPr>
              <w:fldChar w:fldCharType="separate"/>
            </w:r>
            <w:r>
              <w:rPr>
                <w:noProof/>
                <w:webHidden/>
              </w:rPr>
              <w:t>1</w:t>
            </w:r>
            <w:r>
              <w:rPr>
                <w:noProof/>
                <w:webHidden/>
              </w:rPr>
              <w:fldChar w:fldCharType="end"/>
            </w:r>
          </w:hyperlink>
        </w:p>
        <w:p w14:paraId="63017EAB" w14:textId="305F7006" w:rsidR="004138A3" w:rsidRDefault="004138A3">
          <w:pPr>
            <w:pStyle w:val="TOC1"/>
            <w:tabs>
              <w:tab w:val="left" w:pos="440"/>
              <w:tab w:val="right" w:leader="dot" w:pos="9016"/>
            </w:tabs>
            <w:rPr>
              <w:rFonts w:eastAsiaTheme="minorEastAsia"/>
              <w:noProof/>
              <w:kern w:val="2"/>
              <w:sz w:val="24"/>
              <w:szCs w:val="24"/>
              <w:lang w:eastAsia="zh-CN"/>
              <w14:ligatures w14:val="standardContextual"/>
            </w:rPr>
          </w:pPr>
          <w:hyperlink w:anchor="_Toc223594332" w:history="1">
            <w:r w:rsidRPr="00ED2D6B">
              <w:rPr>
                <w:rStyle w:val="Hyperlink"/>
                <w:noProof/>
              </w:rPr>
              <w:t>2</w:t>
            </w:r>
            <w:r>
              <w:rPr>
                <w:rFonts w:eastAsiaTheme="minorEastAsia"/>
                <w:noProof/>
                <w:kern w:val="2"/>
                <w:sz w:val="24"/>
                <w:szCs w:val="24"/>
                <w:lang w:eastAsia="zh-CN"/>
                <w14:ligatures w14:val="standardContextual"/>
              </w:rPr>
              <w:tab/>
            </w:r>
            <w:r w:rsidRPr="00ED2D6B">
              <w:rPr>
                <w:rStyle w:val="Hyperlink"/>
                <w:noProof/>
              </w:rPr>
              <w:t>References</w:t>
            </w:r>
            <w:r>
              <w:rPr>
                <w:noProof/>
                <w:webHidden/>
              </w:rPr>
              <w:tab/>
            </w:r>
            <w:r>
              <w:rPr>
                <w:noProof/>
                <w:webHidden/>
              </w:rPr>
              <w:fldChar w:fldCharType="begin"/>
            </w:r>
            <w:r>
              <w:rPr>
                <w:noProof/>
                <w:webHidden/>
              </w:rPr>
              <w:instrText xml:space="preserve"> PAGEREF _Toc223594332 \h </w:instrText>
            </w:r>
            <w:r>
              <w:rPr>
                <w:noProof/>
                <w:webHidden/>
              </w:rPr>
            </w:r>
            <w:r>
              <w:rPr>
                <w:noProof/>
                <w:webHidden/>
              </w:rPr>
              <w:fldChar w:fldCharType="separate"/>
            </w:r>
            <w:r>
              <w:rPr>
                <w:noProof/>
                <w:webHidden/>
              </w:rPr>
              <w:t>2</w:t>
            </w:r>
            <w:r>
              <w:rPr>
                <w:noProof/>
                <w:webHidden/>
              </w:rPr>
              <w:fldChar w:fldCharType="end"/>
            </w:r>
          </w:hyperlink>
        </w:p>
        <w:p w14:paraId="450FA7E4" w14:textId="4B655504"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3594319"/>
      <w:r>
        <w:lastRenderedPageBreak/>
        <w:t xml:space="preserve">Task </w:t>
      </w:r>
      <w:r w:rsidR="001728B1">
        <w:t>3</w:t>
      </w:r>
      <w:bookmarkEnd w:id="0"/>
    </w:p>
    <w:p w14:paraId="30BD5770" w14:textId="059D0102" w:rsidR="001728B1" w:rsidRDefault="001728B1" w:rsidP="001728B1">
      <w:pPr>
        <w:pStyle w:val="Heading2"/>
      </w:pPr>
      <w:bookmarkStart w:id="1" w:name="_Toc223594320"/>
      <w:r>
        <w:t>Scope Time Division Calculations</w:t>
      </w:r>
      <w:r w:rsidR="006A4811">
        <w:t xml:space="preserve"> (</w:t>
      </w:r>
      <w:r w:rsidR="004138A3">
        <w:t>6</w:t>
      </w:r>
      <w:r w:rsidR="006A4811">
        <w:t>)</w:t>
      </w:r>
      <w:bookmarkEnd w:id="1"/>
    </w:p>
    <w:p w14:paraId="508D9111" w14:textId="1E1A5BF7" w:rsidR="00D37DE1" w:rsidRPr="00D37DE1" w:rsidRDefault="00D37DE1" w:rsidP="00D37DE1">
      <w:pPr>
        <w:spacing w:after="0" w:line="240" w:lineRule="auto"/>
        <w:rPr>
          <w:rFonts w:ascii="Times New Roman" w:eastAsia="Times New Roman" w:hAnsi="Times New Roman" w:cs="Times New Roman"/>
          <w:sz w:val="24"/>
          <w:szCs w:val="24"/>
          <w:lang w:eastAsia="en-GB"/>
        </w:rPr>
      </w:pPr>
    </w:p>
    <w:p w14:paraId="330AEBC0" w14:textId="77777777" w:rsidR="00375186" w:rsidRPr="00375186" w:rsidRDefault="00375186" w:rsidP="00375186">
      <w:r w:rsidRPr="00375186">
        <w:t>The oscilloscope screen is divided into horizontal divisions, and the time base setting (time per division) determines how much time each division represents.</w:t>
      </w:r>
    </w:p>
    <w:p w14:paraId="450301E3" w14:textId="77777777" w:rsidR="00375186" w:rsidRPr="00375186" w:rsidRDefault="00375186" w:rsidP="00375186">
      <w:r w:rsidRPr="00375186">
        <w:t>The time interval between two points on a waveform is calculated using:</w:t>
      </w:r>
    </w:p>
    <w:p w14:paraId="14E71FA0" w14:textId="2DE4A331" w:rsidR="00375186" w:rsidRPr="00375186" w:rsidRDefault="00375186" w:rsidP="00375186">
      <w:r w:rsidRPr="00375186">
        <w:t>Time interval (</w:t>
      </w:r>
      <w:proofErr w:type="spellStart"/>
      <w:r w:rsidRPr="00375186">
        <w:t>Δt</w:t>
      </w:r>
      <w:proofErr w:type="spellEnd"/>
      <w:r w:rsidRPr="00375186">
        <w:t>) = (number of divisions) × (time per division)</w:t>
      </w:r>
    </w:p>
    <w:p w14:paraId="474E0AAF" w14:textId="52129970" w:rsidR="00375186" w:rsidRPr="00375186" w:rsidRDefault="00375186" w:rsidP="00375186">
      <w:r w:rsidRPr="00375186">
        <w:t>To analyse the signal, the natural logarithm of the voltage values is taken:</w:t>
      </w:r>
      <w:r>
        <w:t xml:space="preserve"> </w:t>
      </w:r>
      <w:r w:rsidRPr="00375186">
        <w:t>ln(V)</w:t>
      </w:r>
    </w:p>
    <w:p w14:paraId="17FCB2CB" w14:textId="77777777" w:rsidR="00375186" w:rsidRPr="00375186" w:rsidRDefault="00375186" w:rsidP="00375186">
      <w:r w:rsidRPr="00375186">
        <w:t>The rate of change of ln(V) with respect to time is calculated using:</w:t>
      </w:r>
    </w:p>
    <w:p w14:paraId="5463D9B5" w14:textId="77777777" w:rsidR="00375186" w:rsidRPr="00375186" w:rsidRDefault="00375186" w:rsidP="00375186">
      <w:proofErr w:type="spellStart"/>
      <w:r w:rsidRPr="00375186">
        <w:t>dy</w:t>
      </w:r>
      <w:proofErr w:type="spellEnd"/>
      <w:r w:rsidRPr="00375186">
        <w:t xml:space="preserve"> = ln(V₂) − ln(V₁)</w:t>
      </w:r>
      <w:r w:rsidRPr="00375186">
        <w:br/>
        <w:t>dx = t₂ − t₁</w:t>
      </w:r>
    </w:p>
    <w:p w14:paraId="15A3C4EE" w14:textId="77777777" w:rsidR="00375186" w:rsidRPr="00375186" w:rsidRDefault="00375186" w:rsidP="00375186">
      <w:r w:rsidRPr="00375186">
        <w:t>Gradient (</w:t>
      </w:r>
      <w:proofErr w:type="spellStart"/>
      <w:r w:rsidRPr="00375186">
        <w:t>dy</w:t>
      </w:r>
      <w:proofErr w:type="spellEnd"/>
      <w:r w:rsidRPr="00375186">
        <w:t>/dx) is then given by:</w:t>
      </w:r>
    </w:p>
    <w:p w14:paraId="4CE49E52" w14:textId="2E953A27" w:rsidR="00375186" w:rsidRPr="00375186" w:rsidRDefault="00375186" w:rsidP="00375186">
      <w:proofErr w:type="spellStart"/>
      <w:r w:rsidRPr="00375186">
        <w:t>dy</w:t>
      </w:r>
      <w:proofErr w:type="spellEnd"/>
      <w:r w:rsidRPr="00375186">
        <w:t>/dx = (ln(V₂) − ln(V₁)) / (t₂ − t₁)</w:t>
      </w:r>
    </w:p>
    <w:p w14:paraId="799A9A69" w14:textId="77777777" w:rsidR="00375186" w:rsidRPr="00375186" w:rsidRDefault="00375186" w:rsidP="00375186">
      <w:r w:rsidRPr="00375186">
        <w:t>These calculations are repeated for successive data points to determine the gradient of the ln(V) versus time graph, which is used to analyse the exponential behaviour of the waveform.</w:t>
      </w:r>
    </w:p>
    <w:p w14:paraId="6AD036B5" w14:textId="5AB13A2D" w:rsidR="001728B1" w:rsidRPr="00DB24FE" w:rsidRDefault="001728B1" w:rsidP="001728B1"/>
    <w:p w14:paraId="50CFA17C" w14:textId="477E1C8D" w:rsidR="001728B1" w:rsidRDefault="001728B1" w:rsidP="001728B1">
      <w:pPr>
        <w:pStyle w:val="Heading2"/>
      </w:pPr>
      <w:bookmarkStart w:id="2" w:name="_Toc223594321"/>
      <w:r>
        <w:t>Function Generator output s</w:t>
      </w:r>
      <w:r w:rsidR="006A4811">
        <w:t>quare</w:t>
      </w:r>
      <w:r>
        <w:t xml:space="preserve"> wave</w:t>
      </w:r>
      <w:r w:rsidR="006A4811">
        <w:t xml:space="preserve"> (</w:t>
      </w:r>
      <w:r w:rsidR="004138A3">
        <w:t>6</w:t>
      </w:r>
      <w:r w:rsidR="006A4811">
        <w:t>)</w:t>
      </w:r>
      <w:bookmarkEnd w:id="2"/>
    </w:p>
    <w:p w14:paraId="4872E2E5" w14:textId="0AAB1B02" w:rsidR="001728B1" w:rsidRPr="00DB24FE" w:rsidRDefault="003D003A" w:rsidP="001728B1">
      <w:r>
        <w:rPr>
          <w:noProof/>
        </w:rPr>
        <mc:AlternateContent>
          <mc:Choice Requires="wps">
            <w:drawing>
              <wp:anchor distT="0" distB="0" distL="114300" distR="114300" simplePos="0" relativeHeight="251660288" behindDoc="0" locked="0" layoutInCell="1" allowOverlap="1" wp14:anchorId="6137E082" wp14:editId="4EE4BA77">
                <wp:simplePos x="0" y="0"/>
                <wp:positionH relativeFrom="column">
                  <wp:posOffset>-2540</wp:posOffset>
                </wp:positionH>
                <wp:positionV relativeFrom="paragraph">
                  <wp:posOffset>3359785</wp:posOffset>
                </wp:positionV>
                <wp:extent cx="5732145" cy="635"/>
                <wp:effectExtent l="0" t="0" r="0" b="0"/>
                <wp:wrapSquare wrapText="bothSides"/>
                <wp:docPr id="2098632126"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20E4E5E1" w14:textId="0AF53DB3" w:rsidR="003D003A" w:rsidRPr="0096789B" w:rsidRDefault="003D003A" w:rsidP="003D003A">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7F357B">
                              <w:rPr>
                                <w:noProof/>
                              </w:rPr>
                              <w:t>1</w:t>
                            </w:r>
                            <w:r>
                              <w:fldChar w:fldCharType="end"/>
                            </w:r>
                            <w:r w:rsidR="007F357B">
                              <w:t xml:space="preserve">- </w:t>
                            </w:r>
                            <w:r>
                              <w:t xml:space="preserve">Input square wave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37E082" id="_x0000_t202" coordsize="21600,21600" o:spt="202" path="m,l,21600r21600,l21600,xe">
                <v:stroke joinstyle="miter"/>
                <v:path gradientshapeok="t" o:connecttype="rect"/>
              </v:shapetype>
              <v:shape id="Text Box 1" o:spid="_x0000_s1026" type="#_x0000_t202" style="position:absolute;margin-left:-.2pt;margin-top:264.55pt;width:451.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" stroked="f">
                <v:textbox style="mso-fit-shape-to-text:t" inset="0,0,0,0">
                  <w:txbxContent>
                    <w:p w14:paraId="20E4E5E1" w14:textId="0AF53DB3" w:rsidR="003D003A" w:rsidRPr="0096789B" w:rsidRDefault="003D003A" w:rsidP="003D003A">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7F357B">
                        <w:rPr>
                          <w:noProof/>
                        </w:rPr>
                        <w:t>1</w:t>
                      </w:r>
                      <w:r>
                        <w:fldChar w:fldCharType="end"/>
                      </w:r>
                      <w:r w:rsidR="007F357B">
                        <w:t xml:space="preserve">- </w:t>
                      </w:r>
                      <w:r>
                        <w:t xml:space="preserve">Input square wave </w:t>
                      </w:r>
                    </w:p>
                  </w:txbxContent>
                </v:textbox>
                <w10:wrap type="square"/>
              </v:shape>
            </w:pict>
          </mc:Fallback>
        </mc:AlternateContent>
      </w:r>
      <w:r>
        <w:rPr>
          <w:rFonts w:ascii="Times New Roman" w:eastAsia="Times New Roman" w:hAnsi="Times New Roman" w:cs="Times New Roman"/>
          <w:noProof/>
          <w:sz w:val="24"/>
          <w:szCs w:val="24"/>
          <w:lang w:eastAsia="en-GB"/>
        </w:rPr>
        <w:drawing>
          <wp:anchor distT="0" distB="0" distL="114300" distR="114300" simplePos="0" relativeHeight="251658240" behindDoc="0" locked="0" layoutInCell="1" allowOverlap="1" wp14:anchorId="749B9C20" wp14:editId="0E0870B9">
            <wp:simplePos x="0" y="0"/>
            <wp:positionH relativeFrom="margin">
              <wp:align>right</wp:align>
            </wp:positionH>
            <wp:positionV relativeFrom="paragraph">
              <wp:posOffset>198462</wp:posOffset>
            </wp:positionV>
            <wp:extent cx="5732145" cy="3104515"/>
            <wp:effectExtent l="0" t="0" r="1905" b="635"/>
            <wp:wrapSquare wrapText="bothSides"/>
            <wp:docPr id="544263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145" cy="3104515"/>
                    </a:xfrm>
                    <a:prstGeom prst="rect">
                      <a:avLst/>
                    </a:prstGeom>
                    <a:noFill/>
                  </pic:spPr>
                </pic:pic>
              </a:graphicData>
            </a:graphic>
            <wp14:sizeRelH relativeFrom="margin">
              <wp14:pctWidth>0</wp14:pctWidth>
            </wp14:sizeRelH>
            <wp14:sizeRelV relativeFrom="margin">
              <wp14:pctHeight>0</wp14:pctHeight>
            </wp14:sizeRelV>
          </wp:anchor>
        </w:drawing>
      </w:r>
    </w:p>
    <w:p w14:paraId="7A7744A7" w14:textId="7E5B9564" w:rsidR="001728B1" w:rsidRDefault="005919FC" w:rsidP="001728B1">
      <w:pPr>
        <w:pStyle w:val="Heading2"/>
      </w:pPr>
      <w:bookmarkStart w:id="3" w:name="_Toc223594322"/>
      <w:r>
        <w:lastRenderedPageBreak/>
        <w:t>Capacitor charge and discharge wave</w:t>
      </w:r>
      <w:r w:rsidR="00651E6C">
        <w:t xml:space="preserve"> marked at correct </w:t>
      </w:r>
      <w:r w:rsidR="002044B2">
        <w:t>points.</w:t>
      </w:r>
      <w:r w:rsidR="006A4811">
        <w:t xml:space="preserve"> (</w:t>
      </w:r>
      <w:r w:rsidR="004138A3">
        <w:t>6</w:t>
      </w:r>
      <w:r w:rsidR="006A4811">
        <w:t>)</w:t>
      </w:r>
      <w:bookmarkEnd w:id="3"/>
    </w:p>
    <w:p w14:paraId="34B0EC03" w14:textId="77777777" w:rsidR="003D003A" w:rsidRDefault="003D003A" w:rsidP="003D003A">
      <w:pPr>
        <w:keepNext/>
      </w:pPr>
      <w:r>
        <w:rPr>
          <w:noProof/>
        </w:rPr>
        <w:drawing>
          <wp:inline distT="0" distB="0" distL="0" distR="0" wp14:anchorId="70610D1A" wp14:editId="230EF7B9">
            <wp:extent cx="5725551" cy="3876633"/>
            <wp:effectExtent l="0" t="0" r="8890" b="0"/>
            <wp:docPr id="98095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50282" name=""/>
                    <pic:cNvPicPr/>
                  </pic:nvPicPr>
                  <pic:blipFill rotWithShape="1">
                    <a:blip r:embed="rId15"/>
                    <a:srcRect l="36323" t="30150" r="28423" b="28685"/>
                    <a:stretch>
                      <a:fillRect/>
                    </a:stretch>
                  </pic:blipFill>
                  <pic:spPr bwMode="auto">
                    <a:xfrm>
                      <a:off x="0" y="0"/>
                      <a:ext cx="5974365" cy="4045099"/>
                    </a:xfrm>
                    <a:prstGeom prst="rect">
                      <a:avLst/>
                    </a:prstGeom>
                    <a:ln>
                      <a:noFill/>
                    </a:ln>
                    <a:extLst>
                      <a:ext uri="{53640926-AAD7-44D8-BBD7-CCE9431645EC}">
                        <a14:shadowObscured xmlns:a14="http://schemas.microsoft.com/office/drawing/2010/main"/>
                      </a:ext>
                    </a:extLst>
                  </pic:spPr>
                </pic:pic>
              </a:graphicData>
            </a:graphic>
          </wp:inline>
        </w:drawing>
      </w:r>
    </w:p>
    <w:p w14:paraId="4C91B639" w14:textId="43FBD62C" w:rsidR="001728B1" w:rsidRDefault="003D003A" w:rsidP="003D003A">
      <w:pPr>
        <w:pStyle w:val="Caption"/>
      </w:pPr>
      <w:r>
        <w:t xml:space="preserve">Figure </w:t>
      </w:r>
      <w:r>
        <w:fldChar w:fldCharType="begin"/>
      </w:r>
      <w:r>
        <w:instrText xml:space="preserve"> SEQ Figure \* ARABIC </w:instrText>
      </w:r>
      <w:r>
        <w:fldChar w:fldCharType="separate"/>
      </w:r>
      <w:r w:rsidR="007F357B">
        <w:rPr>
          <w:noProof/>
        </w:rPr>
        <w:t>2</w:t>
      </w:r>
      <w:r>
        <w:fldChar w:fldCharType="end"/>
      </w:r>
      <w:r w:rsidR="007F357B">
        <w:t xml:space="preserve">- </w:t>
      </w:r>
      <w:r>
        <w:t>Capacitor charge and discharge. With X and y points marked</w:t>
      </w:r>
    </w:p>
    <w:p w14:paraId="1585515F" w14:textId="77777777" w:rsidR="0069481A" w:rsidRDefault="0069481A" w:rsidP="0069481A"/>
    <w:p w14:paraId="34738D25" w14:textId="77777777" w:rsidR="0069481A" w:rsidRDefault="0069481A" w:rsidP="0069481A"/>
    <w:p w14:paraId="59956FB3" w14:textId="77777777" w:rsidR="0069481A" w:rsidRDefault="0069481A" w:rsidP="0069481A"/>
    <w:p w14:paraId="165150EE" w14:textId="77777777" w:rsidR="0069481A" w:rsidRDefault="0069481A" w:rsidP="0069481A"/>
    <w:p w14:paraId="5449752B" w14:textId="77777777" w:rsidR="0069481A" w:rsidRDefault="0069481A" w:rsidP="0069481A"/>
    <w:p w14:paraId="0D105B73" w14:textId="77777777" w:rsidR="0069481A" w:rsidRDefault="0069481A" w:rsidP="0069481A"/>
    <w:p w14:paraId="23919547" w14:textId="77777777" w:rsidR="0069481A" w:rsidRDefault="0069481A" w:rsidP="0069481A"/>
    <w:p w14:paraId="2DEDF334" w14:textId="77777777" w:rsidR="0069481A" w:rsidRDefault="0069481A" w:rsidP="0069481A"/>
    <w:p w14:paraId="6532DAD7" w14:textId="77777777" w:rsidR="0069481A" w:rsidRDefault="0069481A" w:rsidP="0069481A"/>
    <w:p w14:paraId="14447A67" w14:textId="77777777" w:rsidR="0069481A" w:rsidRDefault="0069481A" w:rsidP="0069481A"/>
    <w:p w14:paraId="0D99341E" w14:textId="77777777" w:rsidR="0069481A" w:rsidRDefault="0069481A" w:rsidP="0069481A"/>
    <w:p w14:paraId="26CB5440" w14:textId="77777777" w:rsidR="0069481A" w:rsidRDefault="0069481A" w:rsidP="0069481A"/>
    <w:p w14:paraId="17171D9A" w14:textId="77777777" w:rsidR="0069481A" w:rsidRDefault="0069481A" w:rsidP="0069481A"/>
    <w:p w14:paraId="57BF2A46" w14:textId="77777777" w:rsidR="0069481A" w:rsidRDefault="0069481A" w:rsidP="0069481A"/>
    <w:p w14:paraId="64360938" w14:textId="77777777" w:rsidR="0069481A" w:rsidRPr="0069481A" w:rsidRDefault="0069481A" w:rsidP="0069481A"/>
    <w:p w14:paraId="0D0896C8" w14:textId="1B7CC6A2" w:rsidR="001728B1" w:rsidRDefault="00651E6C" w:rsidP="001728B1">
      <w:pPr>
        <w:pStyle w:val="Heading2"/>
      </w:pPr>
      <w:bookmarkStart w:id="4" w:name="_Toc223594323"/>
      <w:r>
        <w:lastRenderedPageBreak/>
        <w:t xml:space="preserve">Basic Capacitor </w:t>
      </w:r>
      <w:r w:rsidR="002044B2">
        <w:t>Calculations</w:t>
      </w:r>
      <w:r w:rsidR="006A4811">
        <w:t xml:space="preserve"> (</w:t>
      </w:r>
      <w:r w:rsidR="004138A3">
        <w:t>6</w:t>
      </w:r>
      <w:r w:rsidR="00367038">
        <w:t>)</w:t>
      </w:r>
      <w:bookmarkEnd w:id="4"/>
    </w:p>
    <w:p w14:paraId="5455E85C" w14:textId="77777777" w:rsid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 xml:space="preserve">A capacitor is a device that stores electrical charge. The capacitance (C) is defined as the ratio of the charge (Q) stored on the capacitor to the potential difference (voltage) (V) across it: </w:t>
      </w:r>
    </w:p>
    <w:p w14:paraId="2B7D60F3" w14:textId="38273CD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C = Q / V</w:t>
      </w:r>
    </w:p>
    <w:p w14:paraId="03FD1F2D"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where:</w:t>
      </w:r>
      <w:r w:rsidRPr="0069481A">
        <w:rPr>
          <w:rFonts w:asciiTheme="minorHAnsi" w:hAnsiTheme="minorHAnsi" w:cstheme="minorHAnsi"/>
          <w:sz w:val="20"/>
          <w:szCs w:val="20"/>
        </w:rPr>
        <w:br/>
        <w:t>C = capacitance (farads, F)</w:t>
      </w:r>
      <w:r w:rsidRPr="0069481A">
        <w:rPr>
          <w:rFonts w:asciiTheme="minorHAnsi" w:hAnsiTheme="minorHAnsi" w:cstheme="minorHAnsi"/>
          <w:sz w:val="20"/>
          <w:szCs w:val="20"/>
        </w:rPr>
        <w:br/>
        <w:t>Q = charge (coulombs, C)</w:t>
      </w:r>
      <w:r w:rsidRPr="0069481A">
        <w:rPr>
          <w:rFonts w:asciiTheme="minorHAnsi" w:hAnsiTheme="minorHAnsi" w:cstheme="minorHAnsi"/>
          <w:sz w:val="20"/>
          <w:szCs w:val="20"/>
        </w:rPr>
        <w:br/>
        <w:t>V = voltage (volts, V)</w:t>
      </w:r>
    </w:p>
    <w:p w14:paraId="20A1AD1C"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The energy stored in a capacitor is given by:</w:t>
      </w:r>
    </w:p>
    <w:p w14:paraId="757AC1A4"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E = (1/2) C V²</w:t>
      </w:r>
    </w:p>
    <w:p w14:paraId="0163B2CF"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where:</w:t>
      </w:r>
      <w:r w:rsidRPr="0069481A">
        <w:rPr>
          <w:rFonts w:asciiTheme="minorHAnsi" w:hAnsiTheme="minorHAnsi" w:cstheme="minorHAnsi"/>
          <w:sz w:val="20"/>
          <w:szCs w:val="20"/>
        </w:rPr>
        <w:br/>
        <w:t>E = energy (joules, J)</w:t>
      </w:r>
    </w:p>
    <w:p w14:paraId="68CF56FC"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Capacitors can be connected in parallel or in series.</w:t>
      </w:r>
    </w:p>
    <w:p w14:paraId="7548ECB1"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For capacitors in parallel, the total capacitance is:</w:t>
      </w:r>
    </w:p>
    <w:p w14:paraId="09AD443B" w14:textId="77777777" w:rsidR="0069481A" w:rsidRPr="0069481A" w:rsidRDefault="0069481A" w:rsidP="0069481A">
      <w:pPr>
        <w:pStyle w:val="isselectedend"/>
        <w:rPr>
          <w:rFonts w:asciiTheme="minorHAnsi" w:hAnsiTheme="minorHAnsi" w:cstheme="minorHAnsi"/>
          <w:sz w:val="20"/>
          <w:szCs w:val="20"/>
        </w:rPr>
      </w:pPr>
      <w:proofErr w:type="spellStart"/>
      <w:r w:rsidRPr="0069481A">
        <w:rPr>
          <w:rFonts w:asciiTheme="minorHAnsi" w:hAnsiTheme="minorHAnsi" w:cstheme="minorHAnsi"/>
          <w:sz w:val="20"/>
          <w:szCs w:val="20"/>
        </w:rPr>
        <w:t>C_total</w:t>
      </w:r>
      <w:proofErr w:type="spellEnd"/>
      <w:r w:rsidRPr="0069481A">
        <w:rPr>
          <w:rFonts w:asciiTheme="minorHAnsi" w:hAnsiTheme="minorHAnsi" w:cstheme="minorHAnsi"/>
          <w:sz w:val="20"/>
          <w:szCs w:val="20"/>
        </w:rPr>
        <w:t xml:space="preserve"> = C₁ + C₂ + C₃ + ...</w:t>
      </w:r>
    </w:p>
    <w:p w14:paraId="571F3DB6"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For capacitors in series, the total capacitance is found using:</w:t>
      </w:r>
    </w:p>
    <w:p w14:paraId="648F4462"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 xml:space="preserve">1 / </w:t>
      </w:r>
      <w:proofErr w:type="spellStart"/>
      <w:r w:rsidRPr="0069481A">
        <w:rPr>
          <w:rFonts w:asciiTheme="minorHAnsi" w:hAnsiTheme="minorHAnsi" w:cstheme="minorHAnsi"/>
          <w:sz w:val="20"/>
          <w:szCs w:val="20"/>
        </w:rPr>
        <w:t>C_total</w:t>
      </w:r>
      <w:proofErr w:type="spellEnd"/>
      <w:r w:rsidRPr="0069481A">
        <w:rPr>
          <w:rFonts w:asciiTheme="minorHAnsi" w:hAnsiTheme="minorHAnsi" w:cstheme="minorHAnsi"/>
          <w:sz w:val="20"/>
          <w:szCs w:val="20"/>
        </w:rPr>
        <w:t xml:space="preserve"> = 1 / C₁ + 1 / C₂ + 1 / C₃ + ...</w:t>
      </w:r>
    </w:p>
    <w:p w14:paraId="673F5890"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In a series circuit, the charge on each capacitor is the same.</w:t>
      </w:r>
      <w:r w:rsidRPr="0069481A">
        <w:rPr>
          <w:rFonts w:asciiTheme="minorHAnsi" w:hAnsiTheme="minorHAnsi" w:cstheme="minorHAnsi"/>
          <w:sz w:val="20"/>
          <w:szCs w:val="20"/>
        </w:rPr>
        <w:br/>
        <w:t>In a parallel circuit, the voltage across each capacitor is the same.</w:t>
      </w:r>
    </w:p>
    <w:p w14:paraId="04357AE9"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The relationship between current and voltage for a capacitor is:</w:t>
      </w:r>
    </w:p>
    <w:p w14:paraId="12B8F405"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I = C (</w:t>
      </w:r>
      <w:proofErr w:type="spellStart"/>
      <w:r w:rsidRPr="0069481A">
        <w:rPr>
          <w:rFonts w:asciiTheme="minorHAnsi" w:hAnsiTheme="minorHAnsi" w:cstheme="minorHAnsi"/>
          <w:sz w:val="20"/>
          <w:szCs w:val="20"/>
        </w:rPr>
        <w:t>dV</w:t>
      </w:r>
      <w:proofErr w:type="spellEnd"/>
      <w:r w:rsidRPr="0069481A">
        <w:rPr>
          <w:rFonts w:asciiTheme="minorHAnsi" w:hAnsiTheme="minorHAnsi" w:cstheme="minorHAnsi"/>
          <w:sz w:val="20"/>
          <w:szCs w:val="20"/>
        </w:rPr>
        <w:t xml:space="preserve"> / dt)</w:t>
      </w:r>
    </w:p>
    <w:p w14:paraId="5C762035"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This means that the current depends on how quickly the voltage is changing.</w:t>
      </w:r>
    </w:p>
    <w:p w14:paraId="3ABE7A87"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In an RC (resistor-capacitor) circuit, the voltage changes over time according to exponential functions.</w:t>
      </w:r>
    </w:p>
    <w:p w14:paraId="386F6EC0"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For charging:</w:t>
      </w:r>
    </w:p>
    <w:p w14:paraId="25F89032"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V(t) = V₀ (1 − e</w:t>
      </w:r>
      <w:proofErr w:type="gramStart"/>
      <w:r w:rsidRPr="0069481A">
        <w:rPr>
          <w:rFonts w:asciiTheme="minorHAnsi" w:hAnsiTheme="minorHAnsi" w:cstheme="minorHAnsi"/>
          <w:sz w:val="20"/>
          <w:szCs w:val="20"/>
        </w:rPr>
        <w:t>^(</w:t>
      </w:r>
      <w:proofErr w:type="gramEnd"/>
      <w:r w:rsidRPr="0069481A">
        <w:rPr>
          <w:rFonts w:asciiTheme="minorHAnsi" w:hAnsiTheme="minorHAnsi" w:cstheme="minorHAnsi"/>
          <w:sz w:val="20"/>
          <w:szCs w:val="20"/>
        </w:rPr>
        <w:t>−t / RC))</w:t>
      </w:r>
    </w:p>
    <w:p w14:paraId="4BC09CD7"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For discharging:</w:t>
      </w:r>
    </w:p>
    <w:p w14:paraId="374DB34E"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V(t) = V₀ e</w:t>
      </w:r>
      <w:proofErr w:type="gramStart"/>
      <w:r w:rsidRPr="0069481A">
        <w:rPr>
          <w:rFonts w:asciiTheme="minorHAnsi" w:hAnsiTheme="minorHAnsi" w:cstheme="minorHAnsi"/>
          <w:sz w:val="20"/>
          <w:szCs w:val="20"/>
        </w:rPr>
        <w:t>^(</w:t>
      </w:r>
      <w:proofErr w:type="gramEnd"/>
      <w:r w:rsidRPr="0069481A">
        <w:rPr>
          <w:rFonts w:asciiTheme="minorHAnsi" w:hAnsiTheme="minorHAnsi" w:cstheme="minorHAnsi"/>
          <w:sz w:val="20"/>
          <w:szCs w:val="20"/>
        </w:rPr>
        <w:t>−t / RC)</w:t>
      </w:r>
    </w:p>
    <w:p w14:paraId="3AE490F3"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The term RC is called the time constant (τ):</w:t>
      </w:r>
    </w:p>
    <w:p w14:paraId="6D999D68" w14:textId="77777777" w:rsidR="0069481A" w:rsidRPr="0069481A" w:rsidRDefault="0069481A" w:rsidP="0069481A">
      <w:pPr>
        <w:pStyle w:val="isselectedend"/>
        <w:rPr>
          <w:rFonts w:asciiTheme="minorHAnsi" w:hAnsiTheme="minorHAnsi" w:cstheme="minorHAnsi"/>
          <w:sz w:val="20"/>
          <w:szCs w:val="20"/>
        </w:rPr>
      </w:pPr>
      <w:r w:rsidRPr="0069481A">
        <w:rPr>
          <w:rFonts w:asciiTheme="minorHAnsi" w:hAnsiTheme="minorHAnsi" w:cstheme="minorHAnsi"/>
          <w:sz w:val="20"/>
          <w:szCs w:val="20"/>
        </w:rPr>
        <w:t>τ = RC</w:t>
      </w:r>
    </w:p>
    <w:p w14:paraId="39388489" w14:textId="77777777" w:rsidR="0069481A" w:rsidRPr="0069481A" w:rsidRDefault="0069481A" w:rsidP="0069481A">
      <w:pPr>
        <w:pStyle w:val="NormalWeb"/>
        <w:rPr>
          <w:rFonts w:asciiTheme="minorHAnsi" w:hAnsiTheme="minorHAnsi" w:cstheme="minorHAnsi"/>
          <w:sz w:val="20"/>
          <w:szCs w:val="20"/>
        </w:rPr>
      </w:pPr>
      <w:r w:rsidRPr="0069481A">
        <w:rPr>
          <w:rFonts w:asciiTheme="minorHAnsi" w:hAnsiTheme="minorHAnsi" w:cstheme="minorHAnsi"/>
          <w:sz w:val="20"/>
          <w:szCs w:val="20"/>
        </w:rPr>
        <w:t>After one time constant, the capacitor charges to about 63% of its maximum voltage.</w:t>
      </w:r>
    </w:p>
    <w:p w14:paraId="1D8D239E" w14:textId="77777777" w:rsidR="001728B1" w:rsidRPr="00FC3082" w:rsidRDefault="001728B1" w:rsidP="001728B1"/>
    <w:p w14:paraId="4A9C1746" w14:textId="642834E6" w:rsidR="001728B1" w:rsidRDefault="000C44D0" w:rsidP="001728B1">
      <w:pPr>
        <w:pStyle w:val="Heading2"/>
      </w:pPr>
      <w:bookmarkStart w:id="5" w:name="_Toc223594324"/>
      <w:r>
        <w:t>Capacitor discharge table</w:t>
      </w:r>
      <w:r w:rsidR="00C34C38">
        <w:t xml:space="preserve"> (</w:t>
      </w:r>
      <w:r w:rsidR="004138A3">
        <w:t>5</w:t>
      </w:r>
      <w:r w:rsidR="00156CE0">
        <w:t>)</w:t>
      </w:r>
      <w:bookmarkEnd w:id="5"/>
    </w:p>
    <w:tbl>
      <w:tblPr>
        <w:tblW w:w="8520" w:type="dxa"/>
        <w:tblLook w:val="04A0" w:firstRow="1" w:lastRow="0" w:firstColumn="1" w:lastColumn="0" w:noHBand="0" w:noVBand="1"/>
      </w:tblPr>
      <w:tblGrid>
        <w:gridCol w:w="1053"/>
        <w:gridCol w:w="958"/>
        <w:gridCol w:w="1455"/>
        <w:gridCol w:w="1643"/>
        <w:gridCol w:w="1980"/>
        <w:gridCol w:w="1431"/>
      </w:tblGrid>
      <w:tr w:rsidR="004950A4" w:rsidRPr="004950A4" w14:paraId="402B47C1" w14:textId="77777777" w:rsidTr="004950A4">
        <w:trPr>
          <w:trHeight w:val="290"/>
        </w:trPr>
        <w:tc>
          <w:tcPr>
            <w:tcW w:w="1053" w:type="dxa"/>
            <w:vMerge w:val="restart"/>
            <w:tcBorders>
              <w:top w:val="single" w:sz="4" w:space="0" w:color="auto"/>
              <w:left w:val="single" w:sz="4" w:space="0" w:color="auto"/>
              <w:bottom w:val="single" w:sz="4" w:space="0" w:color="auto"/>
              <w:right w:val="single" w:sz="4" w:space="0" w:color="auto"/>
            </w:tcBorders>
            <w:vAlign w:val="center"/>
            <w:hideMark/>
          </w:tcPr>
          <w:p w14:paraId="0B8F9C05" w14:textId="77777777" w:rsidR="004950A4" w:rsidRPr="004950A4" w:rsidRDefault="004950A4" w:rsidP="004950A4">
            <w:pPr>
              <w:spacing w:after="0" w:line="240" w:lineRule="auto"/>
              <w:rPr>
                <w:rFonts w:ascii="Aptos" w:eastAsia="Times New Roman" w:hAnsi="Aptos" w:cs="Calibri"/>
                <w:color w:val="000000"/>
                <w:lang w:eastAsia="en-GB"/>
              </w:rPr>
            </w:pPr>
            <w:r w:rsidRPr="004950A4">
              <w:rPr>
                <w:rFonts w:ascii="Aptos" w:eastAsia="Times New Roman" w:hAnsi="Aptos" w:cs="Calibri"/>
                <w:color w:val="000000"/>
                <w:lang w:eastAsia="en-GB"/>
              </w:rPr>
              <w:t>Time (s)</w:t>
            </w:r>
          </w:p>
        </w:tc>
        <w:tc>
          <w:tcPr>
            <w:tcW w:w="958" w:type="dxa"/>
            <w:vMerge w:val="restart"/>
            <w:tcBorders>
              <w:top w:val="single" w:sz="4" w:space="0" w:color="auto"/>
              <w:left w:val="single" w:sz="4" w:space="0" w:color="auto"/>
              <w:bottom w:val="single" w:sz="4" w:space="0" w:color="auto"/>
              <w:right w:val="single" w:sz="4" w:space="0" w:color="auto"/>
            </w:tcBorders>
            <w:vAlign w:val="center"/>
            <w:hideMark/>
          </w:tcPr>
          <w:p w14:paraId="1F61322D" w14:textId="77777777" w:rsidR="004950A4" w:rsidRPr="004950A4" w:rsidRDefault="004950A4" w:rsidP="004950A4">
            <w:pPr>
              <w:spacing w:after="0" w:line="240" w:lineRule="auto"/>
              <w:rPr>
                <w:rFonts w:ascii="Aptos" w:eastAsia="Times New Roman" w:hAnsi="Aptos" w:cs="Calibri"/>
                <w:color w:val="000000"/>
                <w:lang w:eastAsia="en-GB"/>
              </w:rPr>
            </w:pPr>
            <w:r w:rsidRPr="004950A4">
              <w:rPr>
                <w:rFonts w:ascii="Aptos" w:eastAsia="Times New Roman" w:hAnsi="Aptos" w:cs="Calibri"/>
                <w:color w:val="000000"/>
                <w:lang w:eastAsia="en-GB"/>
              </w:rPr>
              <w:t>Voltage (V)</w:t>
            </w:r>
          </w:p>
        </w:tc>
        <w:tc>
          <w:tcPr>
            <w:tcW w:w="1455" w:type="dxa"/>
            <w:vMerge w:val="restart"/>
            <w:tcBorders>
              <w:top w:val="single" w:sz="4" w:space="0" w:color="auto"/>
              <w:left w:val="single" w:sz="4" w:space="0" w:color="auto"/>
              <w:bottom w:val="single" w:sz="4" w:space="0" w:color="auto"/>
              <w:right w:val="single" w:sz="4" w:space="0" w:color="auto"/>
            </w:tcBorders>
            <w:vAlign w:val="center"/>
            <w:hideMark/>
          </w:tcPr>
          <w:p w14:paraId="6ECEB153" w14:textId="77777777" w:rsidR="004950A4" w:rsidRPr="004950A4" w:rsidRDefault="004950A4" w:rsidP="004950A4">
            <w:pPr>
              <w:spacing w:after="0" w:line="240" w:lineRule="auto"/>
              <w:rPr>
                <w:rFonts w:ascii="Aptos" w:eastAsia="Times New Roman" w:hAnsi="Aptos" w:cs="Calibri"/>
                <w:color w:val="000000"/>
                <w:lang w:eastAsia="en-GB"/>
              </w:rPr>
            </w:pPr>
            <w:r w:rsidRPr="004950A4">
              <w:rPr>
                <w:rFonts w:ascii="Aptos" w:eastAsia="Times New Roman" w:hAnsi="Aptos" w:cs="Calibri"/>
                <w:color w:val="000000"/>
                <w:lang w:eastAsia="en-GB"/>
              </w:rPr>
              <w:t>ln (V)</w:t>
            </w:r>
          </w:p>
        </w:tc>
        <w:tc>
          <w:tcPr>
            <w:tcW w:w="1643" w:type="dxa"/>
            <w:tcBorders>
              <w:top w:val="single" w:sz="4" w:space="0" w:color="auto"/>
              <w:left w:val="nil"/>
              <w:bottom w:val="single" w:sz="4" w:space="0" w:color="auto"/>
              <w:right w:val="single" w:sz="4" w:space="0" w:color="auto"/>
            </w:tcBorders>
            <w:vAlign w:val="center"/>
            <w:hideMark/>
          </w:tcPr>
          <w:p w14:paraId="0A75BA36" w14:textId="77777777" w:rsidR="004950A4" w:rsidRPr="004950A4" w:rsidRDefault="004950A4" w:rsidP="004950A4">
            <w:pPr>
              <w:spacing w:after="0" w:line="240" w:lineRule="auto"/>
              <w:rPr>
                <w:rFonts w:ascii="Aptos" w:eastAsia="Times New Roman" w:hAnsi="Aptos" w:cs="Calibri"/>
                <w:color w:val="000000"/>
                <w:lang w:eastAsia="en-GB"/>
              </w:rPr>
            </w:pPr>
            <w:proofErr w:type="spellStart"/>
            <w:r w:rsidRPr="004950A4">
              <w:rPr>
                <w:rFonts w:ascii="Aptos" w:eastAsia="Times New Roman" w:hAnsi="Aptos" w:cs="Calibri"/>
                <w:color w:val="000000"/>
                <w:lang w:eastAsia="en-GB"/>
              </w:rPr>
              <w:t>dy</w:t>
            </w:r>
            <w:proofErr w:type="spellEnd"/>
            <w:r w:rsidRPr="004950A4">
              <w:rPr>
                <w:rFonts w:ascii="Aptos" w:eastAsia="Times New Roman" w:hAnsi="Aptos" w:cs="Calibri"/>
                <w:color w:val="000000"/>
                <w:lang w:eastAsia="en-GB"/>
              </w:rPr>
              <w:t xml:space="preserve"> = y2 – y1</w:t>
            </w:r>
          </w:p>
        </w:tc>
        <w:tc>
          <w:tcPr>
            <w:tcW w:w="1980" w:type="dxa"/>
            <w:tcBorders>
              <w:top w:val="single" w:sz="4" w:space="0" w:color="auto"/>
              <w:left w:val="nil"/>
              <w:bottom w:val="single" w:sz="4" w:space="0" w:color="auto"/>
              <w:right w:val="single" w:sz="4" w:space="0" w:color="auto"/>
            </w:tcBorders>
            <w:vAlign w:val="center"/>
            <w:hideMark/>
          </w:tcPr>
          <w:p w14:paraId="6175633C" w14:textId="77777777" w:rsidR="004950A4" w:rsidRPr="004950A4" w:rsidRDefault="004950A4" w:rsidP="004950A4">
            <w:pPr>
              <w:spacing w:after="0" w:line="240" w:lineRule="auto"/>
              <w:rPr>
                <w:rFonts w:ascii="Aptos" w:eastAsia="Times New Roman" w:hAnsi="Aptos" w:cs="Calibri"/>
                <w:color w:val="000000"/>
                <w:lang w:eastAsia="en-GB"/>
              </w:rPr>
            </w:pPr>
            <w:r w:rsidRPr="004950A4">
              <w:rPr>
                <w:rFonts w:ascii="Aptos" w:eastAsia="Times New Roman" w:hAnsi="Aptos" w:cs="Calibri"/>
                <w:color w:val="000000"/>
                <w:lang w:eastAsia="en-GB"/>
              </w:rPr>
              <w:t xml:space="preserve">dx = x2- x1 </w:t>
            </w:r>
          </w:p>
        </w:tc>
        <w:tc>
          <w:tcPr>
            <w:tcW w:w="1431" w:type="dxa"/>
            <w:vMerge w:val="restart"/>
            <w:tcBorders>
              <w:top w:val="single" w:sz="4" w:space="0" w:color="auto"/>
              <w:left w:val="single" w:sz="4" w:space="0" w:color="auto"/>
              <w:bottom w:val="single" w:sz="4" w:space="0" w:color="auto"/>
              <w:right w:val="single" w:sz="4" w:space="0" w:color="auto"/>
            </w:tcBorders>
            <w:vAlign w:val="center"/>
            <w:hideMark/>
          </w:tcPr>
          <w:p w14:paraId="6F6CE8C9" w14:textId="77777777" w:rsidR="004950A4" w:rsidRPr="004950A4" w:rsidRDefault="004950A4" w:rsidP="004950A4">
            <w:pPr>
              <w:spacing w:after="0" w:line="240" w:lineRule="auto"/>
              <w:rPr>
                <w:rFonts w:ascii="Aptos" w:eastAsia="Times New Roman" w:hAnsi="Aptos" w:cs="Calibri"/>
                <w:color w:val="000000"/>
                <w:lang w:eastAsia="en-GB"/>
              </w:rPr>
            </w:pPr>
            <w:proofErr w:type="spellStart"/>
            <w:r w:rsidRPr="004950A4">
              <w:rPr>
                <w:rFonts w:ascii="Aptos" w:eastAsia="Times New Roman" w:hAnsi="Aptos" w:cs="Calibri"/>
                <w:color w:val="000000"/>
                <w:lang w:eastAsia="en-GB"/>
              </w:rPr>
              <w:t>dy</w:t>
            </w:r>
            <w:proofErr w:type="spellEnd"/>
            <w:r w:rsidRPr="004950A4">
              <w:rPr>
                <w:rFonts w:ascii="Aptos" w:eastAsia="Times New Roman" w:hAnsi="Aptos" w:cs="Calibri"/>
                <w:color w:val="000000"/>
                <w:lang w:eastAsia="en-GB"/>
              </w:rPr>
              <w:t>/dx</w:t>
            </w:r>
          </w:p>
        </w:tc>
      </w:tr>
      <w:tr w:rsidR="004950A4" w:rsidRPr="004950A4" w14:paraId="188398BD" w14:textId="77777777" w:rsidTr="004950A4">
        <w:trPr>
          <w:trHeight w:val="580"/>
        </w:trPr>
        <w:tc>
          <w:tcPr>
            <w:tcW w:w="1053" w:type="dxa"/>
            <w:vMerge/>
            <w:tcBorders>
              <w:top w:val="single" w:sz="4" w:space="0" w:color="auto"/>
              <w:left w:val="single" w:sz="4" w:space="0" w:color="auto"/>
              <w:bottom w:val="single" w:sz="4" w:space="0" w:color="auto"/>
              <w:right w:val="single" w:sz="4" w:space="0" w:color="auto"/>
            </w:tcBorders>
            <w:vAlign w:val="center"/>
            <w:hideMark/>
          </w:tcPr>
          <w:p w14:paraId="576C7DC5" w14:textId="77777777" w:rsidR="004950A4" w:rsidRPr="004950A4" w:rsidRDefault="004950A4" w:rsidP="004950A4">
            <w:pPr>
              <w:spacing w:after="0" w:line="240" w:lineRule="auto"/>
              <w:rPr>
                <w:rFonts w:ascii="Aptos" w:eastAsia="Times New Roman" w:hAnsi="Aptos" w:cs="Calibri"/>
                <w:color w:val="000000"/>
                <w:lang w:eastAsia="en-GB"/>
              </w:rPr>
            </w:pPr>
          </w:p>
        </w:tc>
        <w:tc>
          <w:tcPr>
            <w:tcW w:w="958" w:type="dxa"/>
            <w:vMerge/>
            <w:tcBorders>
              <w:top w:val="single" w:sz="4" w:space="0" w:color="auto"/>
              <w:left w:val="single" w:sz="4" w:space="0" w:color="auto"/>
              <w:bottom w:val="single" w:sz="4" w:space="0" w:color="auto"/>
              <w:right w:val="single" w:sz="4" w:space="0" w:color="auto"/>
            </w:tcBorders>
            <w:vAlign w:val="center"/>
            <w:hideMark/>
          </w:tcPr>
          <w:p w14:paraId="7821D36B" w14:textId="77777777" w:rsidR="004950A4" w:rsidRPr="004950A4" w:rsidRDefault="004950A4" w:rsidP="004950A4">
            <w:pPr>
              <w:spacing w:after="0" w:line="240" w:lineRule="auto"/>
              <w:rPr>
                <w:rFonts w:ascii="Aptos" w:eastAsia="Times New Roman" w:hAnsi="Aptos" w:cs="Calibri"/>
                <w:color w:val="000000"/>
                <w:lang w:eastAsia="en-GB"/>
              </w:rPr>
            </w:pPr>
          </w:p>
        </w:tc>
        <w:tc>
          <w:tcPr>
            <w:tcW w:w="1455" w:type="dxa"/>
            <w:vMerge/>
            <w:tcBorders>
              <w:top w:val="single" w:sz="4" w:space="0" w:color="auto"/>
              <w:left w:val="single" w:sz="4" w:space="0" w:color="auto"/>
              <w:bottom w:val="single" w:sz="4" w:space="0" w:color="auto"/>
              <w:right w:val="single" w:sz="4" w:space="0" w:color="auto"/>
            </w:tcBorders>
            <w:vAlign w:val="center"/>
            <w:hideMark/>
          </w:tcPr>
          <w:p w14:paraId="44B89C71" w14:textId="77777777" w:rsidR="004950A4" w:rsidRPr="004950A4" w:rsidRDefault="004950A4" w:rsidP="004950A4">
            <w:pPr>
              <w:spacing w:after="0" w:line="240" w:lineRule="auto"/>
              <w:rPr>
                <w:rFonts w:ascii="Aptos" w:eastAsia="Times New Roman" w:hAnsi="Aptos" w:cs="Calibri"/>
                <w:color w:val="000000"/>
                <w:lang w:eastAsia="en-GB"/>
              </w:rPr>
            </w:pPr>
          </w:p>
        </w:tc>
        <w:tc>
          <w:tcPr>
            <w:tcW w:w="1643" w:type="dxa"/>
            <w:tcBorders>
              <w:top w:val="nil"/>
              <w:left w:val="nil"/>
              <w:bottom w:val="single" w:sz="4" w:space="0" w:color="auto"/>
              <w:right w:val="single" w:sz="4" w:space="0" w:color="auto"/>
            </w:tcBorders>
            <w:vAlign w:val="center"/>
            <w:hideMark/>
          </w:tcPr>
          <w:p w14:paraId="79567C88" w14:textId="77777777" w:rsidR="004950A4" w:rsidRPr="004950A4" w:rsidRDefault="004950A4" w:rsidP="004950A4">
            <w:pPr>
              <w:spacing w:after="0" w:line="240" w:lineRule="auto"/>
              <w:rPr>
                <w:rFonts w:ascii="Aptos" w:eastAsia="Times New Roman" w:hAnsi="Aptos" w:cs="Calibri"/>
                <w:color w:val="000000"/>
                <w:lang w:eastAsia="en-GB"/>
              </w:rPr>
            </w:pPr>
            <w:proofErr w:type="spellStart"/>
            <w:r w:rsidRPr="004950A4">
              <w:rPr>
                <w:rFonts w:ascii="Aptos" w:eastAsia="Times New Roman" w:hAnsi="Aptos" w:cs="Calibri"/>
                <w:color w:val="000000"/>
                <w:lang w:eastAsia="en-GB"/>
              </w:rPr>
              <w:t>dy</w:t>
            </w:r>
            <w:proofErr w:type="spellEnd"/>
            <w:r w:rsidRPr="004950A4">
              <w:rPr>
                <w:rFonts w:ascii="Aptos" w:eastAsia="Times New Roman" w:hAnsi="Aptos" w:cs="Calibri"/>
                <w:color w:val="000000"/>
                <w:lang w:eastAsia="en-GB"/>
              </w:rPr>
              <w:t xml:space="preserve"> = ln(V)2-ln(V)1 </w:t>
            </w:r>
          </w:p>
        </w:tc>
        <w:tc>
          <w:tcPr>
            <w:tcW w:w="1980" w:type="dxa"/>
            <w:tcBorders>
              <w:top w:val="nil"/>
              <w:left w:val="nil"/>
              <w:bottom w:val="single" w:sz="4" w:space="0" w:color="auto"/>
              <w:right w:val="single" w:sz="4" w:space="0" w:color="auto"/>
            </w:tcBorders>
            <w:vAlign w:val="center"/>
            <w:hideMark/>
          </w:tcPr>
          <w:p w14:paraId="05F45350" w14:textId="77777777" w:rsidR="004950A4" w:rsidRPr="004950A4" w:rsidRDefault="004950A4" w:rsidP="004950A4">
            <w:pPr>
              <w:spacing w:after="0" w:line="240" w:lineRule="auto"/>
              <w:rPr>
                <w:rFonts w:ascii="Aptos" w:eastAsia="Times New Roman" w:hAnsi="Aptos" w:cs="Calibri"/>
                <w:color w:val="000000"/>
                <w:lang w:eastAsia="en-GB"/>
              </w:rPr>
            </w:pPr>
            <w:r w:rsidRPr="004950A4">
              <w:rPr>
                <w:rFonts w:ascii="Aptos" w:eastAsia="Times New Roman" w:hAnsi="Aptos" w:cs="Calibri"/>
                <w:color w:val="000000"/>
                <w:lang w:eastAsia="en-GB"/>
              </w:rPr>
              <w:t>dx = Time2 – Time1</w:t>
            </w:r>
          </w:p>
        </w:tc>
        <w:tc>
          <w:tcPr>
            <w:tcW w:w="1431" w:type="dxa"/>
            <w:vMerge/>
            <w:tcBorders>
              <w:top w:val="single" w:sz="4" w:space="0" w:color="auto"/>
              <w:left w:val="single" w:sz="4" w:space="0" w:color="auto"/>
              <w:bottom w:val="single" w:sz="4" w:space="0" w:color="auto"/>
              <w:right w:val="single" w:sz="4" w:space="0" w:color="auto"/>
            </w:tcBorders>
            <w:vAlign w:val="center"/>
            <w:hideMark/>
          </w:tcPr>
          <w:p w14:paraId="092CD8BE" w14:textId="77777777" w:rsidR="004950A4" w:rsidRPr="004950A4" w:rsidRDefault="004950A4" w:rsidP="004950A4">
            <w:pPr>
              <w:spacing w:after="0" w:line="240" w:lineRule="auto"/>
              <w:rPr>
                <w:rFonts w:ascii="Aptos" w:eastAsia="Times New Roman" w:hAnsi="Aptos" w:cs="Calibri"/>
                <w:color w:val="000000"/>
                <w:lang w:eastAsia="en-GB"/>
              </w:rPr>
            </w:pPr>
          </w:p>
        </w:tc>
      </w:tr>
      <w:tr w:rsidR="004950A4" w:rsidRPr="004950A4" w14:paraId="33E31EFB"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0B87487B"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0.000005</w:t>
            </w:r>
          </w:p>
        </w:tc>
        <w:tc>
          <w:tcPr>
            <w:tcW w:w="958" w:type="dxa"/>
            <w:tcBorders>
              <w:top w:val="nil"/>
              <w:left w:val="nil"/>
              <w:bottom w:val="single" w:sz="4" w:space="0" w:color="auto"/>
              <w:right w:val="single" w:sz="4" w:space="0" w:color="auto"/>
            </w:tcBorders>
            <w:vAlign w:val="center"/>
            <w:hideMark/>
          </w:tcPr>
          <w:p w14:paraId="5FF4448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1.600</w:t>
            </w:r>
          </w:p>
        </w:tc>
        <w:tc>
          <w:tcPr>
            <w:tcW w:w="1455" w:type="dxa"/>
            <w:tcBorders>
              <w:top w:val="nil"/>
              <w:left w:val="nil"/>
              <w:bottom w:val="single" w:sz="4" w:space="0" w:color="auto"/>
              <w:right w:val="single" w:sz="4" w:space="0" w:color="auto"/>
            </w:tcBorders>
            <w:vAlign w:val="center"/>
            <w:hideMark/>
          </w:tcPr>
          <w:p w14:paraId="38F64244"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0.470003629</w:t>
            </w:r>
          </w:p>
        </w:tc>
        <w:tc>
          <w:tcPr>
            <w:tcW w:w="1643" w:type="dxa"/>
            <w:tcBorders>
              <w:top w:val="nil"/>
              <w:left w:val="nil"/>
              <w:bottom w:val="single" w:sz="4" w:space="0" w:color="auto"/>
              <w:right w:val="single" w:sz="4" w:space="0" w:color="auto"/>
            </w:tcBorders>
            <w:vAlign w:val="center"/>
            <w:hideMark/>
          </w:tcPr>
          <w:p w14:paraId="5A590644" w14:textId="77777777" w:rsidR="004950A4" w:rsidRPr="004950A4" w:rsidRDefault="004950A4" w:rsidP="004950A4">
            <w:pPr>
              <w:spacing w:after="0" w:line="240" w:lineRule="auto"/>
              <w:jc w:val="center"/>
              <w:rPr>
                <w:rFonts w:ascii="Aptos" w:eastAsia="Times New Roman" w:hAnsi="Aptos" w:cs="Calibri"/>
                <w:color w:val="000000"/>
                <w:lang w:eastAsia="en-GB"/>
              </w:rPr>
            </w:pPr>
            <w:r w:rsidRPr="004950A4">
              <w:rPr>
                <w:rFonts w:ascii="Aptos" w:eastAsia="Times New Roman" w:hAnsi="Aptos" w:cs="Calibri"/>
                <w:color w:val="000000"/>
                <w:lang w:eastAsia="en-GB"/>
              </w:rPr>
              <w:t>x</w:t>
            </w:r>
          </w:p>
        </w:tc>
        <w:tc>
          <w:tcPr>
            <w:tcW w:w="1980" w:type="dxa"/>
            <w:tcBorders>
              <w:top w:val="nil"/>
              <w:left w:val="nil"/>
              <w:bottom w:val="single" w:sz="4" w:space="0" w:color="auto"/>
              <w:right w:val="single" w:sz="4" w:space="0" w:color="auto"/>
            </w:tcBorders>
            <w:vAlign w:val="center"/>
            <w:hideMark/>
          </w:tcPr>
          <w:p w14:paraId="24523732" w14:textId="77777777" w:rsidR="004950A4" w:rsidRPr="004950A4" w:rsidRDefault="004950A4" w:rsidP="004950A4">
            <w:pPr>
              <w:spacing w:after="0" w:line="240" w:lineRule="auto"/>
              <w:jc w:val="center"/>
              <w:rPr>
                <w:rFonts w:ascii="Aptos" w:eastAsia="Times New Roman" w:hAnsi="Aptos" w:cs="Calibri"/>
                <w:color w:val="000000"/>
                <w:lang w:eastAsia="en-GB"/>
              </w:rPr>
            </w:pPr>
            <w:r w:rsidRPr="004950A4">
              <w:rPr>
                <w:rFonts w:ascii="Aptos" w:eastAsia="Times New Roman" w:hAnsi="Aptos" w:cs="Calibri"/>
                <w:color w:val="000000"/>
                <w:lang w:eastAsia="en-GB"/>
              </w:rPr>
              <w:t>x</w:t>
            </w:r>
          </w:p>
        </w:tc>
        <w:tc>
          <w:tcPr>
            <w:tcW w:w="1431" w:type="dxa"/>
            <w:tcBorders>
              <w:top w:val="nil"/>
              <w:left w:val="nil"/>
              <w:bottom w:val="single" w:sz="4" w:space="0" w:color="auto"/>
              <w:right w:val="single" w:sz="4" w:space="0" w:color="auto"/>
            </w:tcBorders>
            <w:vAlign w:val="center"/>
            <w:hideMark/>
          </w:tcPr>
          <w:p w14:paraId="011C4080" w14:textId="77777777" w:rsidR="004950A4" w:rsidRPr="004950A4" w:rsidRDefault="004950A4" w:rsidP="004950A4">
            <w:pPr>
              <w:spacing w:after="0" w:line="240" w:lineRule="auto"/>
              <w:jc w:val="center"/>
              <w:rPr>
                <w:rFonts w:ascii="Aptos" w:eastAsia="Times New Roman" w:hAnsi="Aptos" w:cs="Calibri"/>
                <w:color w:val="000000"/>
                <w:lang w:eastAsia="en-GB"/>
              </w:rPr>
            </w:pPr>
            <w:r w:rsidRPr="004950A4">
              <w:rPr>
                <w:rFonts w:ascii="Aptos" w:eastAsia="Times New Roman" w:hAnsi="Aptos" w:cs="Calibri"/>
                <w:color w:val="000000"/>
                <w:lang w:eastAsia="en-GB"/>
              </w:rPr>
              <w:t>x</w:t>
            </w:r>
          </w:p>
        </w:tc>
      </w:tr>
      <w:tr w:rsidR="004950A4" w:rsidRPr="004950A4" w14:paraId="2AB88653"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2B284AAB"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0.00001</w:t>
            </w:r>
          </w:p>
        </w:tc>
        <w:tc>
          <w:tcPr>
            <w:tcW w:w="958" w:type="dxa"/>
            <w:tcBorders>
              <w:top w:val="nil"/>
              <w:left w:val="nil"/>
              <w:bottom w:val="single" w:sz="4" w:space="0" w:color="auto"/>
              <w:right w:val="single" w:sz="4" w:space="0" w:color="auto"/>
            </w:tcBorders>
            <w:vAlign w:val="center"/>
            <w:hideMark/>
          </w:tcPr>
          <w:p w14:paraId="43C54C0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1.271</w:t>
            </w:r>
          </w:p>
        </w:tc>
        <w:tc>
          <w:tcPr>
            <w:tcW w:w="1455" w:type="dxa"/>
            <w:tcBorders>
              <w:top w:val="nil"/>
              <w:left w:val="nil"/>
              <w:bottom w:val="single" w:sz="4" w:space="0" w:color="auto"/>
              <w:right w:val="single" w:sz="4" w:space="0" w:color="auto"/>
            </w:tcBorders>
            <w:vAlign w:val="center"/>
            <w:hideMark/>
          </w:tcPr>
          <w:p w14:paraId="0302E986"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0.23948923</w:t>
            </w:r>
          </w:p>
        </w:tc>
        <w:tc>
          <w:tcPr>
            <w:tcW w:w="1643" w:type="dxa"/>
            <w:tcBorders>
              <w:top w:val="nil"/>
              <w:left w:val="nil"/>
              <w:bottom w:val="single" w:sz="4" w:space="0" w:color="auto"/>
              <w:right w:val="single" w:sz="4" w:space="0" w:color="auto"/>
            </w:tcBorders>
            <w:vAlign w:val="center"/>
            <w:hideMark/>
          </w:tcPr>
          <w:p w14:paraId="21C57939"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-0.230514399</w:t>
            </w:r>
          </w:p>
        </w:tc>
        <w:tc>
          <w:tcPr>
            <w:tcW w:w="1980" w:type="dxa"/>
            <w:tcBorders>
              <w:top w:val="nil"/>
              <w:left w:val="nil"/>
              <w:bottom w:val="single" w:sz="4" w:space="0" w:color="auto"/>
              <w:right w:val="single" w:sz="4" w:space="0" w:color="auto"/>
            </w:tcBorders>
            <w:vAlign w:val="center"/>
            <w:hideMark/>
          </w:tcPr>
          <w:p w14:paraId="2FC83463"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2E8E78AE"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-46102.8799</w:t>
            </w:r>
          </w:p>
        </w:tc>
      </w:tr>
      <w:tr w:rsidR="004950A4" w:rsidRPr="004950A4" w14:paraId="66F8E671"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0405F333"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0.000015</w:t>
            </w:r>
          </w:p>
        </w:tc>
        <w:tc>
          <w:tcPr>
            <w:tcW w:w="958" w:type="dxa"/>
            <w:tcBorders>
              <w:top w:val="nil"/>
              <w:left w:val="nil"/>
              <w:bottom w:val="single" w:sz="4" w:space="0" w:color="auto"/>
              <w:right w:val="single" w:sz="4" w:space="0" w:color="auto"/>
            </w:tcBorders>
            <w:vAlign w:val="center"/>
            <w:hideMark/>
          </w:tcPr>
          <w:p w14:paraId="734FA538"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1.004</w:t>
            </w:r>
          </w:p>
        </w:tc>
        <w:tc>
          <w:tcPr>
            <w:tcW w:w="1455" w:type="dxa"/>
            <w:tcBorders>
              <w:top w:val="nil"/>
              <w:left w:val="nil"/>
              <w:bottom w:val="single" w:sz="4" w:space="0" w:color="auto"/>
              <w:right w:val="single" w:sz="4" w:space="0" w:color="auto"/>
            </w:tcBorders>
            <w:vAlign w:val="center"/>
            <w:hideMark/>
          </w:tcPr>
          <w:p w14:paraId="5182504D"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0.003892415</w:t>
            </w:r>
          </w:p>
        </w:tc>
        <w:tc>
          <w:tcPr>
            <w:tcW w:w="1643" w:type="dxa"/>
            <w:tcBorders>
              <w:top w:val="nil"/>
              <w:left w:val="nil"/>
              <w:bottom w:val="single" w:sz="4" w:space="0" w:color="auto"/>
              <w:right w:val="single" w:sz="4" w:space="0" w:color="auto"/>
            </w:tcBorders>
            <w:vAlign w:val="center"/>
            <w:hideMark/>
          </w:tcPr>
          <w:p w14:paraId="0F4F76A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-0.235596815</w:t>
            </w:r>
          </w:p>
        </w:tc>
        <w:tc>
          <w:tcPr>
            <w:tcW w:w="1980" w:type="dxa"/>
            <w:tcBorders>
              <w:top w:val="nil"/>
              <w:left w:val="nil"/>
              <w:bottom w:val="single" w:sz="4" w:space="0" w:color="auto"/>
              <w:right w:val="single" w:sz="4" w:space="0" w:color="auto"/>
            </w:tcBorders>
            <w:vAlign w:val="center"/>
            <w:hideMark/>
          </w:tcPr>
          <w:p w14:paraId="7687FF51"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5A5AC308"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-47119.363</w:t>
            </w:r>
          </w:p>
        </w:tc>
      </w:tr>
      <w:tr w:rsidR="004950A4" w:rsidRPr="004950A4" w14:paraId="25F80CAE"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75AD6366"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0.00002</w:t>
            </w:r>
          </w:p>
        </w:tc>
        <w:tc>
          <w:tcPr>
            <w:tcW w:w="958" w:type="dxa"/>
            <w:tcBorders>
              <w:top w:val="nil"/>
              <w:left w:val="nil"/>
              <w:bottom w:val="single" w:sz="4" w:space="0" w:color="auto"/>
              <w:right w:val="single" w:sz="4" w:space="0" w:color="auto"/>
            </w:tcBorders>
            <w:vAlign w:val="center"/>
            <w:hideMark/>
          </w:tcPr>
          <w:p w14:paraId="17CB44E8"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0.753</w:t>
            </w:r>
          </w:p>
        </w:tc>
        <w:tc>
          <w:tcPr>
            <w:tcW w:w="1455" w:type="dxa"/>
            <w:tcBorders>
              <w:top w:val="nil"/>
              <w:left w:val="nil"/>
              <w:bottom w:val="single" w:sz="4" w:space="0" w:color="auto"/>
              <w:right w:val="single" w:sz="4" w:space="0" w:color="auto"/>
            </w:tcBorders>
            <w:vAlign w:val="center"/>
            <w:hideMark/>
          </w:tcPr>
          <w:p w14:paraId="6C1F2DB4"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-0.28382286</w:t>
            </w:r>
          </w:p>
        </w:tc>
        <w:tc>
          <w:tcPr>
            <w:tcW w:w="1643" w:type="dxa"/>
            <w:tcBorders>
              <w:top w:val="nil"/>
              <w:left w:val="nil"/>
              <w:bottom w:val="single" w:sz="4" w:space="0" w:color="auto"/>
              <w:right w:val="single" w:sz="4" w:space="0" w:color="auto"/>
            </w:tcBorders>
            <w:vAlign w:val="center"/>
            <w:hideMark/>
          </w:tcPr>
          <w:p w14:paraId="03293FC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-0.287715277</w:t>
            </w:r>
          </w:p>
        </w:tc>
        <w:tc>
          <w:tcPr>
            <w:tcW w:w="1980" w:type="dxa"/>
            <w:tcBorders>
              <w:top w:val="nil"/>
              <w:left w:val="nil"/>
              <w:bottom w:val="single" w:sz="4" w:space="0" w:color="auto"/>
              <w:right w:val="single" w:sz="4" w:space="0" w:color="auto"/>
            </w:tcBorders>
            <w:vAlign w:val="center"/>
            <w:hideMark/>
          </w:tcPr>
          <w:p w14:paraId="6080E35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4B9ECBA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-57543.0554</w:t>
            </w:r>
          </w:p>
        </w:tc>
      </w:tr>
      <w:tr w:rsidR="004950A4" w:rsidRPr="004950A4" w14:paraId="28B08E08"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380B3379"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0.000025</w:t>
            </w:r>
          </w:p>
        </w:tc>
        <w:tc>
          <w:tcPr>
            <w:tcW w:w="958" w:type="dxa"/>
            <w:tcBorders>
              <w:top w:val="nil"/>
              <w:left w:val="nil"/>
              <w:bottom w:val="single" w:sz="4" w:space="0" w:color="auto"/>
              <w:right w:val="single" w:sz="4" w:space="0" w:color="auto"/>
            </w:tcBorders>
            <w:vAlign w:val="center"/>
            <w:hideMark/>
          </w:tcPr>
          <w:p w14:paraId="20C26EA4"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0.565</w:t>
            </w:r>
          </w:p>
        </w:tc>
        <w:tc>
          <w:tcPr>
            <w:tcW w:w="1455" w:type="dxa"/>
            <w:tcBorders>
              <w:top w:val="nil"/>
              <w:left w:val="nil"/>
              <w:bottom w:val="single" w:sz="4" w:space="0" w:color="auto"/>
              <w:right w:val="single" w:sz="4" w:space="0" w:color="auto"/>
            </w:tcBorders>
            <w:vAlign w:val="center"/>
            <w:hideMark/>
          </w:tcPr>
          <w:p w14:paraId="5E1B6092"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-0.57146066</w:t>
            </w:r>
          </w:p>
        </w:tc>
        <w:tc>
          <w:tcPr>
            <w:tcW w:w="1643" w:type="dxa"/>
            <w:tcBorders>
              <w:top w:val="nil"/>
              <w:left w:val="nil"/>
              <w:bottom w:val="single" w:sz="4" w:space="0" w:color="auto"/>
              <w:right w:val="single" w:sz="4" w:space="0" w:color="auto"/>
            </w:tcBorders>
            <w:vAlign w:val="center"/>
            <w:hideMark/>
          </w:tcPr>
          <w:p w14:paraId="5B549675"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-0.2876378</w:t>
            </w:r>
          </w:p>
        </w:tc>
        <w:tc>
          <w:tcPr>
            <w:tcW w:w="1980" w:type="dxa"/>
            <w:tcBorders>
              <w:top w:val="nil"/>
              <w:left w:val="nil"/>
              <w:bottom w:val="single" w:sz="4" w:space="0" w:color="auto"/>
              <w:right w:val="single" w:sz="4" w:space="0" w:color="auto"/>
            </w:tcBorders>
            <w:vAlign w:val="center"/>
            <w:hideMark/>
          </w:tcPr>
          <w:p w14:paraId="571CE30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0A3EDCFD"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-57527.56</w:t>
            </w:r>
          </w:p>
        </w:tc>
      </w:tr>
      <w:tr w:rsidR="004950A4" w:rsidRPr="004950A4" w14:paraId="651CE0C2"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1845A49F"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0.00003</w:t>
            </w:r>
          </w:p>
        </w:tc>
        <w:tc>
          <w:tcPr>
            <w:tcW w:w="958" w:type="dxa"/>
            <w:tcBorders>
              <w:top w:val="nil"/>
              <w:left w:val="nil"/>
              <w:bottom w:val="single" w:sz="4" w:space="0" w:color="auto"/>
              <w:right w:val="single" w:sz="4" w:space="0" w:color="auto"/>
            </w:tcBorders>
            <w:vAlign w:val="center"/>
            <w:hideMark/>
          </w:tcPr>
          <w:p w14:paraId="42C927D3"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0.439</w:t>
            </w:r>
          </w:p>
        </w:tc>
        <w:tc>
          <w:tcPr>
            <w:tcW w:w="1455" w:type="dxa"/>
            <w:tcBorders>
              <w:top w:val="nil"/>
              <w:left w:val="nil"/>
              <w:bottom w:val="single" w:sz="4" w:space="0" w:color="auto"/>
              <w:right w:val="single" w:sz="4" w:space="0" w:color="auto"/>
            </w:tcBorders>
            <w:vAlign w:val="center"/>
            <w:hideMark/>
          </w:tcPr>
          <w:p w14:paraId="3A09AF1B"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-0.82280039</w:t>
            </w:r>
          </w:p>
        </w:tc>
        <w:tc>
          <w:tcPr>
            <w:tcW w:w="1643" w:type="dxa"/>
            <w:tcBorders>
              <w:top w:val="nil"/>
              <w:left w:val="nil"/>
              <w:bottom w:val="single" w:sz="4" w:space="0" w:color="auto"/>
              <w:right w:val="single" w:sz="4" w:space="0" w:color="auto"/>
            </w:tcBorders>
            <w:vAlign w:val="center"/>
            <w:hideMark/>
          </w:tcPr>
          <w:p w14:paraId="208F7667"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-0.251339726</w:t>
            </w:r>
          </w:p>
        </w:tc>
        <w:tc>
          <w:tcPr>
            <w:tcW w:w="1980" w:type="dxa"/>
            <w:tcBorders>
              <w:top w:val="nil"/>
              <w:left w:val="nil"/>
              <w:bottom w:val="single" w:sz="4" w:space="0" w:color="auto"/>
              <w:right w:val="single" w:sz="4" w:space="0" w:color="auto"/>
            </w:tcBorders>
            <w:vAlign w:val="center"/>
            <w:hideMark/>
          </w:tcPr>
          <w:p w14:paraId="3ABE0DDB"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28266C7E"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-50267.9453</w:t>
            </w:r>
          </w:p>
        </w:tc>
      </w:tr>
      <w:tr w:rsidR="004950A4" w:rsidRPr="004950A4" w14:paraId="7819BE84"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1FE75B27"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0.000035</w:t>
            </w:r>
          </w:p>
        </w:tc>
        <w:tc>
          <w:tcPr>
            <w:tcW w:w="958" w:type="dxa"/>
            <w:tcBorders>
              <w:top w:val="nil"/>
              <w:left w:val="nil"/>
              <w:bottom w:val="single" w:sz="4" w:space="0" w:color="auto"/>
              <w:right w:val="single" w:sz="4" w:space="0" w:color="auto"/>
            </w:tcBorders>
            <w:vAlign w:val="center"/>
            <w:hideMark/>
          </w:tcPr>
          <w:p w14:paraId="09A0B77F"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0.282</w:t>
            </w:r>
          </w:p>
        </w:tc>
        <w:tc>
          <w:tcPr>
            <w:tcW w:w="1455" w:type="dxa"/>
            <w:tcBorders>
              <w:top w:val="nil"/>
              <w:left w:val="nil"/>
              <w:bottom w:val="single" w:sz="4" w:space="0" w:color="auto"/>
              <w:right w:val="single" w:sz="4" w:space="0" w:color="auto"/>
            </w:tcBorders>
            <w:vAlign w:val="center"/>
            <w:hideMark/>
          </w:tcPr>
          <w:p w14:paraId="75AC2BD2"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-1.26443077</w:t>
            </w:r>
          </w:p>
        </w:tc>
        <w:tc>
          <w:tcPr>
            <w:tcW w:w="1643" w:type="dxa"/>
            <w:tcBorders>
              <w:top w:val="nil"/>
              <w:left w:val="nil"/>
              <w:bottom w:val="single" w:sz="4" w:space="0" w:color="auto"/>
              <w:right w:val="single" w:sz="4" w:space="0" w:color="auto"/>
            </w:tcBorders>
            <w:vAlign w:val="center"/>
            <w:hideMark/>
          </w:tcPr>
          <w:p w14:paraId="691A0954"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-0.441630385</w:t>
            </w:r>
          </w:p>
        </w:tc>
        <w:tc>
          <w:tcPr>
            <w:tcW w:w="1980" w:type="dxa"/>
            <w:tcBorders>
              <w:top w:val="nil"/>
              <w:left w:val="nil"/>
              <w:bottom w:val="single" w:sz="4" w:space="0" w:color="auto"/>
              <w:right w:val="single" w:sz="4" w:space="0" w:color="auto"/>
            </w:tcBorders>
            <w:vAlign w:val="center"/>
            <w:hideMark/>
          </w:tcPr>
          <w:p w14:paraId="26E4C70A"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31B49736"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-88326.0769</w:t>
            </w:r>
          </w:p>
        </w:tc>
      </w:tr>
      <w:tr w:rsidR="004950A4" w:rsidRPr="004950A4" w14:paraId="068BB412"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0EAECE3C"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0.00004</w:t>
            </w:r>
          </w:p>
        </w:tc>
        <w:tc>
          <w:tcPr>
            <w:tcW w:w="958" w:type="dxa"/>
            <w:tcBorders>
              <w:top w:val="nil"/>
              <w:left w:val="nil"/>
              <w:bottom w:val="single" w:sz="4" w:space="0" w:color="auto"/>
              <w:right w:val="single" w:sz="4" w:space="0" w:color="auto"/>
            </w:tcBorders>
            <w:vAlign w:val="center"/>
            <w:hideMark/>
          </w:tcPr>
          <w:p w14:paraId="632A8612"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0.204</w:t>
            </w:r>
          </w:p>
        </w:tc>
        <w:tc>
          <w:tcPr>
            <w:tcW w:w="1455" w:type="dxa"/>
            <w:tcBorders>
              <w:top w:val="nil"/>
              <w:left w:val="nil"/>
              <w:bottom w:val="single" w:sz="4" w:space="0" w:color="auto"/>
              <w:right w:val="single" w:sz="4" w:space="0" w:color="auto"/>
            </w:tcBorders>
            <w:vAlign w:val="center"/>
            <w:hideMark/>
          </w:tcPr>
          <w:p w14:paraId="71665C2B"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-1.5901256</w:t>
            </w:r>
          </w:p>
        </w:tc>
        <w:tc>
          <w:tcPr>
            <w:tcW w:w="1643" w:type="dxa"/>
            <w:tcBorders>
              <w:top w:val="nil"/>
              <w:left w:val="nil"/>
              <w:bottom w:val="single" w:sz="4" w:space="0" w:color="auto"/>
              <w:right w:val="single" w:sz="4" w:space="0" w:color="auto"/>
            </w:tcBorders>
            <w:vAlign w:val="center"/>
            <w:hideMark/>
          </w:tcPr>
          <w:p w14:paraId="7EEAD295"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-0.325694828</w:t>
            </w:r>
          </w:p>
        </w:tc>
        <w:tc>
          <w:tcPr>
            <w:tcW w:w="1980" w:type="dxa"/>
            <w:tcBorders>
              <w:top w:val="nil"/>
              <w:left w:val="nil"/>
              <w:bottom w:val="single" w:sz="4" w:space="0" w:color="auto"/>
              <w:right w:val="single" w:sz="4" w:space="0" w:color="auto"/>
            </w:tcBorders>
            <w:vAlign w:val="center"/>
            <w:hideMark/>
          </w:tcPr>
          <w:p w14:paraId="119D8CCD"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642F52E3"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-65138.9656</w:t>
            </w:r>
          </w:p>
        </w:tc>
      </w:tr>
      <w:tr w:rsidR="004950A4" w:rsidRPr="004950A4" w14:paraId="29F21ABC" w14:textId="77777777" w:rsidTr="004950A4">
        <w:trPr>
          <w:trHeight w:val="290"/>
        </w:trPr>
        <w:tc>
          <w:tcPr>
            <w:tcW w:w="1053" w:type="dxa"/>
            <w:tcBorders>
              <w:top w:val="nil"/>
              <w:left w:val="single" w:sz="4" w:space="0" w:color="auto"/>
              <w:bottom w:val="single" w:sz="4" w:space="0" w:color="auto"/>
              <w:right w:val="single" w:sz="4" w:space="0" w:color="auto"/>
            </w:tcBorders>
            <w:noWrap/>
            <w:vAlign w:val="bottom"/>
            <w:hideMark/>
          </w:tcPr>
          <w:p w14:paraId="3887D5B4" w14:textId="77777777" w:rsidR="004950A4" w:rsidRPr="004950A4" w:rsidRDefault="004950A4" w:rsidP="004950A4">
            <w:pPr>
              <w:spacing w:after="0" w:line="240" w:lineRule="auto"/>
              <w:jc w:val="right"/>
              <w:rPr>
                <w:rFonts w:ascii="Calibri" w:eastAsia="Times New Roman" w:hAnsi="Calibri" w:cs="Calibri"/>
                <w:color w:val="000000"/>
                <w:lang w:eastAsia="en-GB"/>
              </w:rPr>
            </w:pPr>
            <w:r w:rsidRPr="004950A4">
              <w:rPr>
                <w:rFonts w:ascii="Calibri" w:eastAsia="Times New Roman" w:hAnsi="Calibri" w:cs="Calibri"/>
                <w:color w:val="000000"/>
                <w:lang w:eastAsia="en-GB"/>
              </w:rPr>
              <w:t>0.000045</w:t>
            </w:r>
          </w:p>
        </w:tc>
        <w:tc>
          <w:tcPr>
            <w:tcW w:w="958" w:type="dxa"/>
            <w:tcBorders>
              <w:top w:val="nil"/>
              <w:left w:val="nil"/>
              <w:bottom w:val="single" w:sz="4" w:space="0" w:color="auto"/>
              <w:right w:val="single" w:sz="4" w:space="0" w:color="auto"/>
            </w:tcBorders>
            <w:vAlign w:val="center"/>
            <w:hideMark/>
          </w:tcPr>
          <w:p w14:paraId="4E1E38F3"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0.078</w:t>
            </w:r>
          </w:p>
        </w:tc>
        <w:tc>
          <w:tcPr>
            <w:tcW w:w="1455" w:type="dxa"/>
            <w:tcBorders>
              <w:top w:val="nil"/>
              <w:left w:val="nil"/>
              <w:bottom w:val="single" w:sz="4" w:space="0" w:color="auto"/>
              <w:right w:val="single" w:sz="4" w:space="0" w:color="auto"/>
            </w:tcBorders>
            <w:vAlign w:val="center"/>
            <w:hideMark/>
          </w:tcPr>
          <w:p w14:paraId="787BA4F4"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-2.54593135</w:t>
            </w:r>
          </w:p>
        </w:tc>
        <w:tc>
          <w:tcPr>
            <w:tcW w:w="1643" w:type="dxa"/>
            <w:tcBorders>
              <w:top w:val="nil"/>
              <w:left w:val="nil"/>
              <w:bottom w:val="single" w:sz="4" w:space="0" w:color="auto"/>
              <w:right w:val="single" w:sz="4" w:space="0" w:color="auto"/>
            </w:tcBorders>
            <w:vAlign w:val="center"/>
            <w:hideMark/>
          </w:tcPr>
          <w:p w14:paraId="3A742D4F"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-0.95580575</w:t>
            </w:r>
          </w:p>
        </w:tc>
        <w:tc>
          <w:tcPr>
            <w:tcW w:w="1980" w:type="dxa"/>
            <w:tcBorders>
              <w:top w:val="nil"/>
              <w:left w:val="nil"/>
              <w:bottom w:val="single" w:sz="4" w:space="0" w:color="auto"/>
              <w:right w:val="single" w:sz="4" w:space="0" w:color="auto"/>
            </w:tcBorders>
            <w:vAlign w:val="center"/>
            <w:hideMark/>
          </w:tcPr>
          <w:p w14:paraId="15FB1588"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0.000005</w:t>
            </w:r>
          </w:p>
        </w:tc>
        <w:tc>
          <w:tcPr>
            <w:tcW w:w="1431" w:type="dxa"/>
            <w:tcBorders>
              <w:top w:val="nil"/>
              <w:left w:val="nil"/>
              <w:bottom w:val="single" w:sz="4" w:space="0" w:color="auto"/>
              <w:right w:val="single" w:sz="4" w:space="0" w:color="auto"/>
            </w:tcBorders>
            <w:vAlign w:val="center"/>
            <w:hideMark/>
          </w:tcPr>
          <w:p w14:paraId="5C75B01C" w14:textId="77777777" w:rsidR="004950A4" w:rsidRPr="004950A4" w:rsidRDefault="004950A4" w:rsidP="004950A4">
            <w:pPr>
              <w:spacing w:after="0" w:line="240" w:lineRule="auto"/>
              <w:jc w:val="right"/>
              <w:rPr>
                <w:rFonts w:ascii="Aptos" w:eastAsia="Times New Roman" w:hAnsi="Aptos" w:cs="Calibri"/>
                <w:color w:val="000000"/>
                <w:lang w:eastAsia="en-GB"/>
              </w:rPr>
            </w:pPr>
            <w:r w:rsidRPr="004950A4">
              <w:rPr>
                <w:rFonts w:ascii="Aptos" w:eastAsia="Times New Roman" w:hAnsi="Aptos" w:cs="Calibri"/>
                <w:color w:val="000000"/>
                <w:lang w:eastAsia="en-GB"/>
              </w:rPr>
              <w:t>-191161.15</w:t>
            </w:r>
          </w:p>
        </w:tc>
      </w:tr>
    </w:tbl>
    <w:p w14:paraId="528DED0E" w14:textId="22A65C23" w:rsidR="007F357B" w:rsidRDefault="007F357B" w:rsidP="007F357B">
      <w:pPr>
        <w:pStyle w:val="Caption"/>
      </w:pPr>
      <w:bookmarkStart w:id="6" w:name="_Toc223594325"/>
      <w:r>
        <w:t>Figure 3- Table showing capacitor discharge</w:t>
      </w:r>
    </w:p>
    <w:p w14:paraId="66E41CD9" w14:textId="3DF7D76C" w:rsidR="007F357B" w:rsidRPr="007F357B" w:rsidRDefault="007F357B" w:rsidP="007F357B"/>
    <w:p w14:paraId="2DAA2C83" w14:textId="252D366E" w:rsidR="005F3DCC" w:rsidRPr="005F3DCC" w:rsidRDefault="00E5667C" w:rsidP="005F3DCC">
      <w:pPr>
        <w:pStyle w:val="Heading2"/>
      </w:pPr>
      <w:r>
        <w:t xml:space="preserve">Plot log(V) </w:t>
      </w:r>
      <w:r w:rsidR="008F2254">
        <w:t>Gradient</w:t>
      </w:r>
      <w:r w:rsidR="00915067">
        <w:t xml:space="preserve"> (</w:t>
      </w:r>
      <w:r w:rsidR="004138A3">
        <w:t>5</w:t>
      </w:r>
      <w:r w:rsidR="00915067">
        <w:t>)</w:t>
      </w:r>
      <w:bookmarkEnd w:id="6"/>
    </w:p>
    <w:p w14:paraId="102F2FF3" w14:textId="77777777" w:rsidR="007F357B" w:rsidRDefault="00E31793" w:rsidP="007F357B">
      <w:pPr>
        <w:keepNext/>
        <w:spacing w:after="0" w:line="240" w:lineRule="auto"/>
      </w:pPr>
      <w:r w:rsidRPr="00E31793">
        <w:rPr>
          <w:rFonts w:ascii="Times New Roman" w:eastAsia="Times New Roman" w:hAnsi="Times New Roman" w:cs="Times New Roman"/>
          <w:noProof/>
          <w:sz w:val="24"/>
          <w:szCs w:val="24"/>
          <w:lang w:eastAsia="en-GB"/>
        </w:rPr>
        <w:drawing>
          <wp:inline distT="0" distB="0" distL="0" distR="0" wp14:anchorId="6B127550" wp14:editId="0DB055A1">
            <wp:extent cx="5731510" cy="3449955"/>
            <wp:effectExtent l="0" t="0" r="2540" b="0"/>
            <wp:docPr id="1369533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49955"/>
                    </a:xfrm>
                    <a:prstGeom prst="rect">
                      <a:avLst/>
                    </a:prstGeom>
                    <a:noFill/>
                    <a:ln>
                      <a:noFill/>
                    </a:ln>
                  </pic:spPr>
                </pic:pic>
              </a:graphicData>
            </a:graphic>
          </wp:inline>
        </w:drawing>
      </w:r>
    </w:p>
    <w:p w14:paraId="3E2B67DD" w14:textId="1665BE39" w:rsidR="00E31793" w:rsidRPr="00E31793" w:rsidRDefault="007F357B" w:rsidP="007F357B">
      <w:pPr>
        <w:pStyle w:val="Caption"/>
        <w:rPr>
          <w:rFonts w:ascii="Times New Roman" w:eastAsia="Times New Roman" w:hAnsi="Times New Roman" w:cs="Times New Roman"/>
          <w:sz w:val="24"/>
          <w:szCs w:val="24"/>
          <w:lang w:eastAsia="en-GB"/>
        </w:rPr>
      </w:pPr>
      <w:r>
        <w:t>Figure 4- Graph showing the log(v) discharge</w:t>
      </w:r>
    </w:p>
    <w:p w14:paraId="038B4D22" w14:textId="77777777" w:rsidR="00E5667C" w:rsidRDefault="00E5667C" w:rsidP="00E5667C"/>
    <w:p w14:paraId="0C954362" w14:textId="77777777" w:rsidR="005F3DCC" w:rsidRDefault="005F3DCC" w:rsidP="00E5667C"/>
    <w:p w14:paraId="144C9726" w14:textId="77777777" w:rsidR="005F3DCC" w:rsidRDefault="005F3DCC" w:rsidP="00E5667C"/>
    <w:p w14:paraId="6E931F7E" w14:textId="77777777" w:rsidR="005F3DCC" w:rsidRDefault="005F3DCC" w:rsidP="00E5667C"/>
    <w:p w14:paraId="4EA9DD4C" w14:textId="77777777" w:rsidR="005F3DCC" w:rsidRDefault="005F3DCC" w:rsidP="00E5667C"/>
    <w:p w14:paraId="51BFF627" w14:textId="77777777" w:rsidR="005F3DCC" w:rsidRDefault="005F3DCC" w:rsidP="00E5667C"/>
    <w:p w14:paraId="4B3464CF" w14:textId="77777777" w:rsidR="005F3DCC" w:rsidRPr="00E5667C" w:rsidRDefault="005F3DCC" w:rsidP="00E5667C"/>
    <w:p w14:paraId="65F05C9F" w14:textId="39E0BFE7" w:rsidR="001728B1" w:rsidRDefault="00915067" w:rsidP="001728B1">
      <w:pPr>
        <w:pStyle w:val="Heading2"/>
      </w:pPr>
      <w:bookmarkStart w:id="7" w:name="_Toc223594326"/>
      <w:r>
        <w:t xml:space="preserve">Gradient </w:t>
      </w:r>
      <w:r w:rsidR="001D60EB">
        <w:t>Calculations</w:t>
      </w:r>
      <w:r w:rsidR="00E829CD">
        <w:t xml:space="preserve"> </w:t>
      </w:r>
      <w:r w:rsidR="002F0B84">
        <w:t>and Compare</w:t>
      </w:r>
      <w:r w:rsidR="007C7D1F">
        <w:t>(</w:t>
      </w:r>
      <w:r w:rsidR="004138A3">
        <w:t>8</w:t>
      </w:r>
      <w:r w:rsidR="007C7D1F">
        <w:t>)</w:t>
      </w:r>
      <w:bookmarkEnd w:id="7"/>
    </w:p>
    <w:p w14:paraId="22AD50A2" w14:textId="142256FB" w:rsidR="003D3658" w:rsidRDefault="003D3658" w:rsidP="003D3658">
      <w:pPr>
        <w:pStyle w:val="Heading3"/>
      </w:pPr>
      <w:bookmarkStart w:id="8" w:name="_Toc223594327"/>
      <w:r>
        <w:t>Gradient Calculations</w:t>
      </w:r>
      <w:bookmarkEnd w:id="8"/>
    </w:p>
    <w:p w14:paraId="3C39C442" w14:textId="77777777" w:rsidR="0096630E" w:rsidRPr="0096630E" w:rsidRDefault="0096630E" w:rsidP="0096630E">
      <w:r w:rsidRPr="0096630E">
        <w:t xml:space="preserve">The gradient of the ln(V) vs time graph is used to determine the capacitance of the capacitor because the discharge relationship V = </w:t>
      </w:r>
      <w:proofErr w:type="spellStart"/>
      <w:r w:rsidRPr="0096630E">
        <w:t>V₀e</w:t>
      </w:r>
      <w:proofErr w:type="spellEnd"/>
      <w:r w:rsidRPr="0096630E">
        <w:t>^(−t/RC) can be rearranged into ln(V) = ln(V₀) − t/(RC), which matches the straight-line form y = mx + c where the gradient m = −1/(RC). Using values from the table:</w:t>
      </w:r>
    </w:p>
    <w:p w14:paraId="0F2ADCD7" w14:textId="77777777" w:rsidR="0096630E" w:rsidRPr="0096630E" w:rsidRDefault="0096630E" w:rsidP="0096630E">
      <w:pPr>
        <w:numPr>
          <w:ilvl w:val="0"/>
          <w:numId w:val="2"/>
        </w:numPr>
      </w:pPr>
      <w:r w:rsidRPr="0096630E">
        <w:t>t₁ = 0.000005 s, ln(V₁) = 0.4700</w:t>
      </w:r>
    </w:p>
    <w:p w14:paraId="7A66D4CE" w14:textId="77777777" w:rsidR="0096630E" w:rsidRPr="0096630E" w:rsidRDefault="0096630E" w:rsidP="0096630E">
      <w:pPr>
        <w:numPr>
          <w:ilvl w:val="0"/>
          <w:numId w:val="2"/>
        </w:numPr>
      </w:pPr>
      <w:r w:rsidRPr="0096630E">
        <w:t>t₂ = 0.000045 s, ln(V₂) = −2.5459</w:t>
      </w:r>
    </w:p>
    <w:p w14:paraId="55FEE596" w14:textId="77777777" w:rsidR="0096630E" w:rsidRPr="0096630E" w:rsidRDefault="0096630E" w:rsidP="0096630E">
      <w:r w:rsidRPr="0096630E">
        <w:t>The gradient is calculated as:</w:t>
      </w:r>
    </w:p>
    <w:p w14:paraId="2EBA83FC" w14:textId="77777777" w:rsidR="0096630E" w:rsidRPr="0096630E" w:rsidRDefault="0096630E" w:rsidP="0096630E">
      <w:pPr>
        <w:numPr>
          <w:ilvl w:val="0"/>
          <w:numId w:val="3"/>
        </w:numPr>
      </w:pPr>
      <w:r w:rsidRPr="0096630E">
        <w:t>m = (ln(V₂) − ln(V₁)) / (t₂ − t₁)</w:t>
      </w:r>
    </w:p>
    <w:p w14:paraId="446621E1" w14:textId="77777777" w:rsidR="0096630E" w:rsidRPr="0096630E" w:rsidRDefault="0096630E" w:rsidP="0096630E">
      <w:pPr>
        <w:numPr>
          <w:ilvl w:val="0"/>
          <w:numId w:val="3"/>
        </w:numPr>
      </w:pPr>
      <w:r w:rsidRPr="0096630E">
        <w:t>m = (−2.5459 − 0.4700) / (0.000045 − 0.000005)</w:t>
      </w:r>
    </w:p>
    <w:p w14:paraId="1D2E8B95" w14:textId="77777777" w:rsidR="0096630E" w:rsidRPr="0096630E" w:rsidRDefault="0096630E" w:rsidP="0096630E">
      <w:pPr>
        <w:numPr>
          <w:ilvl w:val="0"/>
          <w:numId w:val="3"/>
        </w:numPr>
      </w:pPr>
      <w:r w:rsidRPr="0096630E">
        <w:t>m = −3.0159 / 0.000040</w:t>
      </w:r>
    </w:p>
    <w:p w14:paraId="1DAD9A9D" w14:textId="77777777" w:rsidR="0096630E" w:rsidRPr="0096630E" w:rsidRDefault="0096630E" w:rsidP="0096630E">
      <w:pPr>
        <w:numPr>
          <w:ilvl w:val="0"/>
          <w:numId w:val="3"/>
        </w:numPr>
      </w:pPr>
      <w:r w:rsidRPr="0096630E">
        <w:t>m = −75,397 s⁻¹</w:t>
      </w:r>
    </w:p>
    <w:p w14:paraId="28113774" w14:textId="77777777" w:rsidR="0096630E" w:rsidRPr="0096630E" w:rsidRDefault="0096630E" w:rsidP="0096630E">
      <w:r w:rsidRPr="0096630E">
        <w:t>The capacitance is then found using:</w:t>
      </w:r>
    </w:p>
    <w:p w14:paraId="37891C62" w14:textId="77777777" w:rsidR="0096630E" w:rsidRPr="0096630E" w:rsidRDefault="0096630E" w:rsidP="0096630E">
      <w:pPr>
        <w:numPr>
          <w:ilvl w:val="0"/>
          <w:numId w:val="4"/>
        </w:numPr>
      </w:pPr>
      <w:r w:rsidRPr="0096630E">
        <w:t>C = −1/(</w:t>
      </w:r>
      <w:proofErr w:type="spellStart"/>
      <w:r w:rsidRPr="0096630E">
        <w:t>mR</w:t>
      </w:r>
      <w:proofErr w:type="spellEnd"/>
      <w:r w:rsidRPr="0096630E">
        <w:t>)</w:t>
      </w:r>
    </w:p>
    <w:p w14:paraId="22129AC5" w14:textId="77777777" w:rsidR="0096630E" w:rsidRPr="0096630E" w:rsidRDefault="0096630E" w:rsidP="0096630E">
      <w:pPr>
        <w:numPr>
          <w:ilvl w:val="0"/>
          <w:numId w:val="4"/>
        </w:numPr>
      </w:pPr>
      <w:r w:rsidRPr="0096630E">
        <w:t xml:space="preserve">R = 10,000 Ω (10 </w:t>
      </w:r>
      <w:proofErr w:type="spellStart"/>
      <w:r w:rsidRPr="0096630E">
        <w:t>kΩ</w:t>
      </w:r>
      <w:proofErr w:type="spellEnd"/>
      <w:r w:rsidRPr="0096630E">
        <w:t>)</w:t>
      </w:r>
    </w:p>
    <w:p w14:paraId="3EC82FC3" w14:textId="77777777" w:rsidR="0096630E" w:rsidRPr="0096630E" w:rsidRDefault="0096630E" w:rsidP="0096630E">
      <w:pPr>
        <w:numPr>
          <w:ilvl w:val="0"/>
          <w:numId w:val="4"/>
        </w:numPr>
      </w:pPr>
      <w:r w:rsidRPr="0096630E">
        <w:t>C = 1 / (75,397 × 10,000)</w:t>
      </w:r>
    </w:p>
    <w:p w14:paraId="20DD2E86" w14:textId="77777777" w:rsidR="0096630E" w:rsidRPr="0096630E" w:rsidRDefault="0096630E" w:rsidP="0096630E">
      <w:pPr>
        <w:numPr>
          <w:ilvl w:val="0"/>
          <w:numId w:val="4"/>
        </w:numPr>
      </w:pPr>
      <w:r w:rsidRPr="0096630E">
        <w:t>C = 1.33 × 10⁻⁹ F</w:t>
      </w:r>
    </w:p>
    <w:p w14:paraId="604E869F" w14:textId="77777777" w:rsidR="0096630E" w:rsidRPr="0096630E" w:rsidRDefault="0096630E" w:rsidP="0096630E">
      <w:pPr>
        <w:numPr>
          <w:ilvl w:val="0"/>
          <w:numId w:val="4"/>
        </w:numPr>
      </w:pPr>
      <w:r w:rsidRPr="0096630E">
        <w:t>C = 0.00133 µF</w:t>
      </w:r>
    </w:p>
    <w:p w14:paraId="45340CEA" w14:textId="34BD6233" w:rsidR="003D3658" w:rsidRDefault="0096630E" w:rsidP="003D3658">
      <w:r w:rsidRPr="0096630E">
        <w:t xml:space="preserve">This value is much lower than the expected 1 µF, likely due to experimental error, limited precision when reading values from the table, and small variations in the gradient calculation having a large effect on </w:t>
      </w:r>
      <w:r w:rsidR="007F357B" w:rsidRPr="0096630E">
        <w:t>the result</w:t>
      </w:r>
      <w:r w:rsidRPr="0096630E">
        <w:t>.</w:t>
      </w:r>
    </w:p>
    <w:p w14:paraId="4DF6D0EB" w14:textId="3B83A601" w:rsidR="003D3658" w:rsidRDefault="00AB4271" w:rsidP="003D3658">
      <w:pPr>
        <w:pStyle w:val="Heading3"/>
      </w:pPr>
      <w:bookmarkStart w:id="9" w:name="_Toc223594328"/>
      <w:r>
        <w:t>Comparison table</w:t>
      </w:r>
      <w:bookmarkEnd w:id="9"/>
    </w:p>
    <w:tbl>
      <w:tblPr>
        <w:tblStyle w:val="TableGrid"/>
        <w:tblW w:w="0" w:type="auto"/>
        <w:tblInd w:w="-289" w:type="dxa"/>
        <w:tblLook w:val="04A0" w:firstRow="1" w:lastRow="0" w:firstColumn="1" w:lastColumn="0" w:noHBand="0" w:noVBand="1"/>
      </w:tblPr>
      <w:tblGrid>
        <w:gridCol w:w="2694"/>
        <w:gridCol w:w="2439"/>
        <w:gridCol w:w="2068"/>
        <w:gridCol w:w="2104"/>
      </w:tblGrid>
      <w:tr w:rsidR="006F12E5" w14:paraId="050FAEAE" w14:textId="77777777" w:rsidTr="001E72CA">
        <w:tc>
          <w:tcPr>
            <w:tcW w:w="2694" w:type="dxa"/>
          </w:tcPr>
          <w:p w14:paraId="57097462" w14:textId="77777777" w:rsidR="006F12E5" w:rsidRDefault="006F12E5"/>
        </w:tc>
        <w:tc>
          <w:tcPr>
            <w:tcW w:w="2439" w:type="dxa"/>
          </w:tcPr>
          <w:p w14:paraId="20C2C8A2" w14:textId="77777777" w:rsidR="006F12E5" w:rsidRDefault="006F12E5">
            <w:r>
              <w:t>Capacitance</w:t>
            </w:r>
          </w:p>
        </w:tc>
        <w:tc>
          <w:tcPr>
            <w:tcW w:w="2068" w:type="dxa"/>
          </w:tcPr>
          <w:p w14:paraId="6B97AEC3" w14:textId="77777777" w:rsidR="006F12E5" w:rsidRDefault="006F12E5">
            <w:r>
              <w:t>Delta</w:t>
            </w:r>
          </w:p>
        </w:tc>
        <w:tc>
          <w:tcPr>
            <w:tcW w:w="2104" w:type="dxa"/>
          </w:tcPr>
          <w:p w14:paraId="35186CB8" w14:textId="77777777" w:rsidR="006F12E5" w:rsidRDefault="006F12E5">
            <w:r>
              <w:t>Percentage difference</w:t>
            </w:r>
          </w:p>
        </w:tc>
      </w:tr>
      <w:tr w:rsidR="006F12E5" w14:paraId="42A28B9B" w14:textId="77777777" w:rsidTr="001E72CA">
        <w:tc>
          <w:tcPr>
            <w:tcW w:w="2694" w:type="dxa"/>
          </w:tcPr>
          <w:p w14:paraId="45AD08E6" w14:textId="77777777" w:rsidR="006F12E5" w:rsidRDefault="006F12E5">
            <w:r>
              <w:t>Actual</w:t>
            </w:r>
          </w:p>
        </w:tc>
        <w:tc>
          <w:tcPr>
            <w:tcW w:w="2439" w:type="dxa"/>
          </w:tcPr>
          <w:p w14:paraId="1A3B4888" w14:textId="77777777" w:rsidR="006F12E5" w:rsidRDefault="006F12E5">
            <w:r w:rsidRPr="00466CD6">
              <w:t>1</w:t>
            </w:r>
            <w:r w:rsidRPr="00466CD6">
              <w:rPr>
                <w:rFonts w:cstheme="minorHAnsi"/>
              </w:rPr>
              <w:t xml:space="preserve"> µ</w:t>
            </w:r>
            <w:r>
              <w:rPr>
                <w:rFonts w:cstheme="minorHAnsi"/>
              </w:rPr>
              <w:t>F</w:t>
            </w:r>
          </w:p>
        </w:tc>
        <w:tc>
          <w:tcPr>
            <w:tcW w:w="2068" w:type="dxa"/>
          </w:tcPr>
          <w:p w14:paraId="6F5A4F3D" w14:textId="77777777" w:rsidR="006F12E5" w:rsidRDefault="006F12E5">
            <w:r>
              <w:t>x</w:t>
            </w:r>
          </w:p>
        </w:tc>
        <w:tc>
          <w:tcPr>
            <w:tcW w:w="2104" w:type="dxa"/>
          </w:tcPr>
          <w:p w14:paraId="769EBC16" w14:textId="77777777" w:rsidR="006F12E5" w:rsidRDefault="006F12E5">
            <w:r>
              <w:t>X</w:t>
            </w:r>
          </w:p>
        </w:tc>
      </w:tr>
      <w:tr w:rsidR="006F12E5" w14:paraId="79B55629" w14:textId="77777777" w:rsidTr="001E72CA">
        <w:tc>
          <w:tcPr>
            <w:tcW w:w="2694" w:type="dxa"/>
          </w:tcPr>
          <w:p w14:paraId="70D29DA3" w14:textId="77777777" w:rsidR="006F12E5" w:rsidRDefault="006F12E5">
            <w:r>
              <w:t>Marker Calculation</w:t>
            </w:r>
          </w:p>
        </w:tc>
        <w:tc>
          <w:tcPr>
            <w:tcW w:w="2439" w:type="dxa"/>
          </w:tcPr>
          <w:p w14:paraId="5AF6585F" w14:textId="293ECA3A" w:rsidR="006F12E5" w:rsidRDefault="00D87CE3">
            <w:r>
              <w:t>0.503</w:t>
            </w:r>
            <w:r w:rsidRPr="00466CD6">
              <w:rPr>
                <w:rFonts w:cstheme="minorHAnsi"/>
              </w:rPr>
              <w:t xml:space="preserve"> µ</w:t>
            </w:r>
            <w:r>
              <w:rPr>
                <w:rFonts w:cstheme="minorHAnsi"/>
              </w:rPr>
              <w:t>F</w:t>
            </w:r>
          </w:p>
        </w:tc>
        <w:tc>
          <w:tcPr>
            <w:tcW w:w="2068" w:type="dxa"/>
          </w:tcPr>
          <w:p w14:paraId="37A90C8E" w14:textId="56B25BA0" w:rsidR="006F12E5" w:rsidRDefault="00D87CE3">
            <w:r>
              <w:t>0.497</w:t>
            </w:r>
            <w:r w:rsidRPr="00466CD6">
              <w:rPr>
                <w:rFonts w:cstheme="minorHAnsi"/>
              </w:rPr>
              <w:t xml:space="preserve"> µ</w:t>
            </w:r>
            <w:r>
              <w:rPr>
                <w:rFonts w:cstheme="minorHAnsi"/>
              </w:rPr>
              <w:t>F</w:t>
            </w:r>
          </w:p>
        </w:tc>
        <w:tc>
          <w:tcPr>
            <w:tcW w:w="2104" w:type="dxa"/>
          </w:tcPr>
          <w:p w14:paraId="6B536778" w14:textId="1144D2C7" w:rsidR="00D87CE3" w:rsidRDefault="00D87CE3">
            <w:r>
              <w:t>49.7%</w:t>
            </w:r>
          </w:p>
        </w:tc>
      </w:tr>
      <w:tr w:rsidR="006F12E5" w14:paraId="2DB11235" w14:textId="77777777" w:rsidTr="001E72CA">
        <w:tc>
          <w:tcPr>
            <w:tcW w:w="2694" w:type="dxa"/>
          </w:tcPr>
          <w:p w14:paraId="3CB74E91" w14:textId="77777777" w:rsidR="006F12E5" w:rsidRDefault="006F12E5">
            <w:r>
              <w:t>Gradient Calculation</w:t>
            </w:r>
          </w:p>
        </w:tc>
        <w:tc>
          <w:tcPr>
            <w:tcW w:w="2439" w:type="dxa"/>
          </w:tcPr>
          <w:p w14:paraId="5F4DEB43" w14:textId="3D18CB55" w:rsidR="006F12E5" w:rsidRDefault="00D87CE3">
            <w:r>
              <w:rPr>
                <w:rFonts w:cstheme="minorHAnsi"/>
              </w:rPr>
              <w:t>0.00170</w:t>
            </w:r>
            <w:r w:rsidRPr="00466CD6">
              <w:rPr>
                <w:rFonts w:cstheme="minorHAnsi"/>
              </w:rPr>
              <w:t>µ</w:t>
            </w:r>
            <w:r>
              <w:rPr>
                <w:rFonts w:cstheme="minorHAnsi"/>
              </w:rPr>
              <w:t>F</w:t>
            </w:r>
          </w:p>
        </w:tc>
        <w:tc>
          <w:tcPr>
            <w:tcW w:w="2068" w:type="dxa"/>
          </w:tcPr>
          <w:p w14:paraId="4B475A55" w14:textId="4ED81D2D" w:rsidR="006F12E5" w:rsidRDefault="00D87CE3">
            <w:r>
              <w:rPr>
                <w:rFonts w:cstheme="minorHAnsi"/>
              </w:rPr>
              <w:t>99.83</w:t>
            </w:r>
            <w:r w:rsidRPr="00466CD6">
              <w:rPr>
                <w:rFonts w:cstheme="minorHAnsi"/>
              </w:rPr>
              <w:t>µ</w:t>
            </w:r>
            <w:r>
              <w:rPr>
                <w:rFonts w:cstheme="minorHAnsi"/>
              </w:rPr>
              <w:t>F</w:t>
            </w:r>
          </w:p>
        </w:tc>
        <w:tc>
          <w:tcPr>
            <w:tcW w:w="2104" w:type="dxa"/>
          </w:tcPr>
          <w:p w14:paraId="0B61456D" w14:textId="5C5CA6F7" w:rsidR="006F12E5" w:rsidRDefault="00D87CE3">
            <w:r>
              <w:t>99.83%</w:t>
            </w:r>
          </w:p>
        </w:tc>
      </w:tr>
    </w:tbl>
    <w:p w14:paraId="40462598" w14:textId="28EAE0A6" w:rsidR="00AB4271" w:rsidRDefault="007F357B" w:rsidP="00AB4271">
      <w:r>
        <w:t>Figure5 - Table showing percentage of capacitance</w:t>
      </w:r>
    </w:p>
    <w:p w14:paraId="428988BA" w14:textId="77777777" w:rsidR="005F3DCC" w:rsidRDefault="005F3DCC" w:rsidP="00AB4271"/>
    <w:p w14:paraId="43385341" w14:textId="77777777" w:rsidR="005F3DCC" w:rsidRDefault="005F3DCC" w:rsidP="00AB4271"/>
    <w:p w14:paraId="250D7F1E" w14:textId="77777777" w:rsidR="005F3DCC" w:rsidRDefault="005F3DCC" w:rsidP="00AB4271"/>
    <w:p w14:paraId="6D7AEB36" w14:textId="77777777" w:rsidR="005F3DCC" w:rsidRDefault="005F3DCC" w:rsidP="00AB4271"/>
    <w:p w14:paraId="19CE842C" w14:textId="77777777" w:rsidR="005F3DCC" w:rsidRDefault="005F3DCC" w:rsidP="00AB4271"/>
    <w:p w14:paraId="60CC6579" w14:textId="77777777" w:rsidR="005F3DCC" w:rsidRPr="00AB4271" w:rsidRDefault="005F3DCC" w:rsidP="00AB4271"/>
    <w:p w14:paraId="69439BDB" w14:textId="7D87D015" w:rsidR="007C7D1F" w:rsidRPr="007C7D1F" w:rsidRDefault="007C7D1F" w:rsidP="007C7D1F">
      <w:pPr>
        <w:pStyle w:val="Heading2"/>
      </w:pPr>
      <w:bookmarkStart w:id="10" w:name="_Toc223594329"/>
      <w:r>
        <w:t>Capacitor Uses (5)</w:t>
      </w:r>
      <w:bookmarkEnd w:id="10"/>
    </w:p>
    <w:p w14:paraId="4953EC98" w14:textId="522A51F3" w:rsidR="005F3DCC" w:rsidRDefault="0096630E" w:rsidP="005F3DCC">
      <w:r w:rsidRPr="0096630E">
        <w:t>Capacitors are electrical components used in a wide range of electronic devices because they store and release energy quickly. They are used in power supplies to reduce voltage fluctuations and provide a stable output. In timing circuits, capacitors work with resistors to produce delays, such as in timers and flashing lights. They also play an important role in signal processing, where they filter signals by allowing AC to pass while blocking DC. In radios and similar devices, capacitors are used to tune and select specific frequencies. They are also used in electric motors to help with starting. Overall, capacitors are important for controlling electrical energy in many types of circuits.</w:t>
      </w:r>
      <w:r w:rsidR="005F3DCC" w:rsidRPr="005F3DCC">
        <w:rPr>
          <w:rFonts w:ascii="Times New Roman" w:eastAsia="Times New Roman" w:hAnsi="Times New Roman" w:cs="Times New Roman"/>
          <w:sz w:val="24"/>
          <w:szCs w:val="24"/>
          <w:lang w:eastAsia="en-GB"/>
        </w:rPr>
        <w:t xml:space="preserve"> </w:t>
      </w:r>
      <w:r w:rsidR="005F3DCC">
        <w:rPr>
          <w:rFonts w:ascii="Times New Roman" w:eastAsia="Times New Roman" w:hAnsi="Times New Roman" w:cs="Times New Roman"/>
          <w:sz w:val="24"/>
          <w:szCs w:val="24"/>
          <w:lang w:eastAsia="en-GB"/>
        </w:rPr>
        <w:t>(</w:t>
      </w:r>
      <w:r w:rsidR="005F3DCC" w:rsidRPr="005F3DCC">
        <w:t xml:space="preserve">Wang, H., &amp; Blaabjerg, F. 2014). </w:t>
      </w:r>
      <w:bookmarkStart w:id="11" w:name="_Toc223594330"/>
    </w:p>
    <w:p w14:paraId="0E5831A0" w14:textId="2843BA6F" w:rsidR="001728B1" w:rsidRDefault="004D5065" w:rsidP="005F3DCC">
      <w:pPr>
        <w:pStyle w:val="Heading2"/>
      </w:pPr>
      <w:r>
        <w:t>Inaccur</w:t>
      </w:r>
      <w:r w:rsidR="009F732A">
        <w:t>acies Question</w:t>
      </w:r>
      <w:r w:rsidR="007C7D1F">
        <w:t xml:space="preserve"> (4)</w:t>
      </w:r>
      <w:bookmarkEnd w:id="11"/>
    </w:p>
    <w:p w14:paraId="54F655E9" w14:textId="247327AC" w:rsidR="006C6C7A" w:rsidRDefault="005F3DCC" w:rsidP="002D23F0">
      <w:r w:rsidRPr="005F3DCC">
        <w:t>Measurements taken using an oscilloscope can contain several sources of inaccuracy, and in this case the limitations were further influenced by the quality of the equipment used. The limited time base resolution means that time values can only be read in divisions, which reduces precision. There is also uncertainty when placing cursors or markers on the waveform, as small changes in position can affect the readings. In addition, electrical noise can cause slight fluctuations in the signal, making the graph less smooth and harder to interpret. The oscilloscope screen resolution and sampling rate also limit how accurately rapid changes are recorded, and with lower-quality equipment these limitations can be more pronounced. Finally, tolerances in the components, such as the resistor and capacitor, can affect the calculated results. Together, these factors—combined with the use of less precise equipment—can lead to errors in measurements and affect the accuracy of calculated capacitance.</w:t>
      </w:r>
    </w:p>
    <w:p w14:paraId="31C5AE70" w14:textId="77777777" w:rsidR="005F3DCC" w:rsidRDefault="005F3DCC" w:rsidP="002D23F0"/>
    <w:p w14:paraId="3F5CEAB6" w14:textId="77777777" w:rsidR="005F3DCC" w:rsidRDefault="005F3DCC" w:rsidP="002D23F0"/>
    <w:p w14:paraId="71138532" w14:textId="77777777" w:rsidR="005F3DCC" w:rsidRDefault="005F3DCC" w:rsidP="002D23F0"/>
    <w:p w14:paraId="27899C1E" w14:textId="77777777" w:rsidR="005F3DCC" w:rsidRDefault="005F3DCC" w:rsidP="002D23F0"/>
    <w:p w14:paraId="3BF2D2E3" w14:textId="77777777" w:rsidR="005F3DCC" w:rsidRDefault="005F3DCC" w:rsidP="002D23F0"/>
    <w:p w14:paraId="735F9A0B" w14:textId="77777777" w:rsidR="005F3DCC" w:rsidRDefault="005F3DCC" w:rsidP="002D23F0"/>
    <w:p w14:paraId="28D8DBCC" w14:textId="77777777" w:rsidR="005F3DCC" w:rsidRDefault="005F3DCC" w:rsidP="002D23F0"/>
    <w:p w14:paraId="7CB22F1C" w14:textId="77777777" w:rsidR="005F3DCC" w:rsidRDefault="005F3DCC" w:rsidP="002D23F0"/>
    <w:p w14:paraId="031E2886" w14:textId="77777777" w:rsidR="005F3DCC" w:rsidRDefault="005F3DCC" w:rsidP="002D23F0"/>
    <w:p w14:paraId="648461D0" w14:textId="77777777" w:rsidR="005F3DCC" w:rsidRDefault="005F3DCC" w:rsidP="002D23F0"/>
    <w:p w14:paraId="0B5F2455" w14:textId="77777777" w:rsidR="005F3DCC" w:rsidRDefault="005F3DCC" w:rsidP="002D23F0"/>
    <w:p w14:paraId="41B8234D" w14:textId="77777777" w:rsidR="005F3DCC" w:rsidRDefault="005F3DCC" w:rsidP="002D23F0"/>
    <w:p w14:paraId="372211E5" w14:textId="77777777" w:rsidR="005F3DCC" w:rsidRDefault="005F3DCC" w:rsidP="002D23F0"/>
    <w:p w14:paraId="19974B53" w14:textId="77777777" w:rsidR="005F3DCC" w:rsidRDefault="005F3DCC" w:rsidP="002D23F0"/>
    <w:p w14:paraId="6EFA7CA3" w14:textId="77777777" w:rsidR="005F3DCC" w:rsidRDefault="005F3DCC" w:rsidP="002D23F0"/>
    <w:p w14:paraId="31C7734A" w14:textId="77777777" w:rsidR="005F3DCC" w:rsidRPr="005F3DCC" w:rsidRDefault="005F3DCC" w:rsidP="002D23F0"/>
    <w:p w14:paraId="62F8FF46" w14:textId="25EF1F61" w:rsidR="004138A3" w:rsidRPr="004138A3" w:rsidRDefault="004138A3" w:rsidP="004138A3">
      <w:pPr>
        <w:pStyle w:val="Heading2"/>
      </w:pPr>
      <w:bookmarkStart w:id="12" w:name="_Toc223594331"/>
      <w:r w:rsidRPr="004138A3">
        <w:rPr>
          <w:color w:val="FF0000"/>
        </w:rPr>
        <w:t>Risk Question (10)</w:t>
      </w:r>
      <w:bookmarkEnd w:id="12"/>
    </w:p>
    <w:p w14:paraId="6212A819" w14:textId="1B10B35A" w:rsidR="00390E4C" w:rsidRPr="00390E4C" w:rsidRDefault="00390E4C" w:rsidP="00390E4C">
      <w:r w:rsidRPr="00390E4C">
        <w:t>Protecting a vehicle’s Controller Area Network (CAN bus)</w:t>
      </w:r>
      <w:r w:rsidR="00EE557C">
        <w:t xml:space="preserve"> (</w:t>
      </w:r>
      <w:proofErr w:type="spellStart"/>
      <w:r w:rsidR="00EE557C">
        <w:t>Bozdal</w:t>
      </w:r>
      <w:proofErr w:type="spellEnd"/>
      <w:r w:rsidR="00EE557C">
        <w:t xml:space="preserve"> M. </w:t>
      </w:r>
      <w:proofErr w:type="gramStart"/>
      <w:r w:rsidR="00EE557C">
        <w:t>et al. ,</w:t>
      </w:r>
      <w:proofErr w:type="gramEnd"/>
      <w:r w:rsidR="00EE557C">
        <w:t xml:space="preserve"> 2020) </w:t>
      </w:r>
      <w:r w:rsidRPr="00390E4C">
        <w:t>from cyberattacks requires a layered and systematic approach guided by ISO/SAE 21434, the global standard for automotive cybersecurity. Since CAN bus was not originally designed with security in mind—it lacks authentication, encryption, and integrity checks—it is vulnerable to attacks such as spoofing, replay, and message injection. To address these risks, both technical controls and process-driven measures must be implemented.</w:t>
      </w:r>
    </w:p>
    <w:p w14:paraId="00C7B502" w14:textId="0029183E" w:rsidR="00390E4C" w:rsidRPr="00390E4C" w:rsidRDefault="00390E4C" w:rsidP="00390E4C">
      <w:r w:rsidRPr="00390E4C">
        <w:t xml:space="preserve">One of the most important strategies is designing security into the vehicle architecture from the start. ISO/SAE 21434 </w:t>
      </w:r>
      <w:r w:rsidR="00EE557C">
        <w:t>(</w:t>
      </w:r>
      <w:r w:rsidR="00EE557C" w:rsidRPr="00EE557C">
        <w:t>Li, Y.</w:t>
      </w:r>
      <w:r w:rsidR="00EE557C">
        <w:t xml:space="preserve"> et al, </w:t>
      </w:r>
      <w:r w:rsidR="00EE557C" w:rsidRPr="00EE557C">
        <w:t>2024)</w:t>
      </w:r>
      <w:r w:rsidR="00EE557C">
        <w:t xml:space="preserve"> </w:t>
      </w:r>
      <w:r w:rsidRPr="00390E4C">
        <w:t>promotes network segmentation, where systems are divided based on trust levels. Safety-critical components like braking or steering are separated from less secure domains such as infotainment. Gateway ECUs act as control points between these segments, filtering and validating messages to stop malicious data from moving across the network.</w:t>
      </w:r>
    </w:p>
    <w:p w14:paraId="0877ACC0" w14:textId="062C5374" w:rsidR="00390E4C" w:rsidRPr="00390E4C" w:rsidRDefault="00390E4C" w:rsidP="00390E4C">
      <w:r w:rsidRPr="00390E4C">
        <w:t>Another key safeguard is the use of lightweight cryptographic techniques. While CAN bus has limitations in bandwidth and processing power, it can still support measures such as message authentication codes (MACs), counters to prevent replay attacks, and secure key distribution. These techniques ensure that only authorised electronic control units (ECUs) can send valid messages and that data integrity is maintained.</w:t>
      </w:r>
      <w:r w:rsidR="00EE557C" w:rsidRPr="00EE557C">
        <w:rPr>
          <w:rFonts w:ascii="Times New Roman" w:eastAsia="Times New Roman" w:hAnsi="Times New Roman" w:cs="Times New Roman"/>
          <w:sz w:val="24"/>
          <w:szCs w:val="24"/>
          <w:lang w:eastAsia="en-GB"/>
        </w:rPr>
        <w:t xml:space="preserve"> </w:t>
      </w:r>
      <w:r w:rsidR="00EE557C">
        <w:rPr>
          <w:rFonts w:ascii="Times New Roman" w:eastAsia="Times New Roman" w:hAnsi="Times New Roman" w:cs="Times New Roman"/>
          <w:sz w:val="24"/>
          <w:szCs w:val="24"/>
          <w:lang w:eastAsia="en-GB"/>
        </w:rPr>
        <w:t>(</w:t>
      </w:r>
      <w:r w:rsidR="00EE557C" w:rsidRPr="00EE557C">
        <w:t>Harel, A.</w:t>
      </w:r>
      <w:r w:rsidR="005F3DCC">
        <w:t xml:space="preserve"> and</w:t>
      </w:r>
      <w:r w:rsidR="005F3DCC" w:rsidRPr="00EE557C">
        <w:t xml:space="preserve"> </w:t>
      </w:r>
      <w:proofErr w:type="spellStart"/>
      <w:r w:rsidR="005F3DCC" w:rsidRPr="00EE557C">
        <w:t>Hezberg</w:t>
      </w:r>
      <w:proofErr w:type="spellEnd"/>
      <w:r w:rsidR="005F3DCC" w:rsidRPr="00EE557C">
        <w:t>, A.</w:t>
      </w:r>
      <w:r w:rsidR="00EE557C" w:rsidRPr="00EE557C">
        <w:t xml:space="preserve"> 2019). </w:t>
      </w:r>
    </w:p>
    <w:p w14:paraId="722AFCDE" w14:textId="77777777" w:rsidR="00390E4C" w:rsidRPr="00390E4C" w:rsidRDefault="00390E4C" w:rsidP="00390E4C">
      <w:r w:rsidRPr="00390E4C">
        <w:t>Detection is equally important as prevention. Intrusion Detection Systems (IDS) can be deployed to continuously monitor CAN traffic and identify unusual behaviour, such as abnormal message patterns or unexpected communication IDs. When a potential attack is detected, the system can respond by isolating affected components or triggering alerts.</w:t>
      </w:r>
    </w:p>
    <w:p w14:paraId="7633C20D" w14:textId="77777777" w:rsidR="00390E4C" w:rsidRPr="00390E4C" w:rsidRDefault="00390E4C" w:rsidP="00390E4C">
      <w:r w:rsidRPr="00390E4C">
        <w:t>In addition, secure software and hardware practices are essential. Mechanisms like secure boot ensure that ECUs only run trusted firmware, while hardware security modules (HSMs) protect sensitive cryptographic operations. Regular testing, secure coding practices, and limiting system access rights further reduce the likelihood of vulnerabilities being exploited.</w:t>
      </w:r>
    </w:p>
    <w:p w14:paraId="3AA85672" w14:textId="77777777" w:rsidR="00390E4C" w:rsidRPr="00390E4C" w:rsidRDefault="00390E4C" w:rsidP="00390E4C">
      <w:r w:rsidRPr="00390E4C">
        <w:t>Finally, ISO/SAE 21434 requires a lifecycle approach to cybersecurity. This includes conducting Threat Analysis and Risk Assessment (TARA) to identify and prioritise risks, as well as maintaining a Cybersecurity Management System (CSMS) to handle updates, monitor threats, and respond to incidents throughout the vehicle’s lifespan.</w:t>
      </w:r>
    </w:p>
    <w:p w14:paraId="670938A4" w14:textId="77777777" w:rsidR="00390E4C" w:rsidRDefault="00390E4C" w:rsidP="00390E4C">
      <w:r w:rsidRPr="00390E4C">
        <w:t>Overall, securing the CAN bus involves combining proactive design, technical defences, real-time monitoring, and continuous risk management in line with ISO/SAE 21434 principles.</w:t>
      </w:r>
    </w:p>
    <w:p w14:paraId="2D06D40C" w14:textId="77777777" w:rsidR="006C6C7A" w:rsidRDefault="006C6C7A" w:rsidP="00390E4C"/>
    <w:p w14:paraId="28B548B3" w14:textId="77777777" w:rsidR="006C6C7A" w:rsidRDefault="006C6C7A" w:rsidP="00390E4C"/>
    <w:p w14:paraId="5C6FCA6E" w14:textId="77777777" w:rsidR="006C6C7A" w:rsidRDefault="006C6C7A" w:rsidP="00390E4C"/>
    <w:p w14:paraId="210E4882" w14:textId="77777777" w:rsidR="006C6C7A" w:rsidRDefault="006C6C7A" w:rsidP="00390E4C"/>
    <w:p w14:paraId="7888D554" w14:textId="77777777" w:rsidR="006C6C7A" w:rsidRDefault="006C6C7A" w:rsidP="00390E4C"/>
    <w:p w14:paraId="5384DE4C" w14:textId="77777777" w:rsidR="006C6C7A" w:rsidRDefault="006C6C7A" w:rsidP="00390E4C"/>
    <w:p w14:paraId="59BF5E1C" w14:textId="77777777" w:rsidR="006C6C7A" w:rsidRDefault="006C6C7A" w:rsidP="00390E4C"/>
    <w:p w14:paraId="5DD7DEC8" w14:textId="77777777" w:rsidR="006C6C7A" w:rsidRPr="00390E4C" w:rsidRDefault="006C6C7A" w:rsidP="00390E4C"/>
    <w:p w14:paraId="4EA02785" w14:textId="67CED4A0" w:rsidR="00301299" w:rsidRPr="00952BC4" w:rsidRDefault="00301299" w:rsidP="00952BC4">
      <w:pPr>
        <w:rPr>
          <w:rFonts w:asciiTheme="majorHAnsi" w:eastAsiaTheme="majorEastAsia" w:hAnsiTheme="majorHAnsi" w:cstheme="majorBidi"/>
          <w:color w:val="2F5496" w:themeColor="accent1" w:themeShade="BF"/>
          <w:sz w:val="26"/>
          <w:szCs w:val="26"/>
        </w:rPr>
      </w:pPr>
    </w:p>
    <w:p w14:paraId="3B12337A" w14:textId="681E0170" w:rsidR="00301299" w:rsidRDefault="00B25D24" w:rsidP="00301299">
      <w:pPr>
        <w:pStyle w:val="Heading1"/>
      </w:pPr>
      <w:bookmarkStart w:id="13" w:name="_Toc223594332"/>
      <w:r>
        <w:t>References</w:t>
      </w:r>
      <w:bookmarkEnd w:id="13"/>
    </w:p>
    <w:p w14:paraId="622A0EBC" w14:textId="7753AC27" w:rsidR="0004542F" w:rsidRDefault="00EE557C" w:rsidP="0004542F">
      <w:proofErr w:type="spellStart"/>
      <w:r w:rsidRPr="00EE557C">
        <w:t>Bozdal</w:t>
      </w:r>
      <w:proofErr w:type="spellEnd"/>
      <w:r w:rsidRPr="00EE557C">
        <w:t xml:space="preserve">, M., Samie, M., Aslam, S., &amp; </w:t>
      </w:r>
      <w:proofErr w:type="spellStart"/>
      <w:r w:rsidRPr="00EE557C">
        <w:t>Jennions</w:t>
      </w:r>
      <w:proofErr w:type="spellEnd"/>
      <w:r w:rsidRPr="00EE557C">
        <w:t xml:space="preserve">, I. (2020). Evaluation of CAN Bus Security Challenges. </w:t>
      </w:r>
      <w:r w:rsidRPr="00EE557C">
        <w:rPr>
          <w:i/>
          <w:iCs/>
        </w:rPr>
        <w:t>Sensors (Basel, Switzerland)</w:t>
      </w:r>
      <w:r w:rsidRPr="00EE557C">
        <w:t xml:space="preserve">, </w:t>
      </w:r>
      <w:r w:rsidRPr="00EE557C">
        <w:rPr>
          <w:i/>
          <w:iCs/>
        </w:rPr>
        <w:t>20</w:t>
      </w:r>
      <w:r w:rsidRPr="00EE557C">
        <w:t>(8), 2364. https://doi.org/10.3390/s20082364</w:t>
      </w:r>
    </w:p>
    <w:p w14:paraId="1DCD5F28" w14:textId="40F4CD5B" w:rsidR="00EE557C" w:rsidRDefault="00EE557C" w:rsidP="00EE557C">
      <w:r w:rsidRPr="00EE557C">
        <w:t xml:space="preserve">Li, Y., Liu, W., Liu, Q., Zheng, X., Sun, K., &amp; Huang, C. (2024). Complying with ISO 26262 and ISO/SAE 21434: A Safety and Security Co-Analysis Method for Intelligent Connected Vehicle. </w:t>
      </w:r>
      <w:r w:rsidRPr="00EE557C">
        <w:rPr>
          <w:i/>
          <w:iCs/>
        </w:rPr>
        <w:t>Sensors (Basel, Switzerland)</w:t>
      </w:r>
      <w:r w:rsidRPr="00EE557C">
        <w:t xml:space="preserve">, </w:t>
      </w:r>
      <w:r w:rsidRPr="00EE557C">
        <w:rPr>
          <w:i/>
          <w:iCs/>
        </w:rPr>
        <w:t>24</w:t>
      </w:r>
      <w:r w:rsidRPr="00EE557C">
        <w:t xml:space="preserve">(6), 1848. </w:t>
      </w:r>
      <w:hyperlink r:id="rId17" w:history="1">
        <w:r w:rsidRPr="00EE557C">
          <w:rPr>
            <w:rStyle w:val="Hyperlink"/>
          </w:rPr>
          <w:t>https://doi.org/10.3390/s24061848</w:t>
        </w:r>
      </w:hyperlink>
    </w:p>
    <w:p w14:paraId="7F796232" w14:textId="05942EC5" w:rsidR="00EE557C" w:rsidRDefault="00EE557C" w:rsidP="00EE557C">
      <w:r w:rsidRPr="00EE557C">
        <w:t xml:space="preserve">Harel, A., &amp; </w:t>
      </w:r>
      <w:proofErr w:type="spellStart"/>
      <w:r w:rsidRPr="00EE557C">
        <w:t>Hezberg</w:t>
      </w:r>
      <w:proofErr w:type="spellEnd"/>
      <w:r w:rsidRPr="00EE557C">
        <w:t xml:space="preserve">, A. (2019). </w:t>
      </w:r>
      <w:r w:rsidRPr="00EE557C">
        <w:rPr>
          <w:i/>
          <w:iCs/>
        </w:rPr>
        <w:t>Optimizing CAN Bus Security with In-Place Cryptography</w:t>
      </w:r>
      <w:r w:rsidRPr="00EE557C">
        <w:t xml:space="preserve">. </w:t>
      </w:r>
      <w:hyperlink r:id="rId18" w:history="1">
        <w:r w:rsidR="005F3DCC" w:rsidRPr="00EE557C">
          <w:rPr>
            <w:rStyle w:val="Hyperlink"/>
          </w:rPr>
          <w:t>https://doi.org/10.4271/2019-01-0098</w:t>
        </w:r>
      </w:hyperlink>
    </w:p>
    <w:p w14:paraId="2F68B851" w14:textId="77777777" w:rsidR="005F3DCC" w:rsidRPr="005F3DCC" w:rsidRDefault="005F3DCC" w:rsidP="005F3DCC">
      <w:r w:rsidRPr="005F3DCC">
        <w:t xml:space="preserve">Wang, H., &amp; Blaabjerg, F. (2014). Reliability of Capacitors for DC-Link Applications in Power Electronic Converters-An Overview. </w:t>
      </w:r>
      <w:r w:rsidRPr="005F3DCC">
        <w:rPr>
          <w:i/>
          <w:iCs/>
        </w:rPr>
        <w:t>IEEE Transactions on Industry Applications</w:t>
      </w:r>
      <w:r w:rsidRPr="005F3DCC">
        <w:t xml:space="preserve">, </w:t>
      </w:r>
      <w:r w:rsidRPr="005F3DCC">
        <w:rPr>
          <w:i/>
          <w:iCs/>
        </w:rPr>
        <w:t>50</w:t>
      </w:r>
      <w:r w:rsidRPr="005F3DCC">
        <w:t>(5), 3569–3578. https://doi.org/10.1109/TIA.2014.2308357</w:t>
      </w:r>
    </w:p>
    <w:p w14:paraId="0BE03162" w14:textId="77777777" w:rsidR="005F3DCC" w:rsidRPr="00EE557C" w:rsidRDefault="005F3DCC" w:rsidP="00EE557C"/>
    <w:p w14:paraId="139C2B85" w14:textId="77777777" w:rsidR="00EE557C" w:rsidRPr="00EE557C" w:rsidRDefault="00EE557C" w:rsidP="00EE557C"/>
    <w:p w14:paraId="152FCA60" w14:textId="77777777" w:rsidR="00EE557C" w:rsidRDefault="00EE557C" w:rsidP="0004542F"/>
    <w:p w14:paraId="08F383C7" w14:textId="77777777" w:rsidR="00EE557C" w:rsidRPr="0004542F" w:rsidRDefault="00EE557C" w:rsidP="0004542F"/>
    <w:sectPr w:rsidR="00EE557C"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754CA" w14:textId="77777777" w:rsidR="00F57974" w:rsidRDefault="00F57974" w:rsidP="00962E5F">
      <w:pPr>
        <w:spacing w:after="0" w:line="240" w:lineRule="auto"/>
      </w:pPr>
      <w:r>
        <w:separator/>
      </w:r>
    </w:p>
  </w:endnote>
  <w:endnote w:type="continuationSeparator" w:id="0">
    <w:p w14:paraId="1F86E660" w14:textId="77777777" w:rsidR="00F57974" w:rsidRDefault="00F57974"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4656C" w14:textId="77777777" w:rsidR="00F57974" w:rsidRDefault="00F57974" w:rsidP="00962E5F">
      <w:pPr>
        <w:spacing w:after="0" w:line="240" w:lineRule="auto"/>
      </w:pPr>
      <w:r>
        <w:separator/>
      </w:r>
    </w:p>
  </w:footnote>
  <w:footnote w:type="continuationSeparator" w:id="0">
    <w:p w14:paraId="1A2B28EB" w14:textId="77777777" w:rsidR="00F57974" w:rsidRDefault="00F57974"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68E89F43" w:rsidR="000D61BC" w:rsidRDefault="004950A4">
    <w:pPr>
      <w:pStyle w:val="Header"/>
    </w:pPr>
    <w:r>
      <w:t>Filip Szczepaniuk</w:t>
    </w:r>
    <w:r w:rsidR="000D61BC">
      <w:ptab w:relativeTo="margin" w:alignment="center" w:leader="none"/>
    </w:r>
    <w:r>
      <w:t xml:space="preserve">                                            </w:t>
    </w:r>
    <w:r>
      <w:t>Vehicle Electronics                                                2517734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2308EA"/>
    <w:multiLevelType w:val="multilevel"/>
    <w:tmpl w:val="4CC8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100C78"/>
    <w:multiLevelType w:val="multilevel"/>
    <w:tmpl w:val="3800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F0304"/>
    <w:multiLevelType w:val="multilevel"/>
    <w:tmpl w:val="CA1C4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61103">
    <w:abstractNumId w:val="0"/>
  </w:num>
  <w:num w:numId="2" w16cid:durableId="1759473239">
    <w:abstractNumId w:val="2"/>
  </w:num>
  <w:num w:numId="3" w16cid:durableId="560600078">
    <w:abstractNumId w:val="3"/>
  </w:num>
  <w:num w:numId="4" w16cid:durableId="12571776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61BC"/>
    <w:rsid w:val="000F0D22"/>
    <w:rsid w:val="001454FC"/>
    <w:rsid w:val="00156CE0"/>
    <w:rsid w:val="001728B1"/>
    <w:rsid w:val="0019332E"/>
    <w:rsid w:val="001A4EB7"/>
    <w:rsid w:val="001D16D3"/>
    <w:rsid w:val="001D34E0"/>
    <w:rsid w:val="001D60EB"/>
    <w:rsid w:val="001E3C05"/>
    <w:rsid w:val="001E72CA"/>
    <w:rsid w:val="00201A61"/>
    <w:rsid w:val="00203670"/>
    <w:rsid w:val="002044B2"/>
    <w:rsid w:val="00270878"/>
    <w:rsid w:val="002A2C0D"/>
    <w:rsid w:val="002A400B"/>
    <w:rsid w:val="002C2808"/>
    <w:rsid w:val="002D23F0"/>
    <w:rsid w:val="002F0B84"/>
    <w:rsid w:val="00301299"/>
    <w:rsid w:val="003211F6"/>
    <w:rsid w:val="00321EAC"/>
    <w:rsid w:val="00324D41"/>
    <w:rsid w:val="00324EDD"/>
    <w:rsid w:val="00337E35"/>
    <w:rsid w:val="00367038"/>
    <w:rsid w:val="0037417D"/>
    <w:rsid w:val="00375186"/>
    <w:rsid w:val="00390E4C"/>
    <w:rsid w:val="00395053"/>
    <w:rsid w:val="003A02C3"/>
    <w:rsid w:val="003B1A68"/>
    <w:rsid w:val="003D003A"/>
    <w:rsid w:val="003D2A1B"/>
    <w:rsid w:val="003D3658"/>
    <w:rsid w:val="00400DC7"/>
    <w:rsid w:val="004138A3"/>
    <w:rsid w:val="004506B2"/>
    <w:rsid w:val="0045095D"/>
    <w:rsid w:val="004950A4"/>
    <w:rsid w:val="004D5065"/>
    <w:rsid w:val="004E2E7C"/>
    <w:rsid w:val="004F2C29"/>
    <w:rsid w:val="0050456F"/>
    <w:rsid w:val="00510730"/>
    <w:rsid w:val="00514DC8"/>
    <w:rsid w:val="005356C3"/>
    <w:rsid w:val="005919FC"/>
    <w:rsid w:val="005D62C6"/>
    <w:rsid w:val="005E4F7B"/>
    <w:rsid w:val="005F3DCC"/>
    <w:rsid w:val="005F4B3F"/>
    <w:rsid w:val="00647B3D"/>
    <w:rsid w:val="00651E6C"/>
    <w:rsid w:val="00660A53"/>
    <w:rsid w:val="00664834"/>
    <w:rsid w:val="0066554A"/>
    <w:rsid w:val="00684820"/>
    <w:rsid w:val="0069150D"/>
    <w:rsid w:val="0069481A"/>
    <w:rsid w:val="006A4811"/>
    <w:rsid w:val="006C6C7A"/>
    <w:rsid w:val="006F12E5"/>
    <w:rsid w:val="00746710"/>
    <w:rsid w:val="0075047F"/>
    <w:rsid w:val="00750A67"/>
    <w:rsid w:val="007861CC"/>
    <w:rsid w:val="007A0C00"/>
    <w:rsid w:val="007C7D1F"/>
    <w:rsid w:val="007D5B33"/>
    <w:rsid w:val="007F357B"/>
    <w:rsid w:val="008104B7"/>
    <w:rsid w:val="00814DB7"/>
    <w:rsid w:val="00851321"/>
    <w:rsid w:val="008B05DA"/>
    <w:rsid w:val="008F2254"/>
    <w:rsid w:val="00901BF3"/>
    <w:rsid w:val="0090234D"/>
    <w:rsid w:val="00915067"/>
    <w:rsid w:val="00936CE1"/>
    <w:rsid w:val="00952BC4"/>
    <w:rsid w:val="00962E5F"/>
    <w:rsid w:val="00965787"/>
    <w:rsid w:val="0096630E"/>
    <w:rsid w:val="009D1102"/>
    <w:rsid w:val="009F732A"/>
    <w:rsid w:val="00A358CC"/>
    <w:rsid w:val="00AB4271"/>
    <w:rsid w:val="00AE0F5E"/>
    <w:rsid w:val="00B0072D"/>
    <w:rsid w:val="00B030CA"/>
    <w:rsid w:val="00B14C99"/>
    <w:rsid w:val="00B25D24"/>
    <w:rsid w:val="00B347E4"/>
    <w:rsid w:val="00B43617"/>
    <w:rsid w:val="00B44170"/>
    <w:rsid w:val="00BA4DAA"/>
    <w:rsid w:val="00C34C38"/>
    <w:rsid w:val="00C675BB"/>
    <w:rsid w:val="00CA5F1C"/>
    <w:rsid w:val="00CD63BF"/>
    <w:rsid w:val="00CE51D4"/>
    <w:rsid w:val="00D26C24"/>
    <w:rsid w:val="00D37DE1"/>
    <w:rsid w:val="00D80299"/>
    <w:rsid w:val="00D87CE3"/>
    <w:rsid w:val="00D95D78"/>
    <w:rsid w:val="00DB24FE"/>
    <w:rsid w:val="00DC25E0"/>
    <w:rsid w:val="00E279FB"/>
    <w:rsid w:val="00E31793"/>
    <w:rsid w:val="00E44D60"/>
    <w:rsid w:val="00E5667C"/>
    <w:rsid w:val="00E829CD"/>
    <w:rsid w:val="00E930BA"/>
    <w:rsid w:val="00EC6D62"/>
    <w:rsid w:val="00EE557C"/>
    <w:rsid w:val="00EE755C"/>
    <w:rsid w:val="00EE7C07"/>
    <w:rsid w:val="00F32D0B"/>
    <w:rsid w:val="00F57974"/>
    <w:rsid w:val="00F63948"/>
    <w:rsid w:val="00F809FA"/>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EE9D1739-BD89-423A-B6F0-67E9CB032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customStyle="1" w:styleId="isselectedend">
    <w:name w:val="isselectedend"/>
    <w:basedOn w:val="Normal"/>
    <w:rsid w:val="006948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94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E55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doi.org/10.4271/2019-01-009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3390/s24061848"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Props1.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docProps/app.xml><?xml version="1.0" encoding="utf-8"?>
<Properties xmlns="http://schemas.openxmlformats.org/officeDocument/2006/extended-properties" xmlns:vt="http://schemas.openxmlformats.org/officeDocument/2006/docPropsVTypes">
  <Template>Normal</Template>
  <TotalTime>9689</TotalTime>
  <Pages>10</Pages>
  <Words>1666</Words>
  <Characters>9500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filip szczepaniuk</cp:lastModifiedBy>
  <cp:revision>3</cp:revision>
  <cp:lastPrinted>2021-09-30T11:07:00Z</cp:lastPrinted>
  <dcterms:created xsi:type="dcterms:W3CDTF">2026-04-17T15:19:00Z</dcterms:created>
  <dcterms:modified xsi:type="dcterms:W3CDTF">2026-04-24T22:32:00Z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