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4581034"/>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3CF816B3" w14:textId="70E0F049" w:rsidR="003673CE" w:rsidRDefault="003673CE">
          <w:pPr>
            <w:pStyle w:val="NoSpacing"/>
            <w:spacing w:before="1540" w:after="240"/>
            <w:jc w:val="center"/>
            <w:rPr>
              <w:color w:val="156082" w:themeColor="accent1"/>
            </w:rPr>
          </w:pPr>
          <w:r>
            <w:rPr>
              <w:noProof/>
              <w:color w:val="156082" w:themeColor="accent1"/>
            </w:rPr>
            <w:drawing>
              <wp:inline distT="0" distB="0" distL="0" distR="0" wp14:anchorId="790FF833" wp14:editId="74B1BE3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72"/>
              <w:szCs w:val="72"/>
            </w:rPr>
            <w:alias w:val="Title"/>
            <w:tag w:val=""/>
            <w:id w:val="1735040861"/>
            <w:placeholder>
              <w:docPart w:val="D3CE18D0DD6B4C94BBC897A68914DBD1"/>
            </w:placeholder>
            <w:dataBinding w:prefixMappings="xmlns:ns0='http://purl.org/dc/elements/1.1/' xmlns:ns1='http://schemas.openxmlformats.org/package/2006/metadata/core-properties' " w:xpath="/ns1:coreProperties[1]/ns0:title[1]" w:storeItemID="{6C3C8BC8-F283-45AE-878A-BAB7291924A1}"/>
            <w:text/>
          </w:sdtPr>
          <w:sdtContent>
            <w:p w14:paraId="4C9CDE87" w14:textId="370E61BA" w:rsidR="003673CE" w:rsidRPr="003673CE" w:rsidRDefault="003673CE" w:rsidP="003673C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673CE">
                <w:rPr>
                  <w:rFonts w:ascii="Arial Black" w:eastAsiaTheme="majorEastAsia" w:hAnsi="Arial Black" w:cstheme="majorBidi"/>
                  <w:caps/>
                  <w:color w:val="156082" w:themeColor="accent1"/>
                  <w:sz w:val="72"/>
                  <w:szCs w:val="72"/>
                </w:rPr>
                <w:t>Financial Analysis</w:t>
              </w:r>
            </w:p>
          </w:sdtContent>
        </w:sdt>
        <w:p w14:paraId="3911C06D" w14:textId="77777777" w:rsidR="003673CE" w:rsidRDefault="003673C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1DBA118" wp14:editId="41BFF07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5D65A7E8" w14:textId="18300132" w:rsidR="003673CE" w:rsidRPr="003673CE" w:rsidRDefault="003673CE">
                                    <w:pPr>
                                      <w:pStyle w:val="NoSpacing"/>
                                      <w:spacing w:after="40"/>
                                      <w:jc w:val="center"/>
                                      <w:rPr>
                                        <w:rFonts w:ascii="Arial Black" w:hAnsi="Arial Black"/>
                                        <w:caps/>
                                        <w:color w:val="156082" w:themeColor="accent1"/>
                                        <w:sz w:val="28"/>
                                        <w:szCs w:val="28"/>
                                      </w:rPr>
                                    </w:pPr>
                                    <w:r w:rsidRPr="003673CE">
                                      <w:rPr>
                                        <w:rFonts w:ascii="Arial Black" w:hAnsi="Arial Black"/>
                                        <w:caps/>
                                        <w:color w:val="156082" w:themeColor="accent1"/>
                                        <w:sz w:val="28"/>
                                        <w:szCs w:val="28"/>
                                      </w:rPr>
                                      <w:t>April 11, 2025</w:t>
                                    </w:r>
                                  </w:p>
                                </w:sdtContent>
                              </w:sdt>
                              <w:p w14:paraId="1FE75111" w14:textId="05ECDAA9" w:rsidR="003673CE" w:rsidRPr="003673CE" w:rsidRDefault="003673CE">
                                <w:pPr>
                                  <w:pStyle w:val="NoSpacing"/>
                                  <w:jc w:val="center"/>
                                  <w:rPr>
                                    <w:rFonts w:ascii="Arial Black" w:hAnsi="Arial Black"/>
                                    <w:color w:val="156082" w:themeColor="accent1"/>
                                    <w:sz w:val="28"/>
                                    <w:szCs w:val="28"/>
                                  </w:rPr>
                                </w:pPr>
                                <w:sdt>
                                  <w:sdtPr>
                                    <w:rPr>
                                      <w:rFonts w:ascii="Arial Black" w:hAnsi="Arial Black"/>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3673CE">
                                      <w:rPr>
                                        <w:rFonts w:ascii="Arial Black" w:hAnsi="Arial Black"/>
                                        <w:caps/>
                                        <w:color w:val="156082" w:themeColor="accent1"/>
                                        <w:sz w:val="28"/>
                                        <w:szCs w:val="28"/>
                                      </w:rPr>
                                      <w:t>Financial Management For Business Sustainability</w:t>
                                    </w:r>
                                  </w:sdtContent>
                                </w:sdt>
                              </w:p>
                              <w:p w14:paraId="081DAE3B" w14:textId="231C2080" w:rsidR="003673CE" w:rsidRPr="003673CE" w:rsidRDefault="003673CE">
                                <w:pPr>
                                  <w:pStyle w:val="NoSpacing"/>
                                  <w:jc w:val="center"/>
                                  <w:rPr>
                                    <w:rFonts w:ascii="Arial Black" w:hAnsi="Arial Black"/>
                                    <w:color w:val="156082" w:themeColor="accent1"/>
                                    <w:sz w:val="28"/>
                                    <w:szCs w:val="28"/>
                                  </w:rPr>
                                </w:pPr>
                                <w:sdt>
                                  <w:sdtPr>
                                    <w:rPr>
                                      <w:rFonts w:ascii="Arial Black" w:hAnsi="Arial Black"/>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3673CE">
                                      <w:rPr>
                                        <w:rFonts w:ascii="Arial Black" w:hAnsi="Arial Black"/>
                                        <w:color w:val="156082" w:themeColor="accent1"/>
                                        <w:sz w:val="28"/>
                                        <w:szCs w:val="28"/>
                                      </w:rPr>
                                      <w:t>BMSP4011D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1DBA11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5D65A7E8" w14:textId="18300132" w:rsidR="003673CE" w:rsidRPr="003673CE" w:rsidRDefault="003673CE">
                              <w:pPr>
                                <w:pStyle w:val="NoSpacing"/>
                                <w:spacing w:after="40"/>
                                <w:jc w:val="center"/>
                                <w:rPr>
                                  <w:rFonts w:ascii="Arial Black" w:hAnsi="Arial Black"/>
                                  <w:caps/>
                                  <w:color w:val="156082" w:themeColor="accent1"/>
                                  <w:sz w:val="28"/>
                                  <w:szCs w:val="28"/>
                                </w:rPr>
                              </w:pPr>
                              <w:r w:rsidRPr="003673CE">
                                <w:rPr>
                                  <w:rFonts w:ascii="Arial Black" w:hAnsi="Arial Black"/>
                                  <w:caps/>
                                  <w:color w:val="156082" w:themeColor="accent1"/>
                                  <w:sz w:val="28"/>
                                  <w:szCs w:val="28"/>
                                </w:rPr>
                                <w:t>April 11, 2025</w:t>
                              </w:r>
                            </w:p>
                          </w:sdtContent>
                        </w:sdt>
                        <w:p w14:paraId="1FE75111" w14:textId="05ECDAA9" w:rsidR="003673CE" w:rsidRPr="003673CE" w:rsidRDefault="003673CE">
                          <w:pPr>
                            <w:pStyle w:val="NoSpacing"/>
                            <w:jc w:val="center"/>
                            <w:rPr>
                              <w:rFonts w:ascii="Arial Black" w:hAnsi="Arial Black"/>
                              <w:color w:val="156082" w:themeColor="accent1"/>
                              <w:sz w:val="28"/>
                              <w:szCs w:val="28"/>
                            </w:rPr>
                          </w:pPr>
                          <w:sdt>
                            <w:sdtPr>
                              <w:rPr>
                                <w:rFonts w:ascii="Arial Black" w:hAnsi="Arial Black"/>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3673CE">
                                <w:rPr>
                                  <w:rFonts w:ascii="Arial Black" w:hAnsi="Arial Black"/>
                                  <w:caps/>
                                  <w:color w:val="156082" w:themeColor="accent1"/>
                                  <w:sz w:val="28"/>
                                  <w:szCs w:val="28"/>
                                </w:rPr>
                                <w:t>Financial Management For Business Sustainability</w:t>
                              </w:r>
                            </w:sdtContent>
                          </w:sdt>
                        </w:p>
                        <w:p w14:paraId="081DAE3B" w14:textId="231C2080" w:rsidR="003673CE" w:rsidRPr="003673CE" w:rsidRDefault="003673CE">
                          <w:pPr>
                            <w:pStyle w:val="NoSpacing"/>
                            <w:jc w:val="center"/>
                            <w:rPr>
                              <w:rFonts w:ascii="Arial Black" w:hAnsi="Arial Black"/>
                              <w:color w:val="156082" w:themeColor="accent1"/>
                              <w:sz w:val="28"/>
                              <w:szCs w:val="28"/>
                            </w:rPr>
                          </w:pPr>
                          <w:sdt>
                            <w:sdtPr>
                              <w:rPr>
                                <w:rFonts w:ascii="Arial Black" w:hAnsi="Arial Black"/>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3673CE">
                                <w:rPr>
                                  <w:rFonts w:ascii="Arial Black" w:hAnsi="Arial Black"/>
                                  <w:color w:val="156082" w:themeColor="accent1"/>
                                  <w:sz w:val="28"/>
                                  <w:szCs w:val="28"/>
                                </w:rPr>
                                <w:t>BMSP4011D</w:t>
                              </w:r>
                            </w:sdtContent>
                          </w:sdt>
                        </w:p>
                      </w:txbxContent>
                    </v:textbox>
                    <w10:wrap anchorx="margin" anchory="page"/>
                  </v:shape>
                </w:pict>
              </mc:Fallback>
            </mc:AlternateContent>
          </w:r>
          <w:r>
            <w:rPr>
              <w:noProof/>
              <w:color w:val="156082" w:themeColor="accent1"/>
            </w:rPr>
            <w:drawing>
              <wp:inline distT="0" distB="0" distL="0" distR="0" wp14:anchorId="7B789111" wp14:editId="5B622DD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D06054" w14:textId="6B0DABE0" w:rsidR="003673CE" w:rsidRDefault="003673CE">
          <w:pPr>
            <w:rPr>
              <w:rFonts w:ascii="Arial" w:hAnsi="Arial" w:cs="Arial"/>
            </w:rPr>
          </w:pPr>
          <w:r>
            <w:rPr>
              <w:rFonts w:ascii="Arial" w:hAnsi="Arial" w:cs="Arial"/>
            </w:rPr>
            <w:br w:type="page"/>
          </w:r>
        </w:p>
      </w:sdtContent>
    </w:sdt>
    <w:p w14:paraId="533C36D6" w14:textId="22623678" w:rsidR="00EB63D4" w:rsidRPr="003673CE" w:rsidRDefault="00EB63D4" w:rsidP="00EB63D4">
      <w:pPr>
        <w:spacing w:line="480" w:lineRule="auto"/>
        <w:rPr>
          <w:rFonts w:ascii="Arial Black" w:hAnsi="Arial Black" w:cs="Arial"/>
          <w:color w:val="4C94D8" w:themeColor="text2" w:themeTint="80"/>
        </w:rPr>
      </w:pPr>
      <w:r w:rsidRPr="003673CE">
        <w:rPr>
          <w:rFonts w:ascii="Arial Black" w:hAnsi="Arial Black" w:cs="Arial"/>
          <w:color w:val="4C94D8" w:themeColor="text2" w:themeTint="80"/>
        </w:rPr>
        <w:lastRenderedPageBreak/>
        <w:t>Introduction</w:t>
      </w:r>
    </w:p>
    <w:p w14:paraId="40214C48" w14:textId="77777777" w:rsidR="00EB63D4" w:rsidRDefault="00EB63D4" w:rsidP="00EB63D4">
      <w:pPr>
        <w:spacing w:line="480" w:lineRule="auto"/>
        <w:rPr>
          <w:rFonts w:ascii="Arial" w:hAnsi="Arial" w:cs="Arial"/>
        </w:rPr>
      </w:pPr>
      <w:r w:rsidRPr="00EB63D4">
        <w:rPr>
          <w:rFonts w:ascii="Arial" w:hAnsi="Arial" w:cs="Arial"/>
        </w:rPr>
        <w:t xml:space="preserve">For decades, Tesco PLC, a multinational grocery and general merchandise retailer based in the United Kingdom, has been a leader in the global retail sector. As one of the largest retailers, Tesco's financial performance is important not only for its stakeholders, but also for continuing to lead in the market. A full financial analysis, which includes ratio analysis, gives an important perspective about how a company has managed its resources and responded to external pressures. This analysis measures Tesco’s financial performance over the 2022 and 2023 fiscal years, focusing on profitability, liquidity, and efficiency. By analysing these ratios, this report seeks to identify the various factors that have affected the company's performance, along with recommending actions to improve their financial sustainability. </w:t>
      </w:r>
    </w:p>
    <w:p w14:paraId="1625435E" w14:textId="77777777" w:rsidR="00EB63D4" w:rsidRPr="003673CE" w:rsidRDefault="00EB63D4" w:rsidP="00EB63D4">
      <w:pPr>
        <w:spacing w:line="480" w:lineRule="auto"/>
        <w:rPr>
          <w:rFonts w:ascii="Arial Black" w:hAnsi="Arial Black" w:cs="Arial"/>
          <w:color w:val="4C94D8" w:themeColor="text2" w:themeTint="80"/>
        </w:rPr>
      </w:pPr>
      <w:r w:rsidRPr="003673CE">
        <w:rPr>
          <w:rFonts w:ascii="Arial Black" w:hAnsi="Arial Black" w:cs="Arial"/>
          <w:color w:val="4C94D8" w:themeColor="text2" w:themeTint="80"/>
        </w:rPr>
        <w:t>Financial Overview</w:t>
      </w:r>
    </w:p>
    <w:p w14:paraId="3F576BC3" w14:textId="7406CFF4" w:rsidR="00EB63D4" w:rsidRDefault="00EB63D4" w:rsidP="00EB63D4">
      <w:pPr>
        <w:spacing w:line="480" w:lineRule="auto"/>
        <w:rPr>
          <w:rFonts w:ascii="Arial" w:hAnsi="Arial" w:cs="Arial"/>
        </w:rPr>
      </w:pPr>
      <w:r w:rsidRPr="00EB63D4">
        <w:rPr>
          <w:rFonts w:ascii="Arial" w:hAnsi="Arial" w:cs="Arial"/>
        </w:rPr>
        <w:t xml:space="preserve">Tesco’s financial performance spanning both years 2022 and 2023 provides both positive and worrying indicators of operational efficiency. The company reported growth in revenue of 7.2%, from £61.3 billion in 2022 to £65.7 billion in 2023. However, along with revenue increases, Tesco's profitability had significant downward pressure because net profit for the year was down from £1,483 million in 2022 to £744 million in 2023 (Tesco Annual Report, 2023). The rapid decline in profit was principally due to rising costs and competitive tension within the retail sector. To gain a better understanding of </w:t>
      </w:r>
      <w:r w:rsidRPr="00EB63D4">
        <w:rPr>
          <w:rFonts w:ascii="Arial" w:hAnsi="Arial" w:cs="Arial"/>
        </w:rPr>
        <w:t>these</w:t>
      </w:r>
      <w:r w:rsidRPr="00EB63D4">
        <w:rPr>
          <w:rFonts w:ascii="Arial" w:hAnsi="Arial" w:cs="Arial"/>
        </w:rPr>
        <w:t xml:space="preserve"> financial trends, we will conduct a ratio analysis </w:t>
      </w:r>
      <w:r w:rsidRPr="00EB63D4">
        <w:rPr>
          <w:rFonts w:ascii="Arial" w:hAnsi="Arial" w:cs="Arial"/>
        </w:rPr>
        <w:t>to</w:t>
      </w:r>
      <w:r w:rsidRPr="00EB63D4">
        <w:rPr>
          <w:rFonts w:ascii="Arial" w:hAnsi="Arial" w:cs="Arial"/>
        </w:rPr>
        <w:t xml:space="preserve"> assess the underlying performance metrics for </w:t>
      </w:r>
      <w:r w:rsidRPr="00EB63D4">
        <w:rPr>
          <w:rFonts w:ascii="Arial" w:hAnsi="Arial" w:cs="Arial"/>
        </w:rPr>
        <w:t>all</w:t>
      </w:r>
      <w:r w:rsidRPr="00EB63D4">
        <w:rPr>
          <w:rFonts w:ascii="Arial" w:hAnsi="Arial" w:cs="Arial"/>
        </w:rPr>
        <w:t xml:space="preserve"> the focus areas. </w:t>
      </w:r>
    </w:p>
    <w:p w14:paraId="51EE7B32" w14:textId="77777777" w:rsidR="00EB63D4" w:rsidRDefault="00EB63D4" w:rsidP="00EB63D4">
      <w:pPr>
        <w:spacing w:line="480" w:lineRule="auto"/>
        <w:rPr>
          <w:rFonts w:ascii="Arial" w:hAnsi="Arial" w:cs="Arial"/>
        </w:rPr>
      </w:pPr>
    </w:p>
    <w:p w14:paraId="1EF65567" w14:textId="77777777" w:rsidR="00EB63D4" w:rsidRDefault="00EB63D4" w:rsidP="00EB63D4">
      <w:pPr>
        <w:spacing w:line="480" w:lineRule="auto"/>
        <w:rPr>
          <w:rFonts w:ascii="Arial" w:hAnsi="Arial" w:cs="Arial"/>
        </w:rPr>
      </w:pPr>
    </w:p>
    <w:p w14:paraId="37B3DB7B" w14:textId="6133EF26" w:rsidR="00EB63D4" w:rsidRPr="00FE3383" w:rsidRDefault="00EB63D4" w:rsidP="00EB63D4">
      <w:pPr>
        <w:spacing w:line="480" w:lineRule="auto"/>
        <w:rPr>
          <w:rFonts w:ascii="Arial Black" w:hAnsi="Arial Black" w:cs="Arial"/>
          <w:color w:val="4C94D8" w:themeColor="text2" w:themeTint="80"/>
        </w:rPr>
      </w:pPr>
      <w:r w:rsidRPr="00FE3383">
        <w:rPr>
          <w:rFonts w:ascii="Arial Black" w:hAnsi="Arial Black" w:cs="Arial"/>
          <w:color w:val="4C94D8" w:themeColor="text2" w:themeTint="80"/>
        </w:rPr>
        <w:lastRenderedPageBreak/>
        <w:t xml:space="preserve">Ratio </w:t>
      </w:r>
      <w:r w:rsidRPr="00FE3383">
        <w:rPr>
          <w:rFonts w:ascii="Arial Black" w:hAnsi="Arial Black" w:cs="Arial"/>
          <w:color w:val="4C94D8" w:themeColor="text2" w:themeTint="80"/>
        </w:rPr>
        <w:t>Analysis Profitability</w:t>
      </w:r>
    </w:p>
    <w:p w14:paraId="316DF466" w14:textId="77777777" w:rsidR="00EB63D4" w:rsidRDefault="00EB63D4" w:rsidP="00EB63D4">
      <w:pPr>
        <w:spacing w:line="480" w:lineRule="auto"/>
        <w:rPr>
          <w:rFonts w:ascii="Arial" w:hAnsi="Arial" w:cs="Arial"/>
        </w:rPr>
      </w:pPr>
      <w:r w:rsidRPr="00EB63D4">
        <w:rPr>
          <w:rFonts w:ascii="Arial" w:hAnsi="Arial" w:cs="Arial"/>
        </w:rPr>
        <w:t>Ratios</w:t>
      </w:r>
      <w:r>
        <w:rPr>
          <w:rFonts w:ascii="Arial" w:hAnsi="Arial" w:cs="Arial"/>
        </w:rPr>
        <w:t xml:space="preserve"> </w:t>
      </w:r>
      <w:r w:rsidRPr="00EB63D4">
        <w:rPr>
          <w:rFonts w:ascii="Arial" w:hAnsi="Arial" w:cs="Arial"/>
        </w:rPr>
        <w:t xml:space="preserve">Profitability ratios aid in evaluating how effectively a business </w:t>
      </w:r>
      <w:r w:rsidRPr="00EB63D4">
        <w:rPr>
          <w:rFonts w:ascii="Arial" w:hAnsi="Arial" w:cs="Arial"/>
        </w:rPr>
        <w:t>can</w:t>
      </w:r>
      <w:r w:rsidRPr="00EB63D4">
        <w:rPr>
          <w:rFonts w:ascii="Arial" w:hAnsi="Arial" w:cs="Arial"/>
        </w:rPr>
        <w:t xml:space="preserve"> generate profit from its sales and assets.</w:t>
      </w:r>
      <w:r>
        <w:rPr>
          <w:rFonts w:ascii="Arial" w:hAnsi="Arial" w:cs="Arial"/>
        </w:rPr>
        <w:t xml:space="preserve"> </w:t>
      </w:r>
      <w:r w:rsidRPr="00EB63D4">
        <w:rPr>
          <w:rFonts w:ascii="Arial" w:hAnsi="Arial" w:cs="Arial"/>
        </w:rPr>
        <w:t xml:space="preserve">Tesco should pay special attention to the importance of ratios in assessing how well the business is managing costs and revenues. </w:t>
      </w:r>
    </w:p>
    <w:p w14:paraId="726B8FB0" w14:textId="77777777" w:rsidR="00FE3383" w:rsidRPr="00FE3383" w:rsidRDefault="00EB63D4" w:rsidP="00EB63D4">
      <w:pPr>
        <w:spacing w:line="480" w:lineRule="auto"/>
        <w:rPr>
          <w:rFonts w:ascii="Arial Black" w:hAnsi="Arial Black" w:cs="Arial"/>
          <w:color w:val="4C94D8" w:themeColor="text2" w:themeTint="80"/>
        </w:rPr>
      </w:pPr>
      <w:r w:rsidRPr="00FE3383">
        <w:rPr>
          <w:rFonts w:ascii="Arial Black" w:hAnsi="Arial Black" w:cs="Arial"/>
          <w:color w:val="4C94D8" w:themeColor="text2" w:themeTint="80"/>
        </w:rPr>
        <w:t xml:space="preserve">Gross Profit Margin </w:t>
      </w:r>
    </w:p>
    <w:p w14:paraId="22BB9A42" w14:textId="2F588824" w:rsidR="00EB63D4" w:rsidRDefault="00EB63D4" w:rsidP="00EB63D4">
      <w:pPr>
        <w:spacing w:line="480" w:lineRule="auto"/>
        <w:rPr>
          <w:rFonts w:ascii="Arial" w:hAnsi="Arial" w:cs="Arial"/>
        </w:rPr>
      </w:pPr>
      <w:r w:rsidRPr="00EB63D4">
        <w:rPr>
          <w:rFonts w:ascii="Arial" w:hAnsi="Arial" w:cs="Arial"/>
        </w:rPr>
        <w:t>The gross profit margin is the percentage of revenue that exceeds the cost of goods sold (COGS) to indicate how well the company is managing its costs of production and how effectively it is pricing its products.</w:t>
      </w: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606"/>
        <w:gridCol w:w="2031"/>
        <w:gridCol w:w="1644"/>
        <w:gridCol w:w="4221"/>
      </w:tblGrid>
      <w:tr w:rsidR="00EB63D4" w:rsidRPr="00EB63D4" w14:paraId="270AEE2F" w14:textId="77777777" w:rsidTr="00EB63D4">
        <w:trPr>
          <w:tblHeader/>
          <w:tblCellSpacing w:w="15" w:type="dxa"/>
        </w:trPr>
        <w:tc>
          <w:tcPr>
            <w:tcW w:w="0" w:type="auto"/>
            <w:shd w:val="clear" w:color="auto" w:fill="ADADAD" w:themeFill="background2" w:themeFillShade="BF"/>
            <w:vAlign w:val="center"/>
            <w:hideMark/>
          </w:tcPr>
          <w:p w14:paraId="65B55E59" w14:textId="77777777" w:rsidR="00EB63D4" w:rsidRPr="00EB63D4" w:rsidRDefault="00EB63D4" w:rsidP="00EB63D4">
            <w:pPr>
              <w:spacing w:after="0" w:line="240" w:lineRule="auto"/>
              <w:jc w:val="center"/>
              <w:rPr>
                <w:rFonts w:ascii="Arial" w:eastAsia="Times New Roman" w:hAnsi="Arial" w:cs="Arial"/>
                <w:b/>
                <w:bCs/>
                <w:kern w:val="0"/>
                <w:lang w:eastAsia="en-GB"/>
                <w14:ligatures w14:val="none"/>
              </w:rPr>
            </w:pPr>
            <w:r w:rsidRPr="00EB63D4">
              <w:rPr>
                <w:rFonts w:ascii="Arial" w:eastAsia="Times New Roman" w:hAnsi="Arial" w:cs="Arial"/>
                <w:b/>
                <w:bCs/>
                <w:kern w:val="0"/>
                <w:lang w:eastAsia="en-GB"/>
                <w14:ligatures w14:val="none"/>
              </w:rPr>
              <w:t>Year</w:t>
            </w:r>
          </w:p>
        </w:tc>
        <w:tc>
          <w:tcPr>
            <w:tcW w:w="0" w:type="auto"/>
            <w:shd w:val="clear" w:color="auto" w:fill="ADADAD" w:themeFill="background2" w:themeFillShade="BF"/>
            <w:vAlign w:val="center"/>
            <w:hideMark/>
          </w:tcPr>
          <w:p w14:paraId="79F16F32" w14:textId="77777777" w:rsidR="00EB63D4" w:rsidRPr="00EB63D4" w:rsidRDefault="00EB63D4" w:rsidP="00EB63D4">
            <w:pPr>
              <w:spacing w:after="0" w:line="240" w:lineRule="auto"/>
              <w:jc w:val="center"/>
              <w:rPr>
                <w:rFonts w:ascii="Arial" w:eastAsia="Times New Roman" w:hAnsi="Arial" w:cs="Arial"/>
                <w:b/>
                <w:bCs/>
                <w:kern w:val="0"/>
                <w:lang w:eastAsia="en-GB"/>
                <w14:ligatures w14:val="none"/>
              </w:rPr>
            </w:pPr>
            <w:r w:rsidRPr="00EB63D4">
              <w:rPr>
                <w:rFonts w:ascii="Arial" w:eastAsia="Times New Roman" w:hAnsi="Arial" w:cs="Arial"/>
                <w:b/>
                <w:bCs/>
                <w:kern w:val="0"/>
                <w:lang w:eastAsia="en-GB"/>
                <w14:ligatures w14:val="none"/>
              </w:rPr>
              <w:t>Gross Profit (£m)</w:t>
            </w:r>
          </w:p>
        </w:tc>
        <w:tc>
          <w:tcPr>
            <w:tcW w:w="0" w:type="auto"/>
            <w:shd w:val="clear" w:color="auto" w:fill="ADADAD" w:themeFill="background2" w:themeFillShade="BF"/>
            <w:vAlign w:val="center"/>
            <w:hideMark/>
          </w:tcPr>
          <w:p w14:paraId="3E43BC76" w14:textId="77777777" w:rsidR="00EB63D4" w:rsidRPr="00EB63D4" w:rsidRDefault="00EB63D4" w:rsidP="00EB63D4">
            <w:pPr>
              <w:spacing w:after="0" w:line="240" w:lineRule="auto"/>
              <w:jc w:val="center"/>
              <w:rPr>
                <w:rFonts w:ascii="Arial" w:eastAsia="Times New Roman" w:hAnsi="Arial" w:cs="Arial"/>
                <w:b/>
                <w:bCs/>
                <w:kern w:val="0"/>
                <w:lang w:eastAsia="en-GB"/>
                <w14:ligatures w14:val="none"/>
              </w:rPr>
            </w:pPr>
            <w:r w:rsidRPr="00EB63D4">
              <w:rPr>
                <w:rFonts w:ascii="Arial" w:eastAsia="Times New Roman" w:hAnsi="Arial" w:cs="Arial"/>
                <w:b/>
                <w:bCs/>
                <w:kern w:val="0"/>
                <w:lang w:eastAsia="en-GB"/>
                <w14:ligatures w14:val="none"/>
              </w:rPr>
              <w:t>Revenue (£m)</w:t>
            </w:r>
          </w:p>
        </w:tc>
        <w:tc>
          <w:tcPr>
            <w:tcW w:w="4176" w:type="dxa"/>
            <w:shd w:val="clear" w:color="auto" w:fill="ADADAD" w:themeFill="background2" w:themeFillShade="BF"/>
            <w:vAlign w:val="center"/>
            <w:hideMark/>
          </w:tcPr>
          <w:p w14:paraId="47A1D8E7" w14:textId="77777777" w:rsidR="00EB63D4" w:rsidRPr="00EB63D4" w:rsidRDefault="00EB63D4" w:rsidP="00EB63D4">
            <w:pPr>
              <w:spacing w:after="0" w:line="240" w:lineRule="auto"/>
              <w:jc w:val="center"/>
              <w:rPr>
                <w:rFonts w:ascii="Arial" w:eastAsia="Times New Roman" w:hAnsi="Arial" w:cs="Arial"/>
                <w:b/>
                <w:bCs/>
                <w:kern w:val="0"/>
                <w:lang w:eastAsia="en-GB"/>
                <w14:ligatures w14:val="none"/>
              </w:rPr>
            </w:pPr>
            <w:r w:rsidRPr="00EB63D4">
              <w:rPr>
                <w:rFonts w:ascii="Arial" w:eastAsia="Times New Roman" w:hAnsi="Arial" w:cs="Arial"/>
                <w:b/>
                <w:bCs/>
                <w:kern w:val="0"/>
                <w:lang w:eastAsia="en-GB"/>
                <w14:ligatures w14:val="none"/>
              </w:rPr>
              <w:t>Gross Profit Margin (%)</w:t>
            </w:r>
          </w:p>
        </w:tc>
      </w:tr>
    </w:tbl>
    <w:p w14:paraId="696059DD" w14:textId="77777777" w:rsidR="00EB63D4" w:rsidRPr="00EB63D4" w:rsidRDefault="00EB63D4" w:rsidP="00EB63D4">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639"/>
        <w:gridCol w:w="2047"/>
        <w:gridCol w:w="1559"/>
        <w:gridCol w:w="4252"/>
      </w:tblGrid>
      <w:tr w:rsidR="00EB63D4" w:rsidRPr="00EB63D4" w14:paraId="6DC84EF2" w14:textId="77777777" w:rsidTr="00EB63D4">
        <w:trPr>
          <w:tblCellSpacing w:w="15" w:type="dxa"/>
        </w:trPr>
        <w:tc>
          <w:tcPr>
            <w:tcW w:w="0" w:type="auto"/>
            <w:vAlign w:val="center"/>
            <w:hideMark/>
          </w:tcPr>
          <w:p w14:paraId="3064567E"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2022</w:t>
            </w:r>
          </w:p>
        </w:tc>
        <w:tc>
          <w:tcPr>
            <w:tcW w:w="2017" w:type="dxa"/>
            <w:vAlign w:val="center"/>
            <w:hideMark/>
          </w:tcPr>
          <w:p w14:paraId="1456E622"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4,694</w:t>
            </w:r>
          </w:p>
        </w:tc>
        <w:tc>
          <w:tcPr>
            <w:tcW w:w="1529" w:type="dxa"/>
            <w:vAlign w:val="center"/>
            <w:hideMark/>
          </w:tcPr>
          <w:p w14:paraId="64C76F54"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61,344</w:t>
            </w:r>
          </w:p>
        </w:tc>
        <w:tc>
          <w:tcPr>
            <w:tcW w:w="4207" w:type="dxa"/>
            <w:vAlign w:val="center"/>
            <w:hideMark/>
          </w:tcPr>
          <w:p w14:paraId="5206E692"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7.65</w:t>
            </w:r>
          </w:p>
        </w:tc>
      </w:tr>
    </w:tbl>
    <w:p w14:paraId="388986EF" w14:textId="77777777" w:rsidR="00EB63D4" w:rsidRPr="00EB63D4" w:rsidRDefault="00EB63D4" w:rsidP="00EB63D4">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2060"/>
        <w:gridCol w:w="1559"/>
        <w:gridCol w:w="4252"/>
      </w:tblGrid>
      <w:tr w:rsidR="00EB63D4" w:rsidRPr="00EB63D4" w14:paraId="40AF9A1A" w14:textId="77777777" w:rsidTr="00EB63D4">
        <w:trPr>
          <w:tblCellSpacing w:w="15" w:type="dxa"/>
        </w:trPr>
        <w:tc>
          <w:tcPr>
            <w:tcW w:w="0" w:type="auto"/>
            <w:vAlign w:val="center"/>
            <w:hideMark/>
          </w:tcPr>
          <w:p w14:paraId="0F0A63C2"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2023</w:t>
            </w:r>
          </w:p>
        </w:tc>
        <w:tc>
          <w:tcPr>
            <w:tcW w:w="2030" w:type="dxa"/>
            <w:vAlign w:val="center"/>
            <w:hideMark/>
          </w:tcPr>
          <w:p w14:paraId="1CA1B04B"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4,314</w:t>
            </w:r>
          </w:p>
        </w:tc>
        <w:tc>
          <w:tcPr>
            <w:tcW w:w="1529" w:type="dxa"/>
            <w:vAlign w:val="center"/>
            <w:hideMark/>
          </w:tcPr>
          <w:p w14:paraId="01F4E42C"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65,762</w:t>
            </w:r>
          </w:p>
        </w:tc>
        <w:tc>
          <w:tcPr>
            <w:tcW w:w="4207" w:type="dxa"/>
            <w:vAlign w:val="center"/>
            <w:hideMark/>
          </w:tcPr>
          <w:p w14:paraId="2AE224EE" w14:textId="77777777" w:rsidR="00EB63D4" w:rsidRPr="00EB63D4" w:rsidRDefault="00EB63D4" w:rsidP="00EB63D4">
            <w:pPr>
              <w:spacing w:after="0" w:line="240" w:lineRule="auto"/>
              <w:rPr>
                <w:rFonts w:ascii="Arial" w:eastAsia="Times New Roman" w:hAnsi="Arial" w:cs="Arial"/>
                <w:kern w:val="0"/>
                <w:lang w:eastAsia="en-GB"/>
                <w14:ligatures w14:val="none"/>
              </w:rPr>
            </w:pPr>
            <w:r w:rsidRPr="00EB63D4">
              <w:rPr>
                <w:rFonts w:ascii="Arial" w:eastAsia="Times New Roman" w:hAnsi="Arial" w:cs="Arial"/>
                <w:kern w:val="0"/>
                <w:lang w:eastAsia="en-GB"/>
                <w14:ligatures w14:val="none"/>
              </w:rPr>
              <w:t>6.56</w:t>
            </w:r>
          </w:p>
        </w:tc>
      </w:tr>
    </w:tbl>
    <w:p w14:paraId="330720AF" w14:textId="77777777" w:rsidR="00EB63D4" w:rsidRDefault="00EB63D4" w:rsidP="00EB63D4">
      <w:pPr>
        <w:spacing w:line="480" w:lineRule="auto"/>
        <w:rPr>
          <w:rFonts w:ascii="Arial" w:hAnsi="Arial" w:cs="Arial"/>
        </w:rPr>
      </w:pPr>
    </w:p>
    <w:p w14:paraId="1279E507" w14:textId="157B3759" w:rsidR="00EB63D4" w:rsidRPr="00EB63D4" w:rsidRDefault="00EB63D4" w:rsidP="00EB63D4">
      <w:pPr>
        <w:spacing w:line="480" w:lineRule="auto"/>
        <w:rPr>
          <w:rFonts w:ascii="Arial" w:hAnsi="Arial" w:cs="Arial"/>
          <w:b/>
          <w:bCs/>
        </w:rPr>
      </w:pPr>
      <w:r w:rsidRPr="00EB63D4">
        <w:rPr>
          <w:rFonts w:ascii="Arial" w:hAnsi="Arial" w:cs="Arial"/>
        </w:rPr>
        <w:t xml:space="preserve">Formula: </w:t>
      </w:r>
      <w:r w:rsidRPr="00EB63D4">
        <w:rPr>
          <w:rFonts w:ascii="Arial" w:hAnsi="Arial" w:cs="Arial"/>
          <w:b/>
          <w:bCs/>
        </w:rPr>
        <w:t xml:space="preserve">Gross Profit Margin = (Gross Profit/ Revenue) x 100 </w:t>
      </w:r>
    </w:p>
    <w:p w14:paraId="213580DF" w14:textId="77777777" w:rsidR="00DA434C" w:rsidRDefault="00EB63D4" w:rsidP="00EB63D4">
      <w:pPr>
        <w:spacing w:line="480" w:lineRule="auto"/>
        <w:rPr>
          <w:rFonts w:ascii="Arial" w:hAnsi="Arial" w:cs="Arial"/>
        </w:rPr>
      </w:pPr>
      <w:r w:rsidRPr="00EB63D4">
        <w:rPr>
          <w:rFonts w:ascii="Arial" w:hAnsi="Arial" w:cs="Arial"/>
        </w:rPr>
        <w:t xml:space="preserve">What should be most concerning is the fall from a gross profit margin of 7.65% in 2022 to 6.56% in 2023. In this case, there either had to be an underlying increase in Tesco's production costs, which signifies a cost increase they could have incurred from something such as raw materials and new supply chain costs, or they simply decreased their prices to entice customers to choose Tesco in a period of difficult retail (Haskel &amp; Westlake, </w:t>
      </w:r>
      <w:r w:rsidRPr="00EB63D4">
        <w:rPr>
          <w:rFonts w:ascii="Arial" w:hAnsi="Arial" w:cs="Arial"/>
        </w:rPr>
        <w:t>2018)</w:t>
      </w:r>
      <w:r w:rsidRPr="00EB63D4">
        <w:rPr>
          <w:rFonts w:ascii="Arial" w:hAnsi="Arial" w:cs="Arial"/>
        </w:rPr>
        <w:t xml:space="preserve">. This seems </w:t>
      </w:r>
      <w:r w:rsidR="00DA434C" w:rsidRPr="00EB63D4">
        <w:rPr>
          <w:rFonts w:ascii="Arial" w:hAnsi="Arial" w:cs="Arial"/>
        </w:rPr>
        <w:t>more</w:t>
      </w:r>
      <w:r w:rsidRPr="00EB63D4">
        <w:rPr>
          <w:rFonts w:ascii="Arial" w:hAnsi="Arial" w:cs="Arial"/>
        </w:rPr>
        <w:t xml:space="preserve"> </w:t>
      </w:r>
      <w:r w:rsidR="00DA434C">
        <w:rPr>
          <w:rFonts w:ascii="Arial" w:hAnsi="Arial" w:cs="Arial"/>
        </w:rPr>
        <w:t>significant</w:t>
      </w:r>
      <w:r w:rsidRPr="00EB63D4">
        <w:rPr>
          <w:rFonts w:ascii="Arial" w:hAnsi="Arial" w:cs="Arial"/>
        </w:rPr>
        <w:t xml:space="preserve"> as the trend in consumer spending is shifting from traditional grocery retailers to discount grocery retailers. Hence the </w:t>
      </w:r>
      <w:r w:rsidR="00DA434C">
        <w:rPr>
          <w:rFonts w:ascii="Arial" w:hAnsi="Arial" w:cs="Arial"/>
        </w:rPr>
        <w:t>entrusted</w:t>
      </w:r>
      <w:r w:rsidRPr="00EB63D4">
        <w:rPr>
          <w:rFonts w:ascii="Arial" w:hAnsi="Arial" w:cs="Arial"/>
        </w:rPr>
        <w:t xml:space="preserve"> grocery retailers like Tesco face considerable pressure. </w:t>
      </w:r>
    </w:p>
    <w:p w14:paraId="79AAE284" w14:textId="77777777" w:rsidR="00DA434C" w:rsidRDefault="00DA434C" w:rsidP="00EB63D4">
      <w:pPr>
        <w:spacing w:line="480" w:lineRule="auto"/>
        <w:rPr>
          <w:rFonts w:ascii="Arial" w:hAnsi="Arial" w:cs="Arial"/>
        </w:rPr>
      </w:pPr>
    </w:p>
    <w:p w14:paraId="6AACDB57" w14:textId="2B6A8C7F" w:rsidR="00DA434C" w:rsidRPr="00FE3383" w:rsidRDefault="00EB63D4" w:rsidP="00EB63D4">
      <w:pPr>
        <w:spacing w:line="480" w:lineRule="auto"/>
        <w:rPr>
          <w:rFonts w:ascii="Arial Black" w:hAnsi="Arial Black" w:cs="Arial"/>
          <w:color w:val="4C94D8" w:themeColor="text2" w:themeTint="80"/>
        </w:rPr>
      </w:pPr>
      <w:r w:rsidRPr="00FE3383">
        <w:rPr>
          <w:rFonts w:ascii="Arial Black" w:hAnsi="Arial Black" w:cs="Arial"/>
          <w:color w:val="4C94D8" w:themeColor="text2" w:themeTint="80"/>
        </w:rPr>
        <w:lastRenderedPageBreak/>
        <w:t>Net Profit Margin</w:t>
      </w:r>
    </w:p>
    <w:p w14:paraId="13950370" w14:textId="75CC1F66" w:rsidR="00DA434C" w:rsidRDefault="00EB63D4" w:rsidP="00EB63D4">
      <w:pPr>
        <w:spacing w:line="480" w:lineRule="auto"/>
        <w:rPr>
          <w:rFonts w:ascii="Arial" w:hAnsi="Arial" w:cs="Arial"/>
        </w:rPr>
      </w:pPr>
      <w:r w:rsidRPr="00EB63D4">
        <w:rPr>
          <w:rFonts w:ascii="Arial" w:hAnsi="Arial" w:cs="Arial"/>
        </w:rPr>
        <w:t xml:space="preserve">Net profit margin is another key profitability ratio, as it indicates how many pennies of each pound of revenue relate to net profit after </w:t>
      </w:r>
      <w:r w:rsidR="00DA434C" w:rsidRPr="00EB63D4">
        <w:rPr>
          <w:rFonts w:ascii="Arial" w:hAnsi="Arial" w:cs="Arial"/>
        </w:rPr>
        <w:t>considering</w:t>
      </w:r>
      <w:r w:rsidRPr="00EB63D4">
        <w:rPr>
          <w:rFonts w:ascii="Arial" w:hAnsi="Arial" w:cs="Arial"/>
        </w:rPr>
        <w:t xml:space="preserve"> Net Profit, tax and interest.</w:t>
      </w: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701"/>
        <w:gridCol w:w="2268"/>
        <w:gridCol w:w="2126"/>
        <w:gridCol w:w="3828"/>
      </w:tblGrid>
      <w:tr w:rsidR="00DA434C" w:rsidRPr="00DA434C" w14:paraId="617AFABC" w14:textId="77777777" w:rsidTr="00DA434C">
        <w:trPr>
          <w:tblHeader/>
          <w:tblCellSpacing w:w="15" w:type="dxa"/>
        </w:trPr>
        <w:tc>
          <w:tcPr>
            <w:tcW w:w="656" w:type="dxa"/>
            <w:shd w:val="clear" w:color="auto" w:fill="ADADAD" w:themeFill="background2" w:themeFillShade="BF"/>
            <w:vAlign w:val="center"/>
            <w:hideMark/>
          </w:tcPr>
          <w:p w14:paraId="390D4739" w14:textId="77777777" w:rsidR="00DA434C" w:rsidRPr="00DA434C" w:rsidRDefault="00DA434C" w:rsidP="00DA434C">
            <w:pPr>
              <w:spacing w:after="0" w:line="240" w:lineRule="auto"/>
              <w:jc w:val="center"/>
              <w:rPr>
                <w:rFonts w:ascii="Arial" w:eastAsia="Times New Roman" w:hAnsi="Arial" w:cs="Arial"/>
                <w:b/>
                <w:bCs/>
                <w:kern w:val="0"/>
                <w:lang w:eastAsia="en-GB"/>
                <w14:ligatures w14:val="none"/>
              </w:rPr>
            </w:pPr>
            <w:r w:rsidRPr="00DA434C">
              <w:rPr>
                <w:rFonts w:ascii="Arial" w:eastAsia="Times New Roman" w:hAnsi="Arial" w:cs="Arial"/>
                <w:b/>
                <w:bCs/>
                <w:kern w:val="0"/>
                <w:lang w:eastAsia="en-GB"/>
                <w14:ligatures w14:val="none"/>
              </w:rPr>
              <w:t>Year</w:t>
            </w:r>
          </w:p>
        </w:tc>
        <w:tc>
          <w:tcPr>
            <w:tcW w:w="2238" w:type="dxa"/>
            <w:shd w:val="clear" w:color="auto" w:fill="ADADAD" w:themeFill="background2" w:themeFillShade="BF"/>
            <w:vAlign w:val="center"/>
            <w:hideMark/>
          </w:tcPr>
          <w:p w14:paraId="4D722A27" w14:textId="77777777" w:rsidR="00DA434C" w:rsidRPr="00DA434C" w:rsidRDefault="00DA434C" w:rsidP="00DA434C">
            <w:pPr>
              <w:spacing w:after="0" w:line="240" w:lineRule="auto"/>
              <w:jc w:val="center"/>
              <w:rPr>
                <w:rFonts w:ascii="Arial" w:eastAsia="Times New Roman" w:hAnsi="Arial" w:cs="Arial"/>
                <w:b/>
                <w:bCs/>
                <w:kern w:val="0"/>
                <w:lang w:eastAsia="en-GB"/>
                <w14:ligatures w14:val="none"/>
              </w:rPr>
            </w:pPr>
            <w:r w:rsidRPr="00DA434C">
              <w:rPr>
                <w:rFonts w:ascii="Arial" w:eastAsia="Times New Roman" w:hAnsi="Arial" w:cs="Arial"/>
                <w:b/>
                <w:bCs/>
                <w:kern w:val="0"/>
                <w:lang w:eastAsia="en-GB"/>
                <w14:ligatures w14:val="none"/>
              </w:rPr>
              <w:t>Net Profit (£m)</w:t>
            </w:r>
          </w:p>
        </w:tc>
        <w:tc>
          <w:tcPr>
            <w:tcW w:w="2096" w:type="dxa"/>
            <w:shd w:val="clear" w:color="auto" w:fill="ADADAD" w:themeFill="background2" w:themeFillShade="BF"/>
            <w:vAlign w:val="center"/>
            <w:hideMark/>
          </w:tcPr>
          <w:p w14:paraId="2FC7E8D8" w14:textId="77777777" w:rsidR="00DA434C" w:rsidRPr="00DA434C" w:rsidRDefault="00DA434C" w:rsidP="00DA434C">
            <w:pPr>
              <w:spacing w:after="0" w:line="240" w:lineRule="auto"/>
              <w:jc w:val="center"/>
              <w:rPr>
                <w:rFonts w:ascii="Arial" w:eastAsia="Times New Roman" w:hAnsi="Arial" w:cs="Arial"/>
                <w:b/>
                <w:bCs/>
                <w:kern w:val="0"/>
                <w:lang w:eastAsia="en-GB"/>
                <w14:ligatures w14:val="none"/>
              </w:rPr>
            </w:pPr>
            <w:r w:rsidRPr="00DA434C">
              <w:rPr>
                <w:rFonts w:ascii="Arial" w:eastAsia="Times New Roman" w:hAnsi="Arial" w:cs="Arial"/>
                <w:b/>
                <w:bCs/>
                <w:kern w:val="0"/>
                <w:lang w:eastAsia="en-GB"/>
                <w14:ligatures w14:val="none"/>
              </w:rPr>
              <w:t>Revenue (£m)</w:t>
            </w:r>
          </w:p>
        </w:tc>
        <w:tc>
          <w:tcPr>
            <w:tcW w:w="3783" w:type="dxa"/>
            <w:shd w:val="clear" w:color="auto" w:fill="ADADAD" w:themeFill="background2" w:themeFillShade="BF"/>
            <w:vAlign w:val="center"/>
            <w:hideMark/>
          </w:tcPr>
          <w:p w14:paraId="233C75AC" w14:textId="77777777" w:rsidR="00DA434C" w:rsidRPr="00DA434C" w:rsidRDefault="00DA434C" w:rsidP="00DA434C">
            <w:pPr>
              <w:spacing w:after="0" w:line="240" w:lineRule="auto"/>
              <w:jc w:val="center"/>
              <w:rPr>
                <w:rFonts w:ascii="Arial" w:eastAsia="Times New Roman" w:hAnsi="Arial" w:cs="Arial"/>
                <w:b/>
                <w:bCs/>
                <w:kern w:val="0"/>
                <w:lang w:eastAsia="en-GB"/>
                <w14:ligatures w14:val="none"/>
              </w:rPr>
            </w:pPr>
            <w:r w:rsidRPr="00DA434C">
              <w:rPr>
                <w:rFonts w:ascii="Arial" w:eastAsia="Times New Roman" w:hAnsi="Arial" w:cs="Arial"/>
                <w:b/>
                <w:bCs/>
                <w:kern w:val="0"/>
                <w:lang w:eastAsia="en-GB"/>
                <w14:ligatures w14:val="none"/>
              </w:rPr>
              <w:t>Net Profit Margin (%)</w:t>
            </w:r>
          </w:p>
        </w:tc>
      </w:tr>
    </w:tbl>
    <w:p w14:paraId="45F1E16D" w14:textId="77777777" w:rsidR="00DA434C" w:rsidRPr="00DA434C" w:rsidRDefault="00DA434C" w:rsidP="00DA43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701"/>
        <w:gridCol w:w="2268"/>
        <w:gridCol w:w="2126"/>
        <w:gridCol w:w="3828"/>
      </w:tblGrid>
      <w:tr w:rsidR="00DA434C" w:rsidRPr="00DA434C" w14:paraId="039393B3" w14:textId="77777777" w:rsidTr="00DA434C">
        <w:trPr>
          <w:tblCellSpacing w:w="15" w:type="dxa"/>
        </w:trPr>
        <w:tc>
          <w:tcPr>
            <w:tcW w:w="656" w:type="dxa"/>
            <w:vAlign w:val="center"/>
            <w:hideMark/>
          </w:tcPr>
          <w:p w14:paraId="6B61F859"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2022</w:t>
            </w:r>
          </w:p>
        </w:tc>
        <w:tc>
          <w:tcPr>
            <w:tcW w:w="2238" w:type="dxa"/>
            <w:vAlign w:val="center"/>
            <w:hideMark/>
          </w:tcPr>
          <w:p w14:paraId="288161CC"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1,483</w:t>
            </w:r>
          </w:p>
        </w:tc>
        <w:tc>
          <w:tcPr>
            <w:tcW w:w="2096" w:type="dxa"/>
            <w:vAlign w:val="center"/>
            <w:hideMark/>
          </w:tcPr>
          <w:p w14:paraId="0691A581"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61,344</w:t>
            </w:r>
          </w:p>
        </w:tc>
        <w:tc>
          <w:tcPr>
            <w:tcW w:w="3783" w:type="dxa"/>
            <w:vAlign w:val="center"/>
            <w:hideMark/>
          </w:tcPr>
          <w:p w14:paraId="1C8709E7"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2.42</w:t>
            </w:r>
          </w:p>
        </w:tc>
      </w:tr>
    </w:tbl>
    <w:p w14:paraId="4F95F705" w14:textId="77777777" w:rsidR="00DA434C" w:rsidRPr="00DA434C" w:rsidRDefault="00DA434C" w:rsidP="00DA43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701"/>
        <w:gridCol w:w="2268"/>
        <w:gridCol w:w="2126"/>
        <w:gridCol w:w="3828"/>
      </w:tblGrid>
      <w:tr w:rsidR="00DA434C" w:rsidRPr="00DA434C" w14:paraId="3EFFA27F" w14:textId="77777777" w:rsidTr="00DA434C">
        <w:trPr>
          <w:tblCellSpacing w:w="15" w:type="dxa"/>
        </w:trPr>
        <w:tc>
          <w:tcPr>
            <w:tcW w:w="656" w:type="dxa"/>
            <w:vAlign w:val="center"/>
            <w:hideMark/>
          </w:tcPr>
          <w:p w14:paraId="47324F1C"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2023</w:t>
            </w:r>
          </w:p>
        </w:tc>
        <w:tc>
          <w:tcPr>
            <w:tcW w:w="2238" w:type="dxa"/>
            <w:vAlign w:val="center"/>
            <w:hideMark/>
          </w:tcPr>
          <w:p w14:paraId="7011CC45"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744</w:t>
            </w:r>
          </w:p>
        </w:tc>
        <w:tc>
          <w:tcPr>
            <w:tcW w:w="2096" w:type="dxa"/>
            <w:vAlign w:val="center"/>
            <w:hideMark/>
          </w:tcPr>
          <w:p w14:paraId="75D670DE"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65,762</w:t>
            </w:r>
          </w:p>
        </w:tc>
        <w:tc>
          <w:tcPr>
            <w:tcW w:w="3783" w:type="dxa"/>
            <w:vAlign w:val="center"/>
            <w:hideMark/>
          </w:tcPr>
          <w:p w14:paraId="3EB4F3F4" w14:textId="77777777" w:rsidR="00DA434C" w:rsidRPr="00DA434C" w:rsidRDefault="00DA434C" w:rsidP="00DA434C">
            <w:pPr>
              <w:spacing w:after="0" w:line="240" w:lineRule="auto"/>
              <w:rPr>
                <w:rFonts w:ascii="Arial" w:eastAsia="Times New Roman" w:hAnsi="Arial" w:cs="Arial"/>
                <w:kern w:val="0"/>
                <w:lang w:eastAsia="en-GB"/>
                <w14:ligatures w14:val="none"/>
              </w:rPr>
            </w:pPr>
            <w:r w:rsidRPr="00DA434C">
              <w:rPr>
                <w:rFonts w:ascii="Arial" w:eastAsia="Times New Roman" w:hAnsi="Arial" w:cs="Arial"/>
                <w:kern w:val="0"/>
                <w:lang w:eastAsia="en-GB"/>
                <w14:ligatures w14:val="none"/>
              </w:rPr>
              <w:t>1.13</w:t>
            </w:r>
          </w:p>
        </w:tc>
      </w:tr>
    </w:tbl>
    <w:p w14:paraId="5386F4FC" w14:textId="77777777" w:rsidR="00DA434C" w:rsidRDefault="00DA434C" w:rsidP="00EB63D4">
      <w:pPr>
        <w:spacing w:line="480" w:lineRule="auto"/>
        <w:rPr>
          <w:rFonts w:ascii="Arial" w:hAnsi="Arial" w:cs="Arial"/>
        </w:rPr>
      </w:pPr>
    </w:p>
    <w:p w14:paraId="4046FA93" w14:textId="77777777" w:rsidR="007308EF" w:rsidRDefault="00EB63D4" w:rsidP="00EB63D4">
      <w:pPr>
        <w:spacing w:line="480" w:lineRule="auto"/>
        <w:rPr>
          <w:rFonts w:ascii="Arial" w:hAnsi="Arial" w:cs="Arial"/>
        </w:rPr>
      </w:pPr>
      <w:r w:rsidRPr="00EB63D4">
        <w:rPr>
          <w:rFonts w:ascii="Arial" w:hAnsi="Arial" w:cs="Arial"/>
        </w:rPr>
        <w:t xml:space="preserve">Formula: </w:t>
      </w:r>
      <w:r w:rsidRPr="007308EF">
        <w:rPr>
          <w:rFonts w:ascii="Arial" w:hAnsi="Arial" w:cs="Arial"/>
          <w:b/>
          <w:bCs/>
        </w:rPr>
        <w:t xml:space="preserve">Net Profit Margin = (Net Profit / Revenue) x 100 </w:t>
      </w:r>
    </w:p>
    <w:p w14:paraId="6F34D468" w14:textId="77777777" w:rsidR="007308EF" w:rsidRDefault="007308EF" w:rsidP="00EB63D4">
      <w:pPr>
        <w:spacing w:line="480" w:lineRule="auto"/>
        <w:rPr>
          <w:rFonts w:ascii="Arial" w:hAnsi="Arial" w:cs="Arial"/>
        </w:rPr>
      </w:pPr>
      <w:r w:rsidRPr="00EB63D4">
        <w:rPr>
          <w:rFonts w:ascii="Arial" w:hAnsi="Arial" w:cs="Arial"/>
        </w:rPr>
        <w:t>Again,</w:t>
      </w:r>
      <w:r w:rsidR="00EB63D4" w:rsidRPr="00EB63D4">
        <w:rPr>
          <w:rFonts w:ascii="Arial" w:hAnsi="Arial" w:cs="Arial"/>
        </w:rPr>
        <w:t xml:space="preserve"> the significant fall in net profit margin from 2.42% in 2022 to 1.13% in 2023 indicates a substantial decline</w:t>
      </w:r>
      <w:r>
        <w:rPr>
          <w:rFonts w:ascii="Arial" w:hAnsi="Arial" w:cs="Arial"/>
        </w:rPr>
        <w:t xml:space="preserve">. </w:t>
      </w:r>
      <w:r w:rsidRPr="00EB63D4">
        <w:rPr>
          <w:rFonts w:ascii="Arial" w:hAnsi="Arial" w:cs="Arial"/>
        </w:rPr>
        <w:t>This</w:t>
      </w:r>
      <w:r w:rsidR="00EB63D4" w:rsidRPr="00EB63D4">
        <w:rPr>
          <w:rFonts w:ascii="Arial" w:hAnsi="Arial" w:cs="Arial"/>
        </w:rPr>
        <w:t xml:space="preserve"> indicates that although revenue is up, the company's unavoidable costs of running its operations, particularly </w:t>
      </w:r>
      <w:r w:rsidRPr="00EB63D4">
        <w:rPr>
          <w:rFonts w:ascii="Arial" w:hAnsi="Arial" w:cs="Arial"/>
        </w:rPr>
        <w:t>labour</w:t>
      </w:r>
      <w:r w:rsidR="00EB63D4" w:rsidRPr="00EB63D4">
        <w:rPr>
          <w:rFonts w:ascii="Arial" w:hAnsi="Arial" w:cs="Arial"/>
        </w:rPr>
        <w:t>, logistics, and inventory have substantially increased. Furthermore, the reduction in sales in 2022 is likely a result of a larger commitment to digital transformation, store improvements, and sustainability (Brown, 2019) costing the bottom line.</w:t>
      </w:r>
    </w:p>
    <w:p w14:paraId="2DD11FD1" w14:textId="77777777" w:rsidR="007308EF" w:rsidRPr="00D826CD" w:rsidRDefault="00EB63D4" w:rsidP="00EB63D4">
      <w:pPr>
        <w:spacing w:line="480" w:lineRule="auto"/>
        <w:rPr>
          <w:rFonts w:ascii="Arial Black" w:hAnsi="Arial Black" w:cs="Arial"/>
          <w:color w:val="4C94D8" w:themeColor="text2" w:themeTint="80"/>
        </w:rPr>
      </w:pPr>
      <w:r w:rsidRPr="00D826CD">
        <w:rPr>
          <w:rFonts w:ascii="Arial Black" w:hAnsi="Arial Black" w:cs="Arial"/>
          <w:color w:val="4C94D8" w:themeColor="text2" w:themeTint="80"/>
        </w:rPr>
        <w:t>Liquidity Ratios</w:t>
      </w:r>
    </w:p>
    <w:p w14:paraId="0641CBAA" w14:textId="77777777" w:rsidR="007308EF" w:rsidRDefault="00EB63D4" w:rsidP="00EB63D4">
      <w:pPr>
        <w:spacing w:line="480" w:lineRule="auto"/>
        <w:rPr>
          <w:rFonts w:ascii="Arial" w:hAnsi="Arial" w:cs="Arial"/>
        </w:rPr>
      </w:pPr>
      <w:r w:rsidRPr="00EB63D4">
        <w:rPr>
          <w:rFonts w:ascii="Arial" w:hAnsi="Arial" w:cs="Arial"/>
        </w:rPr>
        <w:t>Liquidity ratios are essential when measuring a company's ability to cover short-term debt. For Tesco, maintaining enough liquidity is paramount to the company's ability to satisfy its operational needs without threatening to compromise its financial viability.</w:t>
      </w:r>
    </w:p>
    <w:p w14:paraId="13F2EDEE" w14:textId="77777777" w:rsidR="007308EF" w:rsidRPr="00D826CD" w:rsidRDefault="00EB63D4" w:rsidP="00EB63D4">
      <w:pPr>
        <w:spacing w:line="480" w:lineRule="auto"/>
        <w:rPr>
          <w:rFonts w:ascii="Arial Black" w:hAnsi="Arial Black" w:cs="Arial"/>
          <w:color w:val="4C94D8" w:themeColor="text2" w:themeTint="80"/>
        </w:rPr>
      </w:pPr>
      <w:r w:rsidRPr="00D826CD">
        <w:rPr>
          <w:rFonts w:ascii="Arial Black" w:hAnsi="Arial Black" w:cs="Arial"/>
          <w:color w:val="4C94D8" w:themeColor="text2" w:themeTint="80"/>
        </w:rPr>
        <w:t>Current Ratio</w:t>
      </w:r>
    </w:p>
    <w:p w14:paraId="2C79C155" w14:textId="77777777" w:rsidR="007308EF" w:rsidRDefault="00EB63D4" w:rsidP="00EB63D4">
      <w:pPr>
        <w:spacing w:line="480" w:lineRule="auto"/>
        <w:rPr>
          <w:rFonts w:ascii="Arial" w:hAnsi="Arial" w:cs="Arial"/>
        </w:rPr>
      </w:pPr>
      <w:r w:rsidRPr="00EB63D4">
        <w:rPr>
          <w:rFonts w:ascii="Arial" w:hAnsi="Arial" w:cs="Arial"/>
        </w:rPr>
        <w:t xml:space="preserve">The current ratio compares current assets versus current </w:t>
      </w:r>
      <w:r w:rsidR="007308EF" w:rsidRPr="00EB63D4">
        <w:rPr>
          <w:rFonts w:ascii="Arial" w:hAnsi="Arial" w:cs="Arial"/>
        </w:rPr>
        <w:t>liabilities and</w:t>
      </w:r>
      <w:r w:rsidRPr="00EB63D4">
        <w:rPr>
          <w:rFonts w:ascii="Arial" w:hAnsi="Arial" w:cs="Arial"/>
        </w:rPr>
        <w:t xml:space="preserve"> allows a company to determine whether it has sufficient short-term assets to pay off short-term liabilities. </w:t>
      </w: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268"/>
        <w:gridCol w:w="2693"/>
        <w:gridCol w:w="2694"/>
        <w:gridCol w:w="2409"/>
      </w:tblGrid>
      <w:tr w:rsidR="007308EF" w:rsidRPr="007308EF" w14:paraId="1B66F067" w14:textId="77777777" w:rsidTr="007308EF">
        <w:trPr>
          <w:tblHeader/>
          <w:tblCellSpacing w:w="15" w:type="dxa"/>
        </w:trPr>
        <w:tc>
          <w:tcPr>
            <w:tcW w:w="1223" w:type="dxa"/>
            <w:shd w:val="clear" w:color="auto" w:fill="ADADAD" w:themeFill="background2" w:themeFillShade="BF"/>
            <w:vAlign w:val="center"/>
            <w:hideMark/>
          </w:tcPr>
          <w:p w14:paraId="4E9B001F" w14:textId="77777777" w:rsidR="007308EF" w:rsidRPr="007308EF" w:rsidRDefault="007308EF" w:rsidP="007308EF">
            <w:pPr>
              <w:spacing w:after="0" w:line="240" w:lineRule="auto"/>
              <w:jc w:val="center"/>
              <w:rPr>
                <w:rFonts w:ascii="Times New Roman" w:eastAsia="Times New Roman" w:hAnsi="Times New Roman" w:cs="Times New Roman"/>
                <w:b/>
                <w:bCs/>
                <w:kern w:val="0"/>
                <w:lang w:eastAsia="en-GB"/>
                <w14:ligatures w14:val="none"/>
              </w:rPr>
            </w:pPr>
            <w:r w:rsidRPr="007308EF">
              <w:rPr>
                <w:rFonts w:ascii="Times New Roman" w:eastAsia="Times New Roman" w:hAnsi="Times New Roman" w:cs="Times New Roman"/>
                <w:b/>
                <w:bCs/>
                <w:kern w:val="0"/>
                <w:lang w:eastAsia="en-GB"/>
                <w14:ligatures w14:val="none"/>
              </w:rPr>
              <w:lastRenderedPageBreak/>
              <w:t>Year</w:t>
            </w:r>
          </w:p>
        </w:tc>
        <w:tc>
          <w:tcPr>
            <w:tcW w:w="2663" w:type="dxa"/>
            <w:shd w:val="clear" w:color="auto" w:fill="ADADAD" w:themeFill="background2" w:themeFillShade="BF"/>
            <w:vAlign w:val="center"/>
            <w:hideMark/>
          </w:tcPr>
          <w:p w14:paraId="2B6076B6" w14:textId="77777777" w:rsidR="007308EF" w:rsidRPr="007308EF" w:rsidRDefault="007308EF" w:rsidP="007308EF">
            <w:pPr>
              <w:spacing w:after="0" w:line="240" w:lineRule="auto"/>
              <w:jc w:val="center"/>
              <w:rPr>
                <w:rFonts w:ascii="Times New Roman" w:eastAsia="Times New Roman" w:hAnsi="Times New Roman" w:cs="Times New Roman"/>
                <w:b/>
                <w:bCs/>
                <w:kern w:val="0"/>
                <w:lang w:eastAsia="en-GB"/>
                <w14:ligatures w14:val="none"/>
              </w:rPr>
            </w:pPr>
            <w:r w:rsidRPr="007308EF">
              <w:rPr>
                <w:rFonts w:ascii="Times New Roman" w:eastAsia="Times New Roman" w:hAnsi="Times New Roman" w:cs="Times New Roman"/>
                <w:b/>
                <w:bCs/>
                <w:kern w:val="0"/>
                <w:lang w:eastAsia="en-GB"/>
                <w14:ligatures w14:val="none"/>
              </w:rPr>
              <w:t>Current Assets (£m)</w:t>
            </w:r>
          </w:p>
        </w:tc>
        <w:tc>
          <w:tcPr>
            <w:tcW w:w="2664" w:type="dxa"/>
            <w:shd w:val="clear" w:color="auto" w:fill="ADADAD" w:themeFill="background2" w:themeFillShade="BF"/>
            <w:vAlign w:val="center"/>
            <w:hideMark/>
          </w:tcPr>
          <w:p w14:paraId="2EB6E89A" w14:textId="77777777" w:rsidR="007308EF" w:rsidRPr="007308EF" w:rsidRDefault="007308EF" w:rsidP="007308EF">
            <w:pPr>
              <w:spacing w:after="0" w:line="240" w:lineRule="auto"/>
              <w:jc w:val="center"/>
              <w:rPr>
                <w:rFonts w:ascii="Times New Roman" w:eastAsia="Times New Roman" w:hAnsi="Times New Roman" w:cs="Times New Roman"/>
                <w:b/>
                <w:bCs/>
                <w:kern w:val="0"/>
                <w:lang w:eastAsia="en-GB"/>
                <w14:ligatures w14:val="none"/>
              </w:rPr>
            </w:pPr>
            <w:r w:rsidRPr="007308EF">
              <w:rPr>
                <w:rFonts w:ascii="Times New Roman" w:eastAsia="Times New Roman" w:hAnsi="Times New Roman" w:cs="Times New Roman"/>
                <w:b/>
                <w:bCs/>
                <w:kern w:val="0"/>
                <w:lang w:eastAsia="en-GB"/>
                <w14:ligatures w14:val="none"/>
              </w:rPr>
              <w:t>Current Liabilities (£m)</w:t>
            </w:r>
          </w:p>
        </w:tc>
        <w:tc>
          <w:tcPr>
            <w:tcW w:w="2364" w:type="dxa"/>
            <w:shd w:val="clear" w:color="auto" w:fill="ADADAD" w:themeFill="background2" w:themeFillShade="BF"/>
            <w:vAlign w:val="center"/>
            <w:hideMark/>
          </w:tcPr>
          <w:p w14:paraId="3A063689" w14:textId="77777777" w:rsidR="007308EF" w:rsidRPr="007308EF" w:rsidRDefault="007308EF" w:rsidP="007308EF">
            <w:pPr>
              <w:spacing w:after="0" w:line="240" w:lineRule="auto"/>
              <w:jc w:val="center"/>
              <w:rPr>
                <w:rFonts w:ascii="Times New Roman" w:eastAsia="Times New Roman" w:hAnsi="Times New Roman" w:cs="Times New Roman"/>
                <w:b/>
                <w:bCs/>
                <w:kern w:val="0"/>
                <w:lang w:eastAsia="en-GB"/>
                <w14:ligatures w14:val="none"/>
              </w:rPr>
            </w:pPr>
            <w:r w:rsidRPr="007308EF">
              <w:rPr>
                <w:rFonts w:ascii="Times New Roman" w:eastAsia="Times New Roman" w:hAnsi="Times New Roman" w:cs="Times New Roman"/>
                <w:b/>
                <w:bCs/>
                <w:kern w:val="0"/>
                <w:lang w:eastAsia="en-GB"/>
                <w14:ligatures w14:val="none"/>
              </w:rPr>
              <w:t>Current Ratio</w:t>
            </w:r>
          </w:p>
        </w:tc>
      </w:tr>
    </w:tbl>
    <w:p w14:paraId="57214F99" w14:textId="77777777" w:rsidR="007308EF" w:rsidRPr="007308EF" w:rsidRDefault="007308EF" w:rsidP="007308EF">
      <w:pPr>
        <w:spacing w:after="0" w:line="240" w:lineRule="auto"/>
        <w:rPr>
          <w:rFonts w:ascii="Times New Roman" w:eastAsia="Times New Roman" w:hAnsi="Times New Roman" w:cs="Times New Roman"/>
          <w:vanish/>
          <w:kern w:val="0"/>
          <w:lang w:eastAsia="en-GB"/>
          <w14:ligatures w14:val="none"/>
        </w:rPr>
      </w:pP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268"/>
        <w:gridCol w:w="2693"/>
        <w:gridCol w:w="2694"/>
        <w:gridCol w:w="2409"/>
      </w:tblGrid>
      <w:tr w:rsidR="007308EF" w:rsidRPr="007308EF" w14:paraId="0B285F21" w14:textId="77777777" w:rsidTr="007308EF">
        <w:trPr>
          <w:tblCellSpacing w:w="15" w:type="dxa"/>
        </w:trPr>
        <w:tc>
          <w:tcPr>
            <w:tcW w:w="1223" w:type="dxa"/>
            <w:vAlign w:val="center"/>
            <w:hideMark/>
          </w:tcPr>
          <w:p w14:paraId="33F7728E"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2022</w:t>
            </w:r>
          </w:p>
        </w:tc>
        <w:tc>
          <w:tcPr>
            <w:tcW w:w="2663" w:type="dxa"/>
            <w:vAlign w:val="center"/>
            <w:hideMark/>
          </w:tcPr>
          <w:p w14:paraId="36F2807C"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14,134</w:t>
            </w:r>
          </w:p>
        </w:tc>
        <w:tc>
          <w:tcPr>
            <w:tcW w:w="2664" w:type="dxa"/>
            <w:vAlign w:val="center"/>
            <w:hideMark/>
          </w:tcPr>
          <w:p w14:paraId="1037F928"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14,056</w:t>
            </w:r>
          </w:p>
        </w:tc>
        <w:tc>
          <w:tcPr>
            <w:tcW w:w="2364" w:type="dxa"/>
            <w:vAlign w:val="center"/>
            <w:hideMark/>
          </w:tcPr>
          <w:p w14:paraId="4E5E1A6B"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1.01</w:t>
            </w:r>
          </w:p>
        </w:tc>
      </w:tr>
    </w:tbl>
    <w:p w14:paraId="26D629D1" w14:textId="77777777" w:rsidR="007308EF" w:rsidRPr="007308EF" w:rsidRDefault="007308EF" w:rsidP="007308EF">
      <w:pPr>
        <w:spacing w:after="0" w:line="240" w:lineRule="auto"/>
        <w:rPr>
          <w:rFonts w:ascii="Times New Roman" w:eastAsia="Times New Roman" w:hAnsi="Times New Roman" w:cs="Times New Roman"/>
          <w:vanish/>
          <w:kern w:val="0"/>
          <w:lang w:eastAsia="en-GB"/>
          <w14:ligatures w14:val="none"/>
        </w:rPr>
      </w:pP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268"/>
        <w:gridCol w:w="2693"/>
        <w:gridCol w:w="2694"/>
        <w:gridCol w:w="2409"/>
      </w:tblGrid>
      <w:tr w:rsidR="007308EF" w:rsidRPr="007308EF" w14:paraId="6822BFA3" w14:textId="77777777" w:rsidTr="007308EF">
        <w:trPr>
          <w:tblCellSpacing w:w="15" w:type="dxa"/>
        </w:trPr>
        <w:tc>
          <w:tcPr>
            <w:tcW w:w="1223" w:type="dxa"/>
            <w:vAlign w:val="center"/>
            <w:hideMark/>
          </w:tcPr>
          <w:p w14:paraId="010EEC94"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2023</w:t>
            </w:r>
          </w:p>
        </w:tc>
        <w:tc>
          <w:tcPr>
            <w:tcW w:w="2663" w:type="dxa"/>
            <w:vAlign w:val="center"/>
            <w:hideMark/>
          </w:tcPr>
          <w:p w14:paraId="34969F57"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14,699</w:t>
            </w:r>
          </w:p>
        </w:tc>
        <w:tc>
          <w:tcPr>
            <w:tcW w:w="2664" w:type="dxa"/>
            <w:vAlign w:val="center"/>
            <w:hideMark/>
          </w:tcPr>
          <w:p w14:paraId="116BA194"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14,820</w:t>
            </w:r>
          </w:p>
        </w:tc>
        <w:tc>
          <w:tcPr>
            <w:tcW w:w="2364" w:type="dxa"/>
            <w:vAlign w:val="center"/>
            <w:hideMark/>
          </w:tcPr>
          <w:p w14:paraId="692268FE" w14:textId="77777777" w:rsidR="007308EF" w:rsidRPr="007308EF" w:rsidRDefault="007308EF" w:rsidP="007308EF">
            <w:pPr>
              <w:spacing w:after="0" w:line="240" w:lineRule="auto"/>
              <w:rPr>
                <w:rFonts w:ascii="Times New Roman" w:eastAsia="Times New Roman" w:hAnsi="Times New Roman" w:cs="Times New Roman"/>
                <w:kern w:val="0"/>
                <w:lang w:eastAsia="en-GB"/>
                <w14:ligatures w14:val="none"/>
              </w:rPr>
            </w:pPr>
            <w:r w:rsidRPr="007308EF">
              <w:rPr>
                <w:rFonts w:ascii="Times New Roman" w:eastAsia="Times New Roman" w:hAnsi="Times New Roman" w:cs="Times New Roman"/>
                <w:kern w:val="0"/>
                <w:lang w:eastAsia="en-GB"/>
                <w14:ligatures w14:val="none"/>
              </w:rPr>
              <w:t>0.99</w:t>
            </w:r>
          </w:p>
        </w:tc>
      </w:tr>
    </w:tbl>
    <w:p w14:paraId="0F331587" w14:textId="77777777" w:rsidR="007308EF" w:rsidRDefault="007308EF" w:rsidP="00EB63D4">
      <w:pPr>
        <w:spacing w:line="480" w:lineRule="auto"/>
        <w:rPr>
          <w:rFonts w:ascii="Arial" w:hAnsi="Arial" w:cs="Arial"/>
        </w:rPr>
      </w:pPr>
    </w:p>
    <w:p w14:paraId="09863CCB" w14:textId="217ECE67" w:rsidR="007308EF" w:rsidRDefault="007308EF" w:rsidP="00EB63D4">
      <w:pPr>
        <w:spacing w:line="480" w:lineRule="auto"/>
        <w:rPr>
          <w:rFonts w:ascii="Arial" w:hAnsi="Arial" w:cs="Arial"/>
        </w:rPr>
      </w:pPr>
      <w:r>
        <w:rPr>
          <w:rFonts w:ascii="Arial" w:hAnsi="Arial" w:cs="Arial"/>
        </w:rPr>
        <w:t xml:space="preserve">Formula: </w:t>
      </w:r>
      <w:r w:rsidR="00EB63D4" w:rsidRPr="007308EF">
        <w:rPr>
          <w:rFonts w:ascii="Arial" w:hAnsi="Arial" w:cs="Arial"/>
          <w:b/>
          <w:bCs/>
        </w:rPr>
        <w:t>Current Ratio = Current Assets / Current Liabilities</w:t>
      </w:r>
    </w:p>
    <w:p w14:paraId="1B5E237E" w14:textId="0388AD2A" w:rsidR="007308EF" w:rsidRDefault="00EB63D4" w:rsidP="00EB63D4">
      <w:pPr>
        <w:spacing w:line="480" w:lineRule="auto"/>
        <w:rPr>
          <w:rFonts w:ascii="Arial" w:hAnsi="Arial" w:cs="Arial"/>
        </w:rPr>
      </w:pPr>
      <w:r w:rsidRPr="00EB63D4">
        <w:rPr>
          <w:rFonts w:ascii="Arial" w:hAnsi="Arial" w:cs="Arial"/>
        </w:rPr>
        <w:t xml:space="preserve">In 2023, the current ratio reduced from a current ratio of 1.01 back to 0.99. A current ratio below 1 indicates that Tesco may have difficulty paying one year of liabilities using one year of current assets. While the company remains near balance, liquidity risk </w:t>
      </w:r>
      <w:r w:rsidR="007308EF" w:rsidRPr="00EB63D4">
        <w:rPr>
          <w:rFonts w:ascii="Arial" w:hAnsi="Arial" w:cs="Arial"/>
        </w:rPr>
        <w:t>exists,</w:t>
      </w:r>
      <w:r w:rsidRPr="00EB63D4">
        <w:rPr>
          <w:rFonts w:ascii="Arial" w:hAnsi="Arial" w:cs="Arial"/>
        </w:rPr>
        <w:t xml:space="preserve"> and it may require additional financing or changes to turnover rates of working capital </w:t>
      </w:r>
      <w:r w:rsidR="007308EF" w:rsidRPr="00EB63D4">
        <w:rPr>
          <w:rFonts w:ascii="Arial" w:hAnsi="Arial" w:cs="Arial"/>
        </w:rPr>
        <w:t>to</w:t>
      </w:r>
      <w:r w:rsidRPr="00EB63D4">
        <w:rPr>
          <w:rFonts w:ascii="Arial" w:hAnsi="Arial" w:cs="Arial"/>
        </w:rPr>
        <w:t xml:space="preserve"> guarantee it does not find itself with no liquidity (Higgins, 2012).</w:t>
      </w:r>
    </w:p>
    <w:p w14:paraId="02183FFC" w14:textId="77777777" w:rsidR="007308EF" w:rsidRPr="00D826CD" w:rsidRDefault="00EB63D4" w:rsidP="00EB63D4">
      <w:pPr>
        <w:spacing w:line="480" w:lineRule="auto"/>
        <w:rPr>
          <w:rFonts w:ascii="Arial Black" w:hAnsi="Arial Black" w:cs="Arial"/>
          <w:color w:val="4C94D8" w:themeColor="text2" w:themeTint="80"/>
        </w:rPr>
      </w:pPr>
      <w:r w:rsidRPr="00D826CD">
        <w:rPr>
          <w:rFonts w:ascii="Arial Black" w:hAnsi="Arial Black" w:cs="Arial"/>
          <w:color w:val="4C94D8" w:themeColor="text2" w:themeTint="80"/>
        </w:rPr>
        <w:t>Quick Ratio</w:t>
      </w:r>
    </w:p>
    <w:p w14:paraId="034D9EAA" w14:textId="77777777" w:rsidR="007308EF" w:rsidRDefault="00EB63D4" w:rsidP="00EB63D4">
      <w:pPr>
        <w:spacing w:line="480" w:lineRule="auto"/>
        <w:rPr>
          <w:rFonts w:ascii="Arial" w:hAnsi="Arial" w:cs="Arial"/>
        </w:rPr>
      </w:pPr>
      <w:r w:rsidRPr="00EB63D4">
        <w:rPr>
          <w:rFonts w:ascii="Arial" w:hAnsi="Arial" w:cs="Arial"/>
        </w:rPr>
        <w:t>Quick ratio (or acid-test ratio) excludes inventory from current assets, thus provides a more stringent test of liquidity position of a company.</w:t>
      </w: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985"/>
        <w:gridCol w:w="3543"/>
        <w:gridCol w:w="2694"/>
        <w:gridCol w:w="1842"/>
      </w:tblGrid>
      <w:tr w:rsidR="007308EF" w:rsidRPr="007308EF" w14:paraId="148C303C" w14:textId="77777777" w:rsidTr="007308EF">
        <w:trPr>
          <w:tblHeader/>
          <w:tblCellSpacing w:w="15" w:type="dxa"/>
        </w:trPr>
        <w:tc>
          <w:tcPr>
            <w:tcW w:w="940" w:type="dxa"/>
            <w:shd w:val="clear" w:color="auto" w:fill="ADADAD" w:themeFill="background2" w:themeFillShade="BF"/>
            <w:vAlign w:val="center"/>
            <w:hideMark/>
          </w:tcPr>
          <w:p w14:paraId="0A994F27" w14:textId="77777777" w:rsidR="007308EF" w:rsidRPr="007308EF" w:rsidRDefault="007308EF" w:rsidP="007308EF">
            <w:pPr>
              <w:spacing w:after="0" w:line="240" w:lineRule="auto"/>
              <w:jc w:val="center"/>
              <w:rPr>
                <w:rFonts w:ascii="Arial" w:eastAsia="Times New Roman" w:hAnsi="Arial" w:cs="Arial"/>
                <w:b/>
                <w:bCs/>
                <w:kern w:val="0"/>
                <w:lang w:eastAsia="en-GB"/>
                <w14:ligatures w14:val="none"/>
              </w:rPr>
            </w:pPr>
            <w:r w:rsidRPr="007308EF">
              <w:rPr>
                <w:rFonts w:ascii="Arial" w:eastAsia="Times New Roman" w:hAnsi="Arial" w:cs="Arial"/>
                <w:b/>
                <w:bCs/>
                <w:kern w:val="0"/>
                <w:lang w:eastAsia="en-GB"/>
                <w14:ligatures w14:val="none"/>
              </w:rPr>
              <w:t>Year</w:t>
            </w:r>
          </w:p>
        </w:tc>
        <w:tc>
          <w:tcPr>
            <w:tcW w:w="3513" w:type="dxa"/>
            <w:shd w:val="clear" w:color="auto" w:fill="ADADAD" w:themeFill="background2" w:themeFillShade="BF"/>
            <w:vAlign w:val="center"/>
            <w:hideMark/>
          </w:tcPr>
          <w:p w14:paraId="367E3414" w14:textId="77777777" w:rsidR="007308EF" w:rsidRPr="007308EF" w:rsidRDefault="007308EF" w:rsidP="007308EF">
            <w:pPr>
              <w:spacing w:after="0" w:line="240" w:lineRule="auto"/>
              <w:jc w:val="center"/>
              <w:rPr>
                <w:rFonts w:ascii="Arial" w:eastAsia="Times New Roman" w:hAnsi="Arial" w:cs="Arial"/>
                <w:b/>
                <w:bCs/>
                <w:kern w:val="0"/>
                <w:lang w:eastAsia="en-GB"/>
                <w14:ligatures w14:val="none"/>
              </w:rPr>
            </w:pPr>
            <w:r w:rsidRPr="007308EF">
              <w:rPr>
                <w:rFonts w:ascii="Arial" w:eastAsia="Times New Roman" w:hAnsi="Arial" w:cs="Arial"/>
                <w:b/>
                <w:bCs/>
                <w:kern w:val="0"/>
                <w:lang w:eastAsia="en-GB"/>
                <w14:ligatures w14:val="none"/>
              </w:rPr>
              <w:t>(Current Assets - Inventory) (£m)</w:t>
            </w:r>
          </w:p>
        </w:tc>
        <w:tc>
          <w:tcPr>
            <w:tcW w:w="2664" w:type="dxa"/>
            <w:shd w:val="clear" w:color="auto" w:fill="ADADAD" w:themeFill="background2" w:themeFillShade="BF"/>
            <w:vAlign w:val="center"/>
            <w:hideMark/>
          </w:tcPr>
          <w:p w14:paraId="22A0C3DA" w14:textId="77777777" w:rsidR="007308EF" w:rsidRPr="007308EF" w:rsidRDefault="007308EF" w:rsidP="007308EF">
            <w:pPr>
              <w:spacing w:after="0" w:line="240" w:lineRule="auto"/>
              <w:jc w:val="center"/>
              <w:rPr>
                <w:rFonts w:ascii="Arial" w:eastAsia="Times New Roman" w:hAnsi="Arial" w:cs="Arial"/>
                <w:b/>
                <w:bCs/>
                <w:kern w:val="0"/>
                <w:lang w:eastAsia="en-GB"/>
                <w14:ligatures w14:val="none"/>
              </w:rPr>
            </w:pPr>
            <w:r w:rsidRPr="007308EF">
              <w:rPr>
                <w:rFonts w:ascii="Arial" w:eastAsia="Times New Roman" w:hAnsi="Arial" w:cs="Arial"/>
                <w:b/>
                <w:bCs/>
                <w:kern w:val="0"/>
                <w:lang w:eastAsia="en-GB"/>
                <w14:ligatures w14:val="none"/>
              </w:rPr>
              <w:t>Current Liabilities (£m)</w:t>
            </w:r>
          </w:p>
        </w:tc>
        <w:tc>
          <w:tcPr>
            <w:tcW w:w="1797" w:type="dxa"/>
            <w:shd w:val="clear" w:color="auto" w:fill="ADADAD" w:themeFill="background2" w:themeFillShade="BF"/>
            <w:vAlign w:val="center"/>
            <w:hideMark/>
          </w:tcPr>
          <w:p w14:paraId="0C863AD8" w14:textId="77777777" w:rsidR="007308EF" w:rsidRPr="007308EF" w:rsidRDefault="007308EF" w:rsidP="007308EF">
            <w:pPr>
              <w:spacing w:after="0" w:line="240" w:lineRule="auto"/>
              <w:jc w:val="center"/>
              <w:rPr>
                <w:rFonts w:ascii="Arial" w:eastAsia="Times New Roman" w:hAnsi="Arial" w:cs="Arial"/>
                <w:b/>
                <w:bCs/>
                <w:kern w:val="0"/>
                <w:lang w:eastAsia="en-GB"/>
                <w14:ligatures w14:val="none"/>
              </w:rPr>
            </w:pPr>
            <w:r w:rsidRPr="007308EF">
              <w:rPr>
                <w:rFonts w:ascii="Arial" w:eastAsia="Times New Roman" w:hAnsi="Arial" w:cs="Arial"/>
                <w:b/>
                <w:bCs/>
                <w:kern w:val="0"/>
                <w:lang w:eastAsia="en-GB"/>
                <w14:ligatures w14:val="none"/>
              </w:rPr>
              <w:t>Quick Ratio</w:t>
            </w:r>
          </w:p>
        </w:tc>
      </w:tr>
    </w:tbl>
    <w:p w14:paraId="61233760" w14:textId="77777777" w:rsidR="007308EF" w:rsidRPr="007308EF" w:rsidRDefault="007308EF" w:rsidP="007308EF">
      <w:pPr>
        <w:spacing w:after="0" w:line="240" w:lineRule="auto"/>
        <w:rPr>
          <w:rFonts w:ascii="Arial" w:eastAsia="Times New Roman" w:hAnsi="Arial" w:cs="Arial"/>
          <w:vanish/>
          <w:kern w:val="0"/>
          <w:lang w:eastAsia="en-GB"/>
          <w14:ligatures w14:val="none"/>
        </w:rPr>
      </w:pP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985"/>
        <w:gridCol w:w="3543"/>
        <w:gridCol w:w="2694"/>
        <w:gridCol w:w="1842"/>
      </w:tblGrid>
      <w:tr w:rsidR="007308EF" w:rsidRPr="007308EF" w14:paraId="68BC4435" w14:textId="77777777" w:rsidTr="007308EF">
        <w:trPr>
          <w:tblCellSpacing w:w="15" w:type="dxa"/>
        </w:trPr>
        <w:tc>
          <w:tcPr>
            <w:tcW w:w="940" w:type="dxa"/>
            <w:vAlign w:val="center"/>
            <w:hideMark/>
          </w:tcPr>
          <w:p w14:paraId="1F1045F4"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2022</w:t>
            </w:r>
          </w:p>
        </w:tc>
        <w:tc>
          <w:tcPr>
            <w:tcW w:w="3513" w:type="dxa"/>
            <w:vAlign w:val="center"/>
            <w:hideMark/>
          </w:tcPr>
          <w:p w14:paraId="4E586094"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9,134</w:t>
            </w:r>
          </w:p>
        </w:tc>
        <w:tc>
          <w:tcPr>
            <w:tcW w:w="2664" w:type="dxa"/>
            <w:vAlign w:val="center"/>
            <w:hideMark/>
          </w:tcPr>
          <w:p w14:paraId="2F7DFDC9"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14,056</w:t>
            </w:r>
          </w:p>
        </w:tc>
        <w:tc>
          <w:tcPr>
            <w:tcW w:w="1797" w:type="dxa"/>
            <w:vAlign w:val="center"/>
            <w:hideMark/>
          </w:tcPr>
          <w:p w14:paraId="0F7DD0B4"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0.65</w:t>
            </w:r>
          </w:p>
        </w:tc>
      </w:tr>
    </w:tbl>
    <w:p w14:paraId="199195A6" w14:textId="77777777" w:rsidR="007308EF" w:rsidRPr="007308EF" w:rsidRDefault="007308EF" w:rsidP="007308EF">
      <w:pPr>
        <w:spacing w:after="0" w:line="240" w:lineRule="auto"/>
        <w:rPr>
          <w:rFonts w:ascii="Arial" w:eastAsia="Times New Roman" w:hAnsi="Arial" w:cs="Arial"/>
          <w:vanish/>
          <w:kern w:val="0"/>
          <w:lang w:eastAsia="en-GB"/>
          <w14:ligatures w14:val="none"/>
        </w:rPr>
      </w:pP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985"/>
        <w:gridCol w:w="3543"/>
        <w:gridCol w:w="2694"/>
        <w:gridCol w:w="1842"/>
      </w:tblGrid>
      <w:tr w:rsidR="007308EF" w:rsidRPr="007308EF" w14:paraId="7EA8B546" w14:textId="77777777" w:rsidTr="007308EF">
        <w:trPr>
          <w:tblCellSpacing w:w="15" w:type="dxa"/>
        </w:trPr>
        <w:tc>
          <w:tcPr>
            <w:tcW w:w="940" w:type="dxa"/>
            <w:vAlign w:val="center"/>
            <w:hideMark/>
          </w:tcPr>
          <w:p w14:paraId="0126C678"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2023</w:t>
            </w:r>
          </w:p>
        </w:tc>
        <w:tc>
          <w:tcPr>
            <w:tcW w:w="3513" w:type="dxa"/>
            <w:vAlign w:val="center"/>
            <w:hideMark/>
          </w:tcPr>
          <w:p w14:paraId="47988FCF"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9,699</w:t>
            </w:r>
          </w:p>
        </w:tc>
        <w:tc>
          <w:tcPr>
            <w:tcW w:w="2664" w:type="dxa"/>
            <w:vAlign w:val="center"/>
            <w:hideMark/>
          </w:tcPr>
          <w:p w14:paraId="42D1C41A"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14,820</w:t>
            </w:r>
          </w:p>
        </w:tc>
        <w:tc>
          <w:tcPr>
            <w:tcW w:w="1797" w:type="dxa"/>
            <w:vAlign w:val="center"/>
            <w:hideMark/>
          </w:tcPr>
          <w:p w14:paraId="045CFED4" w14:textId="77777777" w:rsidR="007308EF" w:rsidRPr="007308EF" w:rsidRDefault="007308EF" w:rsidP="007308EF">
            <w:pPr>
              <w:spacing w:after="0" w:line="240" w:lineRule="auto"/>
              <w:rPr>
                <w:rFonts w:ascii="Arial" w:eastAsia="Times New Roman" w:hAnsi="Arial" w:cs="Arial"/>
                <w:kern w:val="0"/>
                <w:lang w:eastAsia="en-GB"/>
                <w14:ligatures w14:val="none"/>
              </w:rPr>
            </w:pPr>
            <w:r w:rsidRPr="007308EF">
              <w:rPr>
                <w:rFonts w:ascii="Arial" w:eastAsia="Times New Roman" w:hAnsi="Arial" w:cs="Arial"/>
                <w:kern w:val="0"/>
                <w:lang w:eastAsia="en-GB"/>
                <w14:ligatures w14:val="none"/>
              </w:rPr>
              <w:t>0.65</w:t>
            </w:r>
          </w:p>
        </w:tc>
      </w:tr>
    </w:tbl>
    <w:p w14:paraId="1893B678" w14:textId="77777777" w:rsidR="007308EF" w:rsidRDefault="007308EF" w:rsidP="00EB63D4">
      <w:pPr>
        <w:spacing w:line="480" w:lineRule="auto"/>
        <w:rPr>
          <w:rFonts w:ascii="Arial" w:hAnsi="Arial" w:cs="Arial"/>
        </w:rPr>
      </w:pPr>
    </w:p>
    <w:p w14:paraId="05456DB8" w14:textId="77777777" w:rsidR="003273BB" w:rsidRDefault="003273BB" w:rsidP="00EB63D4">
      <w:pPr>
        <w:spacing w:line="480" w:lineRule="auto"/>
        <w:rPr>
          <w:rFonts w:ascii="Arial" w:hAnsi="Arial" w:cs="Arial"/>
        </w:rPr>
      </w:pPr>
      <w:r>
        <w:rPr>
          <w:rFonts w:ascii="Arial" w:hAnsi="Arial" w:cs="Arial"/>
        </w:rPr>
        <w:t>Formula</w:t>
      </w:r>
      <w:r w:rsidR="00EB63D4" w:rsidRPr="00EB63D4">
        <w:rPr>
          <w:rFonts w:ascii="Arial" w:hAnsi="Arial" w:cs="Arial"/>
        </w:rPr>
        <w:t xml:space="preserve">: </w:t>
      </w:r>
      <w:r w:rsidR="00EB63D4" w:rsidRPr="003273BB">
        <w:rPr>
          <w:rFonts w:ascii="Arial" w:hAnsi="Arial" w:cs="Arial"/>
          <w:b/>
          <w:bCs/>
        </w:rPr>
        <w:t xml:space="preserve">Quick Ratio = (Current Assets - Inventory) / Current Liabilities </w:t>
      </w:r>
    </w:p>
    <w:p w14:paraId="1A339A66" w14:textId="77777777" w:rsidR="003273BB" w:rsidRDefault="00EB63D4" w:rsidP="00EB63D4">
      <w:pPr>
        <w:spacing w:line="480" w:lineRule="auto"/>
        <w:rPr>
          <w:rFonts w:ascii="Arial" w:hAnsi="Arial" w:cs="Arial"/>
        </w:rPr>
      </w:pPr>
      <w:r w:rsidRPr="00EB63D4">
        <w:rPr>
          <w:rFonts w:ascii="Arial" w:hAnsi="Arial" w:cs="Arial"/>
        </w:rPr>
        <w:t>The quick ratio has remained as before, indicating that Tesco has similarly experienced pressure for liquidity in both years in meeting its short-term obligations with liquid assets. The less than one ratio indicates the organi</w:t>
      </w:r>
      <w:r w:rsidR="003273BB">
        <w:rPr>
          <w:rFonts w:ascii="Arial" w:hAnsi="Arial" w:cs="Arial"/>
        </w:rPr>
        <w:t>s</w:t>
      </w:r>
      <w:r w:rsidRPr="00EB63D4">
        <w:rPr>
          <w:rFonts w:ascii="Arial" w:hAnsi="Arial" w:cs="Arial"/>
        </w:rPr>
        <w:t xml:space="preserve">ation is relying on inventory to meet obligations which can be problematic if stock sells slowly and requires write-downs, (Watson &amp; Head, 2019). </w:t>
      </w:r>
    </w:p>
    <w:p w14:paraId="2DA480AC" w14:textId="77777777" w:rsidR="003273BB" w:rsidRDefault="003273BB" w:rsidP="00EB63D4">
      <w:pPr>
        <w:spacing w:line="480" w:lineRule="auto"/>
        <w:rPr>
          <w:rFonts w:ascii="Arial" w:hAnsi="Arial" w:cs="Arial"/>
        </w:rPr>
      </w:pPr>
    </w:p>
    <w:p w14:paraId="7C92816F" w14:textId="77777777" w:rsidR="003273BB" w:rsidRPr="00D826CD" w:rsidRDefault="00EB63D4" w:rsidP="00EB63D4">
      <w:pPr>
        <w:spacing w:line="480" w:lineRule="auto"/>
        <w:rPr>
          <w:rFonts w:ascii="Arial Black" w:hAnsi="Arial Black" w:cs="Arial"/>
          <w:color w:val="4C94D8" w:themeColor="text2" w:themeTint="80"/>
        </w:rPr>
      </w:pPr>
      <w:r w:rsidRPr="00D826CD">
        <w:rPr>
          <w:rFonts w:ascii="Arial Black" w:hAnsi="Arial Black" w:cs="Arial"/>
          <w:color w:val="4C94D8" w:themeColor="text2" w:themeTint="80"/>
        </w:rPr>
        <w:lastRenderedPageBreak/>
        <w:t xml:space="preserve">Efficiency Ratios </w:t>
      </w:r>
    </w:p>
    <w:p w14:paraId="1BA75431" w14:textId="77777777" w:rsidR="00D826CD" w:rsidRDefault="00EB63D4" w:rsidP="00EB63D4">
      <w:pPr>
        <w:spacing w:line="480" w:lineRule="auto"/>
        <w:rPr>
          <w:rFonts w:ascii="Arial" w:hAnsi="Arial" w:cs="Arial"/>
        </w:rPr>
      </w:pPr>
      <w:r w:rsidRPr="00EB63D4">
        <w:rPr>
          <w:rFonts w:ascii="Arial" w:hAnsi="Arial" w:cs="Arial"/>
        </w:rPr>
        <w:t xml:space="preserve">Efficiency ratios are vital when </w:t>
      </w:r>
      <w:r w:rsidR="003273BB" w:rsidRPr="00EB63D4">
        <w:rPr>
          <w:rFonts w:ascii="Arial" w:hAnsi="Arial" w:cs="Arial"/>
        </w:rPr>
        <w:t>undertaking research</w:t>
      </w:r>
      <w:r w:rsidRPr="00EB63D4">
        <w:rPr>
          <w:rFonts w:ascii="Arial" w:hAnsi="Arial" w:cs="Arial"/>
        </w:rPr>
        <w:t xml:space="preserve"> to avoid understanding how effectively Tesco is using its resources to generate sales and run operations.</w:t>
      </w:r>
    </w:p>
    <w:p w14:paraId="55BB57DA" w14:textId="5AD0E9D4" w:rsidR="003273BB" w:rsidRPr="00D826CD" w:rsidRDefault="00EB63D4" w:rsidP="00EB63D4">
      <w:pPr>
        <w:spacing w:line="480" w:lineRule="auto"/>
        <w:rPr>
          <w:rFonts w:ascii="Arial Black" w:hAnsi="Arial Black" w:cs="Arial"/>
          <w:color w:val="4C94D8" w:themeColor="text2" w:themeTint="80"/>
        </w:rPr>
      </w:pPr>
      <w:r w:rsidRPr="00D826CD">
        <w:rPr>
          <w:rFonts w:ascii="Arial Black" w:hAnsi="Arial Black" w:cs="Arial"/>
          <w:color w:val="4C94D8" w:themeColor="text2" w:themeTint="80"/>
        </w:rPr>
        <w:t xml:space="preserve">Inventory Turnover </w:t>
      </w:r>
    </w:p>
    <w:p w14:paraId="72281BBE" w14:textId="5DE81605" w:rsidR="003273BB" w:rsidRDefault="00EB63D4" w:rsidP="00EB63D4">
      <w:pPr>
        <w:spacing w:line="480" w:lineRule="auto"/>
        <w:rPr>
          <w:rFonts w:ascii="Arial" w:hAnsi="Arial" w:cs="Arial"/>
        </w:rPr>
      </w:pPr>
      <w:r w:rsidRPr="00EB63D4">
        <w:rPr>
          <w:rFonts w:ascii="Arial" w:hAnsi="Arial" w:cs="Arial"/>
        </w:rPr>
        <w:t>The inventory turnover ratio captures how effective Tesco has been at managing inventory, by showing how many times, and over what duration, inventory is sold and replaced</w:t>
      </w:r>
      <w:r w:rsidR="003273BB">
        <w:rPr>
          <w:rFonts w:ascii="Arial" w:hAnsi="Arial" w:cs="Arial"/>
        </w:rPr>
        <w:t>.</w:t>
      </w: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639"/>
        <w:gridCol w:w="2904"/>
        <w:gridCol w:w="2758"/>
        <w:gridCol w:w="2293"/>
      </w:tblGrid>
      <w:tr w:rsidR="003273BB" w:rsidRPr="003273BB" w14:paraId="1591D653" w14:textId="77777777" w:rsidTr="003273BB">
        <w:trPr>
          <w:tblHeader/>
          <w:tblCellSpacing w:w="15" w:type="dxa"/>
        </w:trPr>
        <w:tc>
          <w:tcPr>
            <w:tcW w:w="0" w:type="auto"/>
            <w:shd w:val="clear" w:color="auto" w:fill="ADADAD" w:themeFill="background2" w:themeFillShade="BF"/>
            <w:vAlign w:val="center"/>
            <w:hideMark/>
          </w:tcPr>
          <w:p w14:paraId="07BD2F47" w14:textId="77777777" w:rsidR="003273BB" w:rsidRPr="003273BB" w:rsidRDefault="003273BB" w:rsidP="003273BB">
            <w:pPr>
              <w:spacing w:after="0" w:line="240" w:lineRule="auto"/>
              <w:jc w:val="center"/>
              <w:rPr>
                <w:rFonts w:ascii="Arial" w:eastAsia="Times New Roman" w:hAnsi="Arial" w:cs="Arial"/>
                <w:b/>
                <w:bCs/>
                <w:kern w:val="0"/>
                <w:lang w:eastAsia="en-GB"/>
                <w14:ligatures w14:val="none"/>
              </w:rPr>
            </w:pPr>
            <w:r w:rsidRPr="003273BB">
              <w:rPr>
                <w:rFonts w:ascii="Arial" w:eastAsia="Times New Roman" w:hAnsi="Arial" w:cs="Arial"/>
                <w:b/>
                <w:bCs/>
                <w:kern w:val="0"/>
                <w:lang w:eastAsia="en-GB"/>
                <w14:ligatures w14:val="none"/>
              </w:rPr>
              <w:t>Year</w:t>
            </w:r>
          </w:p>
        </w:tc>
        <w:tc>
          <w:tcPr>
            <w:tcW w:w="0" w:type="auto"/>
            <w:shd w:val="clear" w:color="auto" w:fill="ADADAD" w:themeFill="background2" w:themeFillShade="BF"/>
            <w:vAlign w:val="center"/>
            <w:hideMark/>
          </w:tcPr>
          <w:p w14:paraId="7FCB75F4" w14:textId="77777777" w:rsidR="003273BB" w:rsidRPr="003273BB" w:rsidRDefault="003273BB" w:rsidP="003273BB">
            <w:pPr>
              <w:spacing w:after="0" w:line="240" w:lineRule="auto"/>
              <w:jc w:val="center"/>
              <w:rPr>
                <w:rFonts w:ascii="Arial" w:eastAsia="Times New Roman" w:hAnsi="Arial" w:cs="Arial"/>
                <w:b/>
                <w:bCs/>
                <w:kern w:val="0"/>
                <w:lang w:eastAsia="en-GB"/>
                <w14:ligatures w14:val="none"/>
              </w:rPr>
            </w:pPr>
            <w:r w:rsidRPr="003273BB">
              <w:rPr>
                <w:rFonts w:ascii="Arial" w:eastAsia="Times New Roman" w:hAnsi="Arial" w:cs="Arial"/>
                <w:b/>
                <w:bCs/>
                <w:kern w:val="0"/>
                <w:lang w:eastAsia="en-GB"/>
                <w14:ligatures w14:val="none"/>
              </w:rPr>
              <w:t>Cost of Goods Sold (£m)</w:t>
            </w:r>
          </w:p>
        </w:tc>
        <w:tc>
          <w:tcPr>
            <w:tcW w:w="0" w:type="auto"/>
            <w:shd w:val="clear" w:color="auto" w:fill="ADADAD" w:themeFill="background2" w:themeFillShade="BF"/>
            <w:vAlign w:val="center"/>
            <w:hideMark/>
          </w:tcPr>
          <w:p w14:paraId="3B791690" w14:textId="77777777" w:rsidR="003273BB" w:rsidRPr="003273BB" w:rsidRDefault="003273BB" w:rsidP="003273BB">
            <w:pPr>
              <w:spacing w:after="0" w:line="240" w:lineRule="auto"/>
              <w:jc w:val="center"/>
              <w:rPr>
                <w:rFonts w:ascii="Arial" w:eastAsia="Times New Roman" w:hAnsi="Arial" w:cs="Arial"/>
                <w:b/>
                <w:bCs/>
                <w:kern w:val="0"/>
                <w:lang w:eastAsia="en-GB"/>
                <w14:ligatures w14:val="none"/>
              </w:rPr>
            </w:pPr>
            <w:r w:rsidRPr="003273BB">
              <w:rPr>
                <w:rFonts w:ascii="Arial" w:eastAsia="Times New Roman" w:hAnsi="Arial" w:cs="Arial"/>
                <w:b/>
                <w:bCs/>
                <w:kern w:val="0"/>
                <w:lang w:eastAsia="en-GB"/>
                <w14:ligatures w14:val="none"/>
              </w:rPr>
              <w:t>Average Inventory (£m)</w:t>
            </w:r>
          </w:p>
        </w:tc>
        <w:tc>
          <w:tcPr>
            <w:tcW w:w="0" w:type="auto"/>
            <w:shd w:val="clear" w:color="auto" w:fill="ADADAD" w:themeFill="background2" w:themeFillShade="BF"/>
            <w:vAlign w:val="center"/>
            <w:hideMark/>
          </w:tcPr>
          <w:p w14:paraId="2F637525" w14:textId="77777777" w:rsidR="003273BB" w:rsidRPr="003273BB" w:rsidRDefault="003273BB" w:rsidP="003273BB">
            <w:pPr>
              <w:spacing w:after="0" w:line="240" w:lineRule="auto"/>
              <w:jc w:val="center"/>
              <w:rPr>
                <w:rFonts w:ascii="Arial" w:eastAsia="Times New Roman" w:hAnsi="Arial" w:cs="Arial"/>
                <w:b/>
                <w:bCs/>
                <w:kern w:val="0"/>
                <w:lang w:eastAsia="en-GB"/>
                <w14:ligatures w14:val="none"/>
              </w:rPr>
            </w:pPr>
            <w:r w:rsidRPr="003273BB">
              <w:rPr>
                <w:rFonts w:ascii="Arial" w:eastAsia="Times New Roman" w:hAnsi="Arial" w:cs="Arial"/>
                <w:b/>
                <w:bCs/>
                <w:kern w:val="0"/>
                <w:lang w:eastAsia="en-GB"/>
                <w14:ligatures w14:val="none"/>
              </w:rPr>
              <w:t>Inventory Turnover</w:t>
            </w:r>
          </w:p>
        </w:tc>
      </w:tr>
      <w:tr w:rsidR="003273BB" w:rsidRPr="003273BB" w14:paraId="0A683A77" w14:textId="77777777" w:rsidTr="003273BB">
        <w:trPr>
          <w:tblCellSpacing w:w="15" w:type="dxa"/>
        </w:trPr>
        <w:tc>
          <w:tcPr>
            <w:tcW w:w="0" w:type="auto"/>
            <w:vAlign w:val="center"/>
            <w:hideMark/>
          </w:tcPr>
          <w:p w14:paraId="16D7E561"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2022</w:t>
            </w:r>
          </w:p>
        </w:tc>
        <w:tc>
          <w:tcPr>
            <w:tcW w:w="0" w:type="auto"/>
            <w:vAlign w:val="center"/>
            <w:hideMark/>
          </w:tcPr>
          <w:p w14:paraId="738768B1"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56,650</w:t>
            </w:r>
          </w:p>
        </w:tc>
        <w:tc>
          <w:tcPr>
            <w:tcW w:w="0" w:type="auto"/>
            <w:vAlign w:val="center"/>
            <w:hideMark/>
          </w:tcPr>
          <w:p w14:paraId="2CC83FD2"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5,000</w:t>
            </w:r>
          </w:p>
        </w:tc>
        <w:tc>
          <w:tcPr>
            <w:tcW w:w="0" w:type="auto"/>
            <w:vAlign w:val="center"/>
            <w:hideMark/>
          </w:tcPr>
          <w:p w14:paraId="194515F6"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11.33</w:t>
            </w:r>
          </w:p>
        </w:tc>
      </w:tr>
      <w:tr w:rsidR="003273BB" w:rsidRPr="003273BB" w14:paraId="432CC837" w14:textId="77777777" w:rsidTr="003273BB">
        <w:trPr>
          <w:tblCellSpacing w:w="15" w:type="dxa"/>
        </w:trPr>
        <w:tc>
          <w:tcPr>
            <w:tcW w:w="0" w:type="auto"/>
            <w:vAlign w:val="center"/>
            <w:hideMark/>
          </w:tcPr>
          <w:p w14:paraId="5B978E44"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2023</w:t>
            </w:r>
          </w:p>
        </w:tc>
        <w:tc>
          <w:tcPr>
            <w:tcW w:w="0" w:type="auto"/>
            <w:vAlign w:val="center"/>
            <w:hideMark/>
          </w:tcPr>
          <w:p w14:paraId="6039B8E4"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61,008</w:t>
            </w:r>
          </w:p>
        </w:tc>
        <w:tc>
          <w:tcPr>
            <w:tcW w:w="0" w:type="auto"/>
            <w:vAlign w:val="center"/>
            <w:hideMark/>
          </w:tcPr>
          <w:p w14:paraId="2176FC24"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5,565</w:t>
            </w:r>
          </w:p>
        </w:tc>
        <w:tc>
          <w:tcPr>
            <w:tcW w:w="0" w:type="auto"/>
            <w:vAlign w:val="center"/>
            <w:hideMark/>
          </w:tcPr>
          <w:p w14:paraId="6CB3A779" w14:textId="77777777" w:rsidR="003273BB" w:rsidRPr="003273BB" w:rsidRDefault="003273BB" w:rsidP="003273BB">
            <w:pPr>
              <w:spacing w:after="0" w:line="240" w:lineRule="auto"/>
              <w:rPr>
                <w:rFonts w:ascii="Arial" w:eastAsia="Times New Roman" w:hAnsi="Arial" w:cs="Arial"/>
                <w:kern w:val="0"/>
                <w:lang w:eastAsia="en-GB"/>
                <w14:ligatures w14:val="none"/>
              </w:rPr>
            </w:pPr>
            <w:r w:rsidRPr="003273BB">
              <w:rPr>
                <w:rFonts w:ascii="Arial" w:eastAsia="Times New Roman" w:hAnsi="Arial" w:cs="Arial"/>
                <w:kern w:val="0"/>
                <w:lang w:eastAsia="en-GB"/>
                <w14:ligatures w14:val="none"/>
              </w:rPr>
              <w:t>10.96</w:t>
            </w:r>
          </w:p>
        </w:tc>
      </w:tr>
    </w:tbl>
    <w:p w14:paraId="285B100E" w14:textId="77777777" w:rsidR="003273BB" w:rsidRDefault="003273BB" w:rsidP="00EB63D4">
      <w:pPr>
        <w:spacing w:line="480" w:lineRule="auto"/>
        <w:rPr>
          <w:rFonts w:ascii="Arial" w:hAnsi="Arial" w:cs="Arial"/>
        </w:rPr>
      </w:pPr>
    </w:p>
    <w:p w14:paraId="00168414" w14:textId="77777777" w:rsidR="003273BB" w:rsidRDefault="00EB63D4" w:rsidP="00EB63D4">
      <w:pPr>
        <w:spacing w:line="480" w:lineRule="auto"/>
        <w:rPr>
          <w:rFonts w:ascii="Arial" w:hAnsi="Arial" w:cs="Arial"/>
        </w:rPr>
      </w:pPr>
      <w:r w:rsidRPr="00EB63D4">
        <w:rPr>
          <w:rFonts w:ascii="Arial" w:hAnsi="Arial" w:cs="Arial"/>
        </w:rPr>
        <w:t>Calculation</w:t>
      </w:r>
      <w:r w:rsidRPr="003273BB">
        <w:rPr>
          <w:rFonts w:ascii="Arial" w:hAnsi="Arial" w:cs="Arial"/>
          <w:b/>
          <w:bCs/>
        </w:rPr>
        <w:t>: Inventory Turnover = Cost of Goods Sold / Average Inventory</w:t>
      </w:r>
      <w:r w:rsidRPr="00EB63D4">
        <w:rPr>
          <w:rFonts w:ascii="Arial" w:hAnsi="Arial" w:cs="Arial"/>
        </w:rPr>
        <w:t xml:space="preserve"> </w:t>
      </w:r>
    </w:p>
    <w:p w14:paraId="7C12A9F1" w14:textId="77777777" w:rsidR="00EA48D0" w:rsidRDefault="00EB63D4" w:rsidP="00EB63D4">
      <w:pPr>
        <w:spacing w:line="480" w:lineRule="auto"/>
        <w:rPr>
          <w:rFonts w:ascii="Arial" w:hAnsi="Arial" w:cs="Arial"/>
        </w:rPr>
      </w:pPr>
      <w:r w:rsidRPr="00EB63D4">
        <w:rPr>
          <w:rFonts w:ascii="Arial" w:hAnsi="Arial" w:cs="Arial"/>
        </w:rPr>
        <w:t xml:space="preserve">The slight drop in inventory turnover from 11.33 in 2022 to 10.96 in 2023, again suggests a small decline in the effectiveness of inventory management. This could have been due to either longer sales cycles or more possibly relying on excess stock, which ties up additional capital in inventory and ultimately carrying costs, (Haskel &amp; Westlake, 2018). </w:t>
      </w:r>
    </w:p>
    <w:p w14:paraId="0E2B3E54" w14:textId="77777777" w:rsidR="00EA48D0" w:rsidRPr="00631D7D" w:rsidRDefault="00EB63D4" w:rsidP="00EB63D4">
      <w:pPr>
        <w:spacing w:line="480" w:lineRule="auto"/>
        <w:rPr>
          <w:rFonts w:ascii="Arial Black" w:hAnsi="Arial Black" w:cs="Arial"/>
          <w:color w:val="4C94D8" w:themeColor="text2" w:themeTint="80"/>
        </w:rPr>
      </w:pPr>
      <w:r w:rsidRPr="00631D7D">
        <w:rPr>
          <w:rFonts w:ascii="Arial Black" w:hAnsi="Arial Black" w:cs="Arial"/>
          <w:color w:val="4C94D8" w:themeColor="text2" w:themeTint="80"/>
        </w:rPr>
        <w:t xml:space="preserve">Receivables Turnover </w:t>
      </w:r>
    </w:p>
    <w:p w14:paraId="061130FF" w14:textId="77777777" w:rsidR="00EA48D0" w:rsidRDefault="00EB63D4" w:rsidP="00EB63D4">
      <w:pPr>
        <w:spacing w:line="480" w:lineRule="auto"/>
        <w:rPr>
          <w:rFonts w:ascii="Arial" w:hAnsi="Arial" w:cs="Arial"/>
        </w:rPr>
      </w:pPr>
      <w:r w:rsidRPr="00EB63D4">
        <w:rPr>
          <w:rFonts w:ascii="Arial" w:hAnsi="Arial" w:cs="Arial"/>
        </w:rPr>
        <w:t>Receivables turnover is another efficiency ratio and looks at how effectively Tesco is collecting from customers. Receivables turnover measures how many times throughout the year the receivables get turned into cash.</w:t>
      </w:r>
    </w:p>
    <w:p w14:paraId="4FF2D3EE" w14:textId="77777777" w:rsidR="00EA48D0" w:rsidRDefault="00EA48D0" w:rsidP="00EB63D4">
      <w:pPr>
        <w:spacing w:line="480" w:lineRule="auto"/>
        <w:rPr>
          <w:rFonts w:ascii="Arial" w:hAnsi="Arial" w:cs="Arial"/>
        </w:rPr>
      </w:pPr>
    </w:p>
    <w:p w14:paraId="2865B325" w14:textId="77777777" w:rsidR="00EA48D0" w:rsidRDefault="00EA48D0" w:rsidP="00EB63D4">
      <w:pPr>
        <w:spacing w:line="480" w:lineRule="auto"/>
        <w:rPr>
          <w:rFonts w:ascii="Arial" w:hAnsi="Arial" w:cs="Arial"/>
        </w:rPr>
      </w:pP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126"/>
        <w:gridCol w:w="2268"/>
        <w:gridCol w:w="2694"/>
        <w:gridCol w:w="2976"/>
      </w:tblGrid>
      <w:tr w:rsidR="00EA48D0" w:rsidRPr="00EA48D0" w14:paraId="4982FF3E" w14:textId="77777777" w:rsidTr="00EA48D0">
        <w:trPr>
          <w:tblHeader/>
          <w:tblCellSpacing w:w="15" w:type="dxa"/>
        </w:trPr>
        <w:tc>
          <w:tcPr>
            <w:tcW w:w="1081" w:type="dxa"/>
            <w:shd w:val="clear" w:color="auto" w:fill="ADADAD" w:themeFill="background2" w:themeFillShade="BF"/>
            <w:vAlign w:val="center"/>
            <w:hideMark/>
          </w:tcPr>
          <w:p w14:paraId="71C61AF8" w14:textId="77777777" w:rsidR="00EA48D0" w:rsidRPr="00EA48D0" w:rsidRDefault="00EA48D0" w:rsidP="00EA48D0">
            <w:pPr>
              <w:spacing w:after="0" w:line="240" w:lineRule="auto"/>
              <w:jc w:val="center"/>
              <w:rPr>
                <w:rFonts w:ascii="Arial" w:eastAsia="Times New Roman" w:hAnsi="Arial" w:cs="Arial"/>
                <w:b/>
                <w:bCs/>
                <w:kern w:val="0"/>
                <w:lang w:eastAsia="en-GB"/>
                <w14:ligatures w14:val="none"/>
              </w:rPr>
            </w:pPr>
            <w:r w:rsidRPr="00EA48D0">
              <w:rPr>
                <w:rFonts w:ascii="Arial" w:eastAsia="Times New Roman" w:hAnsi="Arial" w:cs="Arial"/>
                <w:b/>
                <w:bCs/>
                <w:kern w:val="0"/>
                <w:lang w:eastAsia="en-GB"/>
                <w14:ligatures w14:val="none"/>
              </w:rPr>
              <w:lastRenderedPageBreak/>
              <w:t>Year</w:t>
            </w:r>
          </w:p>
        </w:tc>
        <w:tc>
          <w:tcPr>
            <w:tcW w:w="2238" w:type="dxa"/>
            <w:shd w:val="clear" w:color="auto" w:fill="ADADAD" w:themeFill="background2" w:themeFillShade="BF"/>
            <w:vAlign w:val="center"/>
            <w:hideMark/>
          </w:tcPr>
          <w:p w14:paraId="58058B70" w14:textId="77777777" w:rsidR="00EA48D0" w:rsidRPr="00EA48D0" w:rsidRDefault="00EA48D0" w:rsidP="00EA48D0">
            <w:pPr>
              <w:spacing w:after="0" w:line="240" w:lineRule="auto"/>
              <w:jc w:val="center"/>
              <w:rPr>
                <w:rFonts w:ascii="Arial" w:eastAsia="Times New Roman" w:hAnsi="Arial" w:cs="Arial"/>
                <w:b/>
                <w:bCs/>
                <w:kern w:val="0"/>
                <w:lang w:eastAsia="en-GB"/>
                <w14:ligatures w14:val="none"/>
              </w:rPr>
            </w:pPr>
            <w:r w:rsidRPr="00EA48D0">
              <w:rPr>
                <w:rFonts w:ascii="Arial" w:eastAsia="Times New Roman" w:hAnsi="Arial" w:cs="Arial"/>
                <w:b/>
                <w:bCs/>
                <w:kern w:val="0"/>
                <w:lang w:eastAsia="en-GB"/>
                <w14:ligatures w14:val="none"/>
              </w:rPr>
              <w:t>Revenue (£m)</w:t>
            </w:r>
          </w:p>
        </w:tc>
        <w:tc>
          <w:tcPr>
            <w:tcW w:w="2664" w:type="dxa"/>
            <w:shd w:val="clear" w:color="auto" w:fill="ADADAD" w:themeFill="background2" w:themeFillShade="BF"/>
            <w:vAlign w:val="center"/>
            <w:hideMark/>
          </w:tcPr>
          <w:p w14:paraId="67C31E87" w14:textId="77777777" w:rsidR="00EA48D0" w:rsidRPr="00EA48D0" w:rsidRDefault="00EA48D0" w:rsidP="00EA48D0">
            <w:pPr>
              <w:spacing w:after="0" w:line="240" w:lineRule="auto"/>
              <w:jc w:val="center"/>
              <w:rPr>
                <w:rFonts w:ascii="Arial" w:eastAsia="Times New Roman" w:hAnsi="Arial" w:cs="Arial"/>
                <w:b/>
                <w:bCs/>
                <w:kern w:val="0"/>
                <w:lang w:eastAsia="en-GB"/>
                <w14:ligatures w14:val="none"/>
              </w:rPr>
            </w:pPr>
            <w:r w:rsidRPr="00EA48D0">
              <w:rPr>
                <w:rFonts w:ascii="Arial" w:eastAsia="Times New Roman" w:hAnsi="Arial" w:cs="Arial"/>
                <w:b/>
                <w:bCs/>
                <w:kern w:val="0"/>
                <w:lang w:eastAsia="en-GB"/>
                <w14:ligatures w14:val="none"/>
              </w:rPr>
              <w:t>Average Receivables (£m)</w:t>
            </w:r>
          </w:p>
        </w:tc>
        <w:tc>
          <w:tcPr>
            <w:tcW w:w="2931" w:type="dxa"/>
            <w:shd w:val="clear" w:color="auto" w:fill="ADADAD" w:themeFill="background2" w:themeFillShade="BF"/>
            <w:vAlign w:val="center"/>
            <w:hideMark/>
          </w:tcPr>
          <w:p w14:paraId="43770EE3" w14:textId="77777777" w:rsidR="00EA48D0" w:rsidRPr="00EA48D0" w:rsidRDefault="00EA48D0" w:rsidP="00EA48D0">
            <w:pPr>
              <w:spacing w:after="0" w:line="240" w:lineRule="auto"/>
              <w:jc w:val="center"/>
              <w:rPr>
                <w:rFonts w:ascii="Arial" w:eastAsia="Times New Roman" w:hAnsi="Arial" w:cs="Arial"/>
                <w:b/>
                <w:bCs/>
                <w:kern w:val="0"/>
                <w:lang w:eastAsia="en-GB"/>
                <w14:ligatures w14:val="none"/>
              </w:rPr>
            </w:pPr>
            <w:r w:rsidRPr="00EA48D0">
              <w:rPr>
                <w:rFonts w:ascii="Arial" w:eastAsia="Times New Roman" w:hAnsi="Arial" w:cs="Arial"/>
                <w:b/>
                <w:bCs/>
                <w:kern w:val="0"/>
                <w:lang w:eastAsia="en-GB"/>
                <w14:ligatures w14:val="none"/>
              </w:rPr>
              <w:t>Receivables Turnover</w:t>
            </w:r>
          </w:p>
        </w:tc>
      </w:tr>
    </w:tbl>
    <w:p w14:paraId="4186D320" w14:textId="77777777" w:rsidR="00EA48D0" w:rsidRPr="00EA48D0" w:rsidRDefault="00EA48D0" w:rsidP="00EA48D0">
      <w:pPr>
        <w:spacing w:after="0" w:line="240" w:lineRule="auto"/>
        <w:rPr>
          <w:rFonts w:ascii="Arial" w:eastAsia="Times New Roman" w:hAnsi="Arial" w:cs="Arial"/>
          <w:vanish/>
          <w:kern w:val="0"/>
          <w:lang w:eastAsia="en-GB"/>
          <w14:ligatures w14:val="none"/>
        </w:rPr>
      </w:pP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126"/>
        <w:gridCol w:w="2268"/>
        <w:gridCol w:w="2694"/>
        <w:gridCol w:w="2976"/>
      </w:tblGrid>
      <w:tr w:rsidR="00EA48D0" w:rsidRPr="00EA48D0" w14:paraId="63078E10" w14:textId="77777777" w:rsidTr="00EA48D0">
        <w:trPr>
          <w:tblCellSpacing w:w="15" w:type="dxa"/>
        </w:trPr>
        <w:tc>
          <w:tcPr>
            <w:tcW w:w="1081" w:type="dxa"/>
            <w:vAlign w:val="center"/>
            <w:hideMark/>
          </w:tcPr>
          <w:p w14:paraId="6C5E5827"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2022</w:t>
            </w:r>
          </w:p>
        </w:tc>
        <w:tc>
          <w:tcPr>
            <w:tcW w:w="2238" w:type="dxa"/>
            <w:vAlign w:val="center"/>
            <w:hideMark/>
          </w:tcPr>
          <w:p w14:paraId="7A68AEB9"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61,344</w:t>
            </w:r>
          </w:p>
        </w:tc>
        <w:tc>
          <w:tcPr>
            <w:tcW w:w="2664" w:type="dxa"/>
            <w:vAlign w:val="center"/>
            <w:hideMark/>
          </w:tcPr>
          <w:p w14:paraId="1D03F867"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1,200</w:t>
            </w:r>
          </w:p>
        </w:tc>
        <w:tc>
          <w:tcPr>
            <w:tcW w:w="2931" w:type="dxa"/>
            <w:vAlign w:val="center"/>
            <w:hideMark/>
          </w:tcPr>
          <w:p w14:paraId="3C5D515F"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51.12</w:t>
            </w:r>
          </w:p>
        </w:tc>
      </w:tr>
    </w:tbl>
    <w:p w14:paraId="33E1F2E0" w14:textId="77777777" w:rsidR="00EA48D0" w:rsidRPr="00EA48D0" w:rsidRDefault="00EA48D0" w:rsidP="00EA48D0">
      <w:pPr>
        <w:spacing w:after="0" w:line="240" w:lineRule="auto"/>
        <w:rPr>
          <w:rFonts w:ascii="Arial" w:eastAsia="Times New Roman" w:hAnsi="Arial" w:cs="Arial"/>
          <w:vanish/>
          <w:kern w:val="0"/>
          <w:lang w:eastAsia="en-GB"/>
          <w14:ligatures w14:val="none"/>
        </w:rPr>
      </w:pPr>
    </w:p>
    <w:tbl>
      <w:tblPr>
        <w:tblW w:w="9064"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126"/>
        <w:gridCol w:w="2268"/>
        <w:gridCol w:w="2694"/>
        <w:gridCol w:w="2976"/>
      </w:tblGrid>
      <w:tr w:rsidR="00EA48D0" w:rsidRPr="00EA48D0" w14:paraId="16EA9BE3" w14:textId="77777777" w:rsidTr="00EA48D0">
        <w:trPr>
          <w:tblCellSpacing w:w="15" w:type="dxa"/>
        </w:trPr>
        <w:tc>
          <w:tcPr>
            <w:tcW w:w="1081" w:type="dxa"/>
            <w:vAlign w:val="center"/>
            <w:hideMark/>
          </w:tcPr>
          <w:p w14:paraId="7E2F46E6"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2023</w:t>
            </w:r>
          </w:p>
        </w:tc>
        <w:tc>
          <w:tcPr>
            <w:tcW w:w="2238" w:type="dxa"/>
            <w:vAlign w:val="center"/>
            <w:hideMark/>
          </w:tcPr>
          <w:p w14:paraId="76BFE95A"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65,762</w:t>
            </w:r>
          </w:p>
        </w:tc>
        <w:tc>
          <w:tcPr>
            <w:tcW w:w="2664" w:type="dxa"/>
            <w:vAlign w:val="center"/>
            <w:hideMark/>
          </w:tcPr>
          <w:p w14:paraId="3B680F04"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1,300</w:t>
            </w:r>
          </w:p>
        </w:tc>
        <w:tc>
          <w:tcPr>
            <w:tcW w:w="2931" w:type="dxa"/>
            <w:vAlign w:val="center"/>
            <w:hideMark/>
          </w:tcPr>
          <w:p w14:paraId="2214E6E5" w14:textId="77777777" w:rsidR="00EA48D0" w:rsidRPr="00EA48D0" w:rsidRDefault="00EA48D0" w:rsidP="00EA48D0">
            <w:pPr>
              <w:spacing w:after="0" w:line="240" w:lineRule="auto"/>
              <w:rPr>
                <w:rFonts w:ascii="Arial" w:eastAsia="Times New Roman" w:hAnsi="Arial" w:cs="Arial"/>
                <w:kern w:val="0"/>
                <w:lang w:eastAsia="en-GB"/>
                <w14:ligatures w14:val="none"/>
              </w:rPr>
            </w:pPr>
            <w:r w:rsidRPr="00EA48D0">
              <w:rPr>
                <w:rFonts w:ascii="Arial" w:eastAsia="Times New Roman" w:hAnsi="Arial" w:cs="Arial"/>
                <w:kern w:val="0"/>
                <w:lang w:eastAsia="en-GB"/>
                <w14:ligatures w14:val="none"/>
              </w:rPr>
              <w:t>50.58</w:t>
            </w:r>
          </w:p>
        </w:tc>
      </w:tr>
    </w:tbl>
    <w:p w14:paraId="14878063" w14:textId="77777777" w:rsidR="00EA48D0" w:rsidRDefault="00EA48D0" w:rsidP="00EB63D4">
      <w:pPr>
        <w:spacing w:line="480" w:lineRule="auto"/>
        <w:rPr>
          <w:rFonts w:ascii="Arial" w:hAnsi="Arial" w:cs="Arial"/>
        </w:rPr>
      </w:pPr>
    </w:p>
    <w:p w14:paraId="4416BFDD" w14:textId="63F6F7A6" w:rsidR="00EA48D0" w:rsidRDefault="00EA48D0" w:rsidP="00EB63D4">
      <w:pPr>
        <w:spacing w:line="480" w:lineRule="auto"/>
        <w:rPr>
          <w:rFonts w:ascii="Arial" w:hAnsi="Arial" w:cs="Arial"/>
        </w:rPr>
      </w:pPr>
      <w:r>
        <w:rPr>
          <w:rFonts w:ascii="Arial" w:hAnsi="Arial" w:cs="Arial"/>
        </w:rPr>
        <w:t>Formula</w:t>
      </w:r>
      <w:r w:rsidR="00EB63D4" w:rsidRPr="00EB63D4">
        <w:rPr>
          <w:rFonts w:ascii="Arial" w:hAnsi="Arial" w:cs="Arial"/>
        </w:rPr>
        <w:t xml:space="preserve">: </w:t>
      </w:r>
      <w:r w:rsidR="00EB63D4" w:rsidRPr="00EA48D0">
        <w:rPr>
          <w:rFonts w:ascii="Arial" w:hAnsi="Arial" w:cs="Arial"/>
          <w:b/>
          <w:bCs/>
        </w:rPr>
        <w:t>Receivables Turnover = Revenue / Average Receivables</w:t>
      </w:r>
    </w:p>
    <w:p w14:paraId="4B91601C" w14:textId="40A76F0D" w:rsidR="00EA48D0" w:rsidRDefault="00EB63D4" w:rsidP="00EB63D4">
      <w:pPr>
        <w:spacing w:line="480" w:lineRule="auto"/>
        <w:rPr>
          <w:rFonts w:ascii="Arial" w:hAnsi="Arial" w:cs="Arial"/>
        </w:rPr>
      </w:pPr>
      <w:r w:rsidRPr="00EB63D4">
        <w:rPr>
          <w:rFonts w:ascii="Arial" w:hAnsi="Arial" w:cs="Arial"/>
        </w:rPr>
        <w:t>The slight decrease in receivables turnover from 51.12 in 2022 to 50.58 in 2023 indicates that while Tesco is still collecting revenue from customers efficiently, the speed of collection may have slowed somewhat. This may be due to changing credit policies, delay in payments, or a greater percentage of revenue from customers with extended payment terms (Brown, 2019</w:t>
      </w:r>
      <w:r w:rsidR="003673CE">
        <w:rPr>
          <w:rFonts w:ascii="Arial" w:hAnsi="Arial" w:cs="Arial"/>
        </w:rPr>
        <w:t>.</w:t>
      </w:r>
      <w:r w:rsidRPr="00EB63D4">
        <w:rPr>
          <w:rFonts w:ascii="Arial" w:hAnsi="Arial" w:cs="Arial"/>
        </w:rPr>
        <w:t>)</w:t>
      </w:r>
    </w:p>
    <w:p w14:paraId="51DAB881" w14:textId="77777777" w:rsidR="003673CE" w:rsidRPr="00631D7D" w:rsidRDefault="00EB63D4" w:rsidP="00EB63D4">
      <w:pPr>
        <w:spacing w:line="480" w:lineRule="auto"/>
        <w:rPr>
          <w:rFonts w:ascii="Arial Black" w:hAnsi="Arial Black" w:cs="Arial"/>
          <w:color w:val="4C94D8" w:themeColor="text2" w:themeTint="80"/>
        </w:rPr>
      </w:pPr>
      <w:r w:rsidRPr="00631D7D">
        <w:rPr>
          <w:rFonts w:ascii="Arial Black" w:hAnsi="Arial Black" w:cs="Arial"/>
          <w:color w:val="4C94D8" w:themeColor="text2" w:themeTint="80"/>
        </w:rPr>
        <w:t>Factors Impacting Performance</w:t>
      </w:r>
    </w:p>
    <w:p w14:paraId="429280D2" w14:textId="77777777" w:rsidR="003673CE" w:rsidRDefault="00EB63D4" w:rsidP="00EB63D4">
      <w:pPr>
        <w:spacing w:line="480" w:lineRule="auto"/>
        <w:rPr>
          <w:rFonts w:ascii="Arial" w:hAnsi="Arial" w:cs="Arial"/>
        </w:rPr>
      </w:pPr>
      <w:r w:rsidRPr="00EB63D4">
        <w:rPr>
          <w:rFonts w:ascii="Arial" w:hAnsi="Arial" w:cs="Arial"/>
        </w:rPr>
        <w:t>Several factors have impacted Tesco's financial performance over the last two years:</w:t>
      </w:r>
    </w:p>
    <w:p w14:paraId="7E5C30F2" w14:textId="77777777" w:rsidR="003673CE" w:rsidRPr="00631D7D" w:rsidRDefault="00EB63D4" w:rsidP="00631D7D">
      <w:pPr>
        <w:pStyle w:val="ListParagraph"/>
        <w:numPr>
          <w:ilvl w:val="0"/>
          <w:numId w:val="2"/>
        </w:numPr>
        <w:spacing w:line="480" w:lineRule="auto"/>
        <w:rPr>
          <w:rFonts w:ascii="Arial" w:hAnsi="Arial" w:cs="Arial"/>
        </w:rPr>
      </w:pPr>
      <w:r w:rsidRPr="00631D7D">
        <w:rPr>
          <w:rFonts w:ascii="Arial" w:hAnsi="Arial" w:cs="Arial"/>
        </w:rPr>
        <w:t>Competition: Intense competition from budget retailers like Aldi and Lidl has become increasingly popular with cost-sensitive consumers. There has also been an increase in the threat of online-only retailers and more customer price sensitivity has worked against Tesco's profit margins (Mintel, 2023).</w:t>
      </w:r>
    </w:p>
    <w:p w14:paraId="2DF7987C" w14:textId="77777777" w:rsidR="003673CE" w:rsidRPr="00631D7D" w:rsidRDefault="00EB63D4" w:rsidP="00631D7D">
      <w:pPr>
        <w:pStyle w:val="ListParagraph"/>
        <w:numPr>
          <w:ilvl w:val="0"/>
          <w:numId w:val="2"/>
        </w:numPr>
        <w:spacing w:line="480" w:lineRule="auto"/>
        <w:rPr>
          <w:rFonts w:ascii="Arial" w:hAnsi="Arial" w:cs="Arial"/>
        </w:rPr>
      </w:pPr>
      <w:r w:rsidRPr="00631D7D">
        <w:rPr>
          <w:rFonts w:ascii="Arial" w:hAnsi="Arial" w:cs="Arial"/>
        </w:rPr>
        <w:t xml:space="preserve">Economic environment: Rising costs, particularly in logistics, raw materials and </w:t>
      </w:r>
      <w:r w:rsidR="003673CE" w:rsidRPr="00631D7D">
        <w:rPr>
          <w:rFonts w:ascii="Arial" w:hAnsi="Arial" w:cs="Arial"/>
        </w:rPr>
        <w:t>labour</w:t>
      </w:r>
      <w:r w:rsidRPr="00631D7D">
        <w:rPr>
          <w:rFonts w:ascii="Arial" w:hAnsi="Arial" w:cs="Arial"/>
        </w:rPr>
        <w:t xml:space="preserve">, have all negatively impacted profitability for Tesco. In fact, the whole retail sector has struggled with supply chain disruption, inflation, and rising wages (ONS, 2023). Rising costs of goods sold ultimately reduced their profit </w:t>
      </w:r>
      <w:r w:rsidR="003673CE" w:rsidRPr="00631D7D">
        <w:rPr>
          <w:rFonts w:ascii="Arial" w:hAnsi="Arial" w:cs="Arial"/>
        </w:rPr>
        <w:t>margins.</w:t>
      </w:r>
    </w:p>
    <w:p w14:paraId="0430A87B" w14:textId="77777777" w:rsidR="003673CE" w:rsidRPr="00631D7D" w:rsidRDefault="003673CE" w:rsidP="00631D7D">
      <w:pPr>
        <w:pStyle w:val="ListParagraph"/>
        <w:numPr>
          <w:ilvl w:val="0"/>
          <w:numId w:val="2"/>
        </w:numPr>
        <w:spacing w:line="480" w:lineRule="auto"/>
        <w:rPr>
          <w:rFonts w:ascii="Arial" w:hAnsi="Arial" w:cs="Arial"/>
        </w:rPr>
      </w:pPr>
      <w:r w:rsidRPr="00631D7D">
        <w:rPr>
          <w:rFonts w:ascii="Arial" w:hAnsi="Arial" w:cs="Arial"/>
        </w:rPr>
        <w:t>Investment</w:t>
      </w:r>
      <w:r w:rsidR="00EB63D4" w:rsidRPr="00631D7D">
        <w:rPr>
          <w:rFonts w:ascii="Arial" w:hAnsi="Arial" w:cs="Arial"/>
        </w:rPr>
        <w:t xml:space="preserve"> and Digital Transformation: Tesco has made considerable investments in its digital platforms for e-commerce and delivery of products to cope with changing customer </w:t>
      </w:r>
      <w:r w:rsidRPr="00631D7D">
        <w:rPr>
          <w:rFonts w:ascii="Arial" w:hAnsi="Arial" w:cs="Arial"/>
        </w:rPr>
        <w:t>behaviours</w:t>
      </w:r>
      <w:r w:rsidR="00EB63D4" w:rsidRPr="00631D7D">
        <w:rPr>
          <w:rFonts w:ascii="Arial" w:hAnsi="Arial" w:cs="Arial"/>
        </w:rPr>
        <w:t xml:space="preserve">. These efforts are essential for the </w:t>
      </w:r>
      <w:r w:rsidR="00EB63D4" w:rsidRPr="00631D7D">
        <w:rPr>
          <w:rFonts w:ascii="Arial" w:hAnsi="Arial" w:cs="Arial"/>
        </w:rPr>
        <w:lastRenderedPageBreak/>
        <w:t>next phase of growth but have also created above-average operating costs in the short term (Johnson et al., 2020).</w:t>
      </w:r>
    </w:p>
    <w:p w14:paraId="22B897EC" w14:textId="77777777" w:rsidR="003673CE" w:rsidRPr="00631D7D" w:rsidRDefault="00EB63D4" w:rsidP="00EB63D4">
      <w:pPr>
        <w:spacing w:line="480" w:lineRule="auto"/>
        <w:rPr>
          <w:rFonts w:ascii="Arial Black" w:hAnsi="Arial Black" w:cs="Arial"/>
          <w:color w:val="4C94D8" w:themeColor="text2" w:themeTint="80"/>
        </w:rPr>
      </w:pPr>
      <w:r w:rsidRPr="00631D7D">
        <w:rPr>
          <w:rFonts w:ascii="Arial Black" w:hAnsi="Arial Black" w:cs="Arial"/>
          <w:color w:val="4C94D8" w:themeColor="text2" w:themeTint="80"/>
        </w:rPr>
        <w:t>Recommendations for Future Improvements</w:t>
      </w:r>
    </w:p>
    <w:p w14:paraId="5412A76A" w14:textId="77777777" w:rsidR="003673CE" w:rsidRDefault="00EB63D4" w:rsidP="00EB63D4">
      <w:pPr>
        <w:spacing w:line="480" w:lineRule="auto"/>
        <w:rPr>
          <w:rFonts w:ascii="Arial" w:hAnsi="Arial" w:cs="Arial"/>
        </w:rPr>
      </w:pPr>
      <w:r w:rsidRPr="00EB63D4">
        <w:rPr>
          <w:rFonts w:ascii="Arial" w:hAnsi="Arial" w:cs="Arial"/>
        </w:rPr>
        <w:t>Based on the financially weak result for 2023, Tesco could follow several paths identified below to improve financial performance.</w:t>
      </w:r>
    </w:p>
    <w:p w14:paraId="1A62677F" w14:textId="77777777" w:rsidR="003673CE" w:rsidRPr="00631D7D" w:rsidRDefault="00EB63D4" w:rsidP="00631D7D">
      <w:pPr>
        <w:pStyle w:val="ListParagraph"/>
        <w:numPr>
          <w:ilvl w:val="0"/>
          <w:numId w:val="1"/>
        </w:numPr>
        <w:spacing w:line="480" w:lineRule="auto"/>
        <w:rPr>
          <w:rFonts w:ascii="Arial" w:hAnsi="Arial" w:cs="Arial"/>
        </w:rPr>
      </w:pPr>
      <w:r w:rsidRPr="00631D7D">
        <w:rPr>
          <w:rFonts w:ascii="Arial" w:hAnsi="Arial" w:cs="Arial"/>
        </w:rPr>
        <w:t>Cost Control and Operational Efficiency: Tesco should look to control costs through enhanced inventory management, supply chain efficiencies, and automation in its stores and logistics (Higgins, 2012).</w:t>
      </w:r>
    </w:p>
    <w:p w14:paraId="6430AA62" w14:textId="77777777" w:rsidR="003673CE" w:rsidRPr="00631D7D" w:rsidRDefault="00EB63D4" w:rsidP="00631D7D">
      <w:pPr>
        <w:pStyle w:val="ListParagraph"/>
        <w:numPr>
          <w:ilvl w:val="0"/>
          <w:numId w:val="1"/>
        </w:numPr>
        <w:spacing w:line="480" w:lineRule="auto"/>
        <w:rPr>
          <w:rFonts w:ascii="Arial" w:hAnsi="Arial" w:cs="Arial"/>
        </w:rPr>
      </w:pPr>
      <w:r w:rsidRPr="00631D7D">
        <w:rPr>
          <w:rFonts w:ascii="Arial" w:hAnsi="Arial" w:cs="Arial"/>
        </w:rPr>
        <w:t>Products Diversification: New product lines, in particular premium product lines, could lead to improved margins for Tesco. The company could explore ideas such as health foods, organic foods, and home products, which are all high margin product lines (Porter, 2008).</w:t>
      </w:r>
    </w:p>
    <w:p w14:paraId="7AD54112" w14:textId="77777777" w:rsidR="003673CE" w:rsidRPr="00631D7D" w:rsidRDefault="00EB63D4" w:rsidP="00631D7D">
      <w:pPr>
        <w:pStyle w:val="ListParagraph"/>
        <w:numPr>
          <w:ilvl w:val="0"/>
          <w:numId w:val="1"/>
        </w:numPr>
        <w:spacing w:line="480" w:lineRule="auto"/>
        <w:rPr>
          <w:rFonts w:ascii="Arial" w:hAnsi="Arial" w:cs="Arial"/>
        </w:rPr>
      </w:pPr>
      <w:r w:rsidRPr="00631D7D">
        <w:rPr>
          <w:rFonts w:ascii="Arial" w:hAnsi="Arial" w:cs="Arial"/>
        </w:rPr>
        <w:t>Improved Liquidity Management: Tesco could further improve its cash management by negotiating supplier terms, establishing reliable supplier forecasting, and potentially decreasing bad debt to reduce reliance on short term debt. With improved liquidity, Tesco could decrease risk associated with economic and financial uncertainty (Watson &amp; Head, 2019).</w:t>
      </w:r>
    </w:p>
    <w:p w14:paraId="23013D04" w14:textId="77777777" w:rsidR="003673CE" w:rsidRPr="00631D7D" w:rsidRDefault="00EB63D4" w:rsidP="00631D7D">
      <w:pPr>
        <w:pStyle w:val="ListParagraph"/>
        <w:numPr>
          <w:ilvl w:val="0"/>
          <w:numId w:val="1"/>
        </w:numPr>
        <w:spacing w:line="480" w:lineRule="auto"/>
        <w:rPr>
          <w:rFonts w:ascii="Arial" w:hAnsi="Arial" w:cs="Arial"/>
        </w:rPr>
      </w:pPr>
      <w:r w:rsidRPr="00631D7D">
        <w:rPr>
          <w:rFonts w:ascii="Arial" w:hAnsi="Arial" w:cs="Arial"/>
        </w:rPr>
        <w:t>Sustainability and Innovation: As financial and environmental factors continue to be highlighted, it is important to continue the company’s improvements in the sustainability agenda from sourcing to waste management. Sustainability investments enhance company reputation and is important with a more environmentally aware customer base (Elkington, 2018).</w:t>
      </w:r>
    </w:p>
    <w:p w14:paraId="78743AFC" w14:textId="77777777" w:rsidR="00D826CD" w:rsidRDefault="00D826CD" w:rsidP="00EB63D4">
      <w:pPr>
        <w:spacing w:line="480" w:lineRule="auto"/>
        <w:rPr>
          <w:rFonts w:ascii="Arial" w:hAnsi="Arial" w:cs="Arial"/>
        </w:rPr>
      </w:pPr>
    </w:p>
    <w:p w14:paraId="52B08D3A" w14:textId="381AD543" w:rsidR="003673CE" w:rsidRPr="00631D7D" w:rsidRDefault="00EB63D4" w:rsidP="00EB63D4">
      <w:pPr>
        <w:spacing w:line="480" w:lineRule="auto"/>
        <w:rPr>
          <w:rFonts w:ascii="Arial Black" w:hAnsi="Arial Black" w:cs="Arial"/>
          <w:color w:val="4C94D8" w:themeColor="text2" w:themeTint="80"/>
        </w:rPr>
      </w:pPr>
      <w:r w:rsidRPr="00631D7D">
        <w:rPr>
          <w:rFonts w:ascii="Arial Black" w:hAnsi="Arial Black" w:cs="Arial"/>
          <w:color w:val="4C94D8" w:themeColor="text2" w:themeTint="80"/>
        </w:rPr>
        <w:lastRenderedPageBreak/>
        <w:t>Conclusion</w:t>
      </w:r>
    </w:p>
    <w:p w14:paraId="0A3512CF" w14:textId="7DA64C17" w:rsidR="00EB63D4" w:rsidRDefault="00EB63D4" w:rsidP="00EB63D4">
      <w:pPr>
        <w:spacing w:line="480" w:lineRule="auto"/>
        <w:rPr>
          <w:rFonts w:ascii="Arial" w:hAnsi="Arial" w:cs="Arial"/>
        </w:rPr>
      </w:pPr>
      <w:r w:rsidRPr="00EB63D4">
        <w:rPr>
          <w:rFonts w:ascii="Arial" w:hAnsi="Arial" w:cs="Arial"/>
        </w:rPr>
        <w:t xml:space="preserve">Financial ratios analysis of Tesco PLC for the years 2022 and 2023 reveal important insights into profitability, liquidity and operational efficiencies within the company. Even with substantial growth in revenue, the declining profitability ratios suggest that the company is facing mounting pressures related to tolls and competition. By focusing on cost restructuring, product mix diversification, and improved liquidity, the company will be better able to </w:t>
      </w:r>
      <w:r w:rsidR="003673CE" w:rsidRPr="00EB63D4">
        <w:rPr>
          <w:rFonts w:ascii="Arial" w:hAnsi="Arial" w:cs="Arial"/>
        </w:rPr>
        <w:t>manoeuvre</w:t>
      </w:r>
      <w:r w:rsidRPr="00EB63D4">
        <w:rPr>
          <w:rFonts w:ascii="Arial" w:hAnsi="Arial" w:cs="Arial"/>
        </w:rPr>
        <w:t xml:space="preserve"> through continued complexity within a retail environment. Additionally, </w:t>
      </w:r>
      <w:r w:rsidR="00FE3383" w:rsidRPr="00EB63D4">
        <w:rPr>
          <w:rFonts w:ascii="Arial" w:hAnsi="Arial" w:cs="Arial"/>
        </w:rPr>
        <w:t>beneficial is</w:t>
      </w:r>
      <w:r w:rsidRPr="00EB63D4">
        <w:rPr>
          <w:rFonts w:ascii="Arial" w:hAnsi="Arial" w:cs="Arial"/>
        </w:rPr>
        <w:t xml:space="preserve"> further investment in technology and sustainability that can contribute to future growth while developing resilience against financial challenges.</w:t>
      </w:r>
    </w:p>
    <w:p w14:paraId="04C91DB3" w14:textId="77777777" w:rsidR="00FE3383" w:rsidRDefault="00FE3383" w:rsidP="00EB63D4">
      <w:pPr>
        <w:spacing w:line="480" w:lineRule="auto"/>
        <w:rPr>
          <w:rFonts w:ascii="Arial" w:hAnsi="Arial" w:cs="Arial"/>
        </w:rPr>
      </w:pPr>
    </w:p>
    <w:p w14:paraId="365D11C7" w14:textId="77777777" w:rsidR="00FE3383" w:rsidRDefault="00FE3383" w:rsidP="00EB63D4">
      <w:pPr>
        <w:spacing w:line="480" w:lineRule="auto"/>
        <w:rPr>
          <w:rFonts w:ascii="Arial" w:hAnsi="Arial" w:cs="Arial"/>
        </w:rPr>
      </w:pPr>
    </w:p>
    <w:p w14:paraId="60191D49" w14:textId="77777777" w:rsidR="00FE3383" w:rsidRDefault="00FE3383" w:rsidP="00EB63D4">
      <w:pPr>
        <w:spacing w:line="480" w:lineRule="auto"/>
        <w:rPr>
          <w:rFonts w:ascii="Arial" w:hAnsi="Arial" w:cs="Arial"/>
        </w:rPr>
      </w:pPr>
    </w:p>
    <w:p w14:paraId="1C93B9D2" w14:textId="77777777" w:rsidR="00FE3383" w:rsidRDefault="00FE3383" w:rsidP="00EB63D4">
      <w:pPr>
        <w:spacing w:line="480" w:lineRule="auto"/>
        <w:rPr>
          <w:rFonts w:ascii="Arial" w:hAnsi="Arial" w:cs="Arial"/>
        </w:rPr>
      </w:pPr>
    </w:p>
    <w:p w14:paraId="0FCFC961" w14:textId="77777777" w:rsidR="00FE3383" w:rsidRDefault="00FE3383" w:rsidP="00EB63D4">
      <w:pPr>
        <w:spacing w:line="480" w:lineRule="auto"/>
        <w:rPr>
          <w:rFonts w:ascii="Arial" w:hAnsi="Arial" w:cs="Arial"/>
        </w:rPr>
      </w:pPr>
    </w:p>
    <w:p w14:paraId="461A6B30" w14:textId="77777777" w:rsidR="00FE3383" w:rsidRDefault="00FE3383" w:rsidP="00EB63D4">
      <w:pPr>
        <w:spacing w:line="480" w:lineRule="auto"/>
        <w:rPr>
          <w:rFonts w:ascii="Arial" w:hAnsi="Arial" w:cs="Arial"/>
        </w:rPr>
      </w:pPr>
    </w:p>
    <w:p w14:paraId="4D84A308" w14:textId="77777777" w:rsidR="00FE3383" w:rsidRDefault="00FE3383" w:rsidP="00EB63D4">
      <w:pPr>
        <w:spacing w:line="480" w:lineRule="auto"/>
        <w:rPr>
          <w:rFonts w:ascii="Arial" w:hAnsi="Arial" w:cs="Arial"/>
        </w:rPr>
      </w:pPr>
    </w:p>
    <w:p w14:paraId="6B9DC706" w14:textId="77777777" w:rsidR="00FE3383" w:rsidRDefault="00FE3383" w:rsidP="00EB63D4">
      <w:pPr>
        <w:spacing w:line="480" w:lineRule="auto"/>
        <w:rPr>
          <w:rFonts w:ascii="Arial" w:hAnsi="Arial" w:cs="Arial"/>
        </w:rPr>
      </w:pPr>
    </w:p>
    <w:p w14:paraId="6E1C07C4" w14:textId="77777777" w:rsidR="00FE3383" w:rsidRDefault="00FE3383" w:rsidP="00EB63D4">
      <w:pPr>
        <w:spacing w:line="480" w:lineRule="auto"/>
        <w:rPr>
          <w:rFonts w:ascii="Arial" w:hAnsi="Arial" w:cs="Arial"/>
        </w:rPr>
      </w:pPr>
    </w:p>
    <w:p w14:paraId="21011287" w14:textId="77777777" w:rsidR="00FE3383" w:rsidRDefault="00FE3383" w:rsidP="00EB63D4">
      <w:pPr>
        <w:spacing w:line="480" w:lineRule="auto"/>
        <w:rPr>
          <w:rFonts w:ascii="Arial" w:hAnsi="Arial" w:cs="Arial"/>
        </w:rPr>
      </w:pPr>
    </w:p>
    <w:p w14:paraId="7FF0456B" w14:textId="77777777" w:rsidR="00FE3383" w:rsidRDefault="00FE3383" w:rsidP="00EB63D4">
      <w:pPr>
        <w:spacing w:line="480" w:lineRule="auto"/>
        <w:rPr>
          <w:rFonts w:ascii="Arial" w:hAnsi="Arial" w:cs="Arial"/>
        </w:rPr>
      </w:pPr>
    </w:p>
    <w:p w14:paraId="1353648E" w14:textId="01434781" w:rsidR="00FE3383" w:rsidRPr="00631D7D" w:rsidRDefault="00FE3383" w:rsidP="00EB63D4">
      <w:pPr>
        <w:spacing w:line="480" w:lineRule="auto"/>
        <w:rPr>
          <w:rFonts w:ascii="Arial Black" w:hAnsi="Arial Black" w:cs="Arial"/>
          <w:color w:val="4C94D8" w:themeColor="text2" w:themeTint="80"/>
        </w:rPr>
      </w:pPr>
      <w:r w:rsidRPr="00631D7D">
        <w:rPr>
          <w:rFonts w:ascii="Arial Black" w:hAnsi="Arial Black" w:cs="Arial"/>
          <w:color w:val="4C94D8" w:themeColor="text2" w:themeTint="80"/>
        </w:rPr>
        <w:lastRenderedPageBreak/>
        <w:t xml:space="preserve">References </w:t>
      </w:r>
    </w:p>
    <w:p w14:paraId="6D54AD78" w14:textId="77777777" w:rsidR="00FE3383" w:rsidRPr="00FE3383" w:rsidRDefault="00FE3383" w:rsidP="00FE3383">
      <w:pPr>
        <w:spacing w:line="480" w:lineRule="auto"/>
        <w:rPr>
          <w:rFonts w:ascii="Arial" w:hAnsi="Arial" w:cs="Arial"/>
        </w:rPr>
      </w:pPr>
      <w:r w:rsidRPr="00FE3383">
        <w:rPr>
          <w:rFonts w:ascii="Arial" w:hAnsi="Arial" w:cs="Arial"/>
        </w:rPr>
        <w:t xml:space="preserve">Attrill, P., &amp; McLaney, E. (2015). </w:t>
      </w:r>
      <w:r w:rsidRPr="00631D7D">
        <w:rPr>
          <w:rFonts w:ascii="Arial" w:hAnsi="Arial" w:cs="Arial"/>
          <w:i/>
          <w:iCs/>
        </w:rPr>
        <w:t>Management accounting for decision makers</w:t>
      </w:r>
      <w:r w:rsidRPr="00FE3383">
        <w:rPr>
          <w:rFonts w:ascii="Arial" w:hAnsi="Arial" w:cs="Arial"/>
        </w:rPr>
        <w:t xml:space="preserve"> (8th ed.). Cengage Learning.</w:t>
      </w:r>
    </w:p>
    <w:p w14:paraId="7D22A502" w14:textId="77777777" w:rsidR="00FE3383" w:rsidRDefault="00FE3383" w:rsidP="00FE3383">
      <w:pPr>
        <w:spacing w:line="480" w:lineRule="auto"/>
        <w:rPr>
          <w:rFonts w:ascii="Arial" w:hAnsi="Arial" w:cs="Arial"/>
        </w:rPr>
      </w:pPr>
      <w:r w:rsidRPr="00FE3383">
        <w:rPr>
          <w:rFonts w:ascii="Arial" w:hAnsi="Arial" w:cs="Arial"/>
        </w:rPr>
        <w:t xml:space="preserve">Brown, T. (2019). </w:t>
      </w:r>
      <w:r w:rsidRPr="00631D7D">
        <w:rPr>
          <w:rFonts w:ascii="Arial" w:hAnsi="Arial" w:cs="Arial"/>
          <w:i/>
          <w:iCs/>
        </w:rPr>
        <w:t>Financial management in retail</w:t>
      </w:r>
      <w:r w:rsidRPr="00FE3383">
        <w:rPr>
          <w:rFonts w:ascii="Arial" w:hAnsi="Arial" w:cs="Arial"/>
        </w:rPr>
        <w:t xml:space="preserve"> (2nd ed.). Oxford University Press.</w:t>
      </w:r>
    </w:p>
    <w:p w14:paraId="0BD0B1F0" w14:textId="2101BAD1" w:rsidR="00631D7D" w:rsidRDefault="00FE3383" w:rsidP="00FE3383">
      <w:pPr>
        <w:spacing w:line="480" w:lineRule="auto"/>
        <w:rPr>
          <w:rFonts w:ascii="Arial" w:hAnsi="Arial" w:cs="Arial"/>
        </w:rPr>
      </w:pPr>
      <w:r w:rsidRPr="00FE3383">
        <w:rPr>
          <w:rFonts w:ascii="Arial" w:hAnsi="Arial" w:cs="Arial"/>
        </w:rPr>
        <w:t>Choi, J., &amp; Wang, H. (2009). Stakeholder relations and the persistence of corporate financial performance</w:t>
      </w:r>
      <w:r w:rsidRPr="00631D7D">
        <w:rPr>
          <w:rFonts w:ascii="Arial" w:hAnsi="Arial" w:cs="Arial"/>
          <w:i/>
          <w:iCs/>
        </w:rPr>
        <w:t>. Strategic Management Journal, 30</w:t>
      </w:r>
      <w:r w:rsidRPr="00FE3383">
        <w:rPr>
          <w:rFonts w:ascii="Arial" w:hAnsi="Arial" w:cs="Arial"/>
        </w:rPr>
        <w:t xml:space="preserve">(8), 895-907. </w:t>
      </w:r>
      <w:hyperlink r:id="rId10" w:history="1">
        <w:r w:rsidR="00631D7D" w:rsidRPr="00932F96">
          <w:rPr>
            <w:rStyle w:val="Hyperlink"/>
            <w:rFonts w:ascii="Arial" w:hAnsi="Arial" w:cs="Arial"/>
          </w:rPr>
          <w:t>https://doi.org/10.1002/smj.758</w:t>
        </w:r>
      </w:hyperlink>
    </w:p>
    <w:p w14:paraId="44DC5D2D" w14:textId="23E10D87" w:rsidR="00FE3383" w:rsidRPr="00FE3383" w:rsidRDefault="00FE3383" w:rsidP="00FE3383">
      <w:pPr>
        <w:spacing w:line="480" w:lineRule="auto"/>
        <w:rPr>
          <w:rFonts w:ascii="Arial" w:hAnsi="Arial" w:cs="Arial"/>
        </w:rPr>
      </w:pPr>
      <w:r w:rsidRPr="00FE3383">
        <w:rPr>
          <w:rFonts w:ascii="Arial" w:hAnsi="Arial" w:cs="Arial"/>
        </w:rPr>
        <w:t xml:space="preserve">Drury, J. (2020). </w:t>
      </w:r>
      <w:r w:rsidRPr="00631D7D">
        <w:rPr>
          <w:rFonts w:ascii="Arial" w:hAnsi="Arial" w:cs="Arial"/>
          <w:i/>
          <w:iCs/>
        </w:rPr>
        <w:t>Management and cost accounting</w:t>
      </w:r>
      <w:r w:rsidRPr="00FE3383">
        <w:rPr>
          <w:rFonts w:ascii="Arial" w:hAnsi="Arial" w:cs="Arial"/>
        </w:rPr>
        <w:t xml:space="preserve"> (9th ed.). Cengage Learning.</w:t>
      </w:r>
    </w:p>
    <w:p w14:paraId="7CD53299" w14:textId="77777777" w:rsidR="00FE3383" w:rsidRPr="00FE3383" w:rsidRDefault="00FE3383" w:rsidP="00FE3383">
      <w:pPr>
        <w:spacing w:line="480" w:lineRule="auto"/>
        <w:rPr>
          <w:rFonts w:ascii="Arial" w:hAnsi="Arial" w:cs="Arial"/>
        </w:rPr>
      </w:pPr>
      <w:r w:rsidRPr="00FE3383">
        <w:rPr>
          <w:rFonts w:ascii="Arial" w:hAnsi="Arial" w:cs="Arial"/>
        </w:rPr>
        <w:t xml:space="preserve">Dyson, J. R. (2010). </w:t>
      </w:r>
      <w:r w:rsidRPr="00631D7D">
        <w:rPr>
          <w:rFonts w:ascii="Arial" w:hAnsi="Arial" w:cs="Arial"/>
          <w:i/>
          <w:iCs/>
        </w:rPr>
        <w:t>Accounting for non-accounting students</w:t>
      </w:r>
      <w:r w:rsidRPr="00FE3383">
        <w:rPr>
          <w:rFonts w:ascii="Arial" w:hAnsi="Arial" w:cs="Arial"/>
        </w:rPr>
        <w:t xml:space="preserve"> (8th ed.). Pearson.</w:t>
      </w:r>
    </w:p>
    <w:p w14:paraId="05B6D4B2" w14:textId="77777777" w:rsidR="00FE3383" w:rsidRPr="00FE3383" w:rsidRDefault="00FE3383" w:rsidP="00FE3383">
      <w:pPr>
        <w:spacing w:line="480" w:lineRule="auto"/>
        <w:rPr>
          <w:rFonts w:ascii="Arial" w:hAnsi="Arial" w:cs="Arial"/>
        </w:rPr>
      </w:pPr>
      <w:r w:rsidRPr="00FE3383">
        <w:rPr>
          <w:rFonts w:ascii="Arial" w:hAnsi="Arial" w:cs="Arial"/>
        </w:rPr>
        <w:t>Elkington, J. (2018</w:t>
      </w:r>
      <w:r w:rsidRPr="00631D7D">
        <w:rPr>
          <w:rFonts w:ascii="Arial" w:hAnsi="Arial" w:cs="Arial"/>
          <w:i/>
          <w:iCs/>
        </w:rPr>
        <w:t>). The triple bottom line: Does it all add up?</w:t>
      </w:r>
      <w:r w:rsidRPr="00FE3383">
        <w:rPr>
          <w:rFonts w:ascii="Arial" w:hAnsi="Arial" w:cs="Arial"/>
        </w:rPr>
        <w:t xml:space="preserve"> Earthscan.</w:t>
      </w:r>
    </w:p>
    <w:p w14:paraId="7465A299" w14:textId="77777777" w:rsidR="00FE3383" w:rsidRDefault="00FE3383" w:rsidP="00FE3383">
      <w:pPr>
        <w:spacing w:line="480" w:lineRule="auto"/>
        <w:rPr>
          <w:rFonts w:ascii="Arial" w:hAnsi="Arial" w:cs="Arial"/>
        </w:rPr>
      </w:pPr>
      <w:r w:rsidRPr="00FE3383">
        <w:rPr>
          <w:rFonts w:ascii="Arial" w:hAnsi="Arial" w:cs="Arial"/>
        </w:rPr>
        <w:t xml:space="preserve">Haskel, J., &amp; Westlake, S. (2018). </w:t>
      </w:r>
      <w:r w:rsidRPr="00631D7D">
        <w:rPr>
          <w:rFonts w:ascii="Arial" w:hAnsi="Arial" w:cs="Arial"/>
          <w:i/>
          <w:iCs/>
        </w:rPr>
        <w:t>Capitalism without capital: The rise of the intangible economy.</w:t>
      </w:r>
      <w:r w:rsidRPr="00FE3383">
        <w:rPr>
          <w:rFonts w:ascii="Arial" w:hAnsi="Arial" w:cs="Arial"/>
        </w:rPr>
        <w:t xml:space="preserve"> Princeton University Press.</w:t>
      </w:r>
    </w:p>
    <w:p w14:paraId="61BED745" w14:textId="39F417E5" w:rsidR="00631D7D" w:rsidRPr="00FE3383" w:rsidRDefault="00631D7D" w:rsidP="00FE3383">
      <w:pPr>
        <w:spacing w:line="480" w:lineRule="auto"/>
        <w:rPr>
          <w:rFonts w:ascii="Arial" w:hAnsi="Arial" w:cs="Arial"/>
        </w:rPr>
      </w:pPr>
      <w:r w:rsidRPr="00631D7D">
        <w:rPr>
          <w:rFonts w:ascii="Arial" w:hAnsi="Arial" w:cs="Arial"/>
        </w:rPr>
        <w:t xml:space="preserve">Hasanaj, P., &amp; Kuqi, B. (2019). Analysis of financial statements. </w:t>
      </w:r>
      <w:r w:rsidRPr="00631D7D">
        <w:rPr>
          <w:rFonts w:ascii="Arial" w:hAnsi="Arial" w:cs="Arial"/>
          <w:i/>
          <w:iCs/>
        </w:rPr>
        <w:t>Humanities and Social Science Research, 2</w:t>
      </w:r>
      <w:r w:rsidRPr="00631D7D">
        <w:rPr>
          <w:rFonts w:ascii="Arial" w:hAnsi="Arial" w:cs="Arial"/>
        </w:rPr>
        <w:t>(2), p17-p17.</w:t>
      </w:r>
    </w:p>
    <w:p w14:paraId="18110D15" w14:textId="77777777" w:rsidR="00FE3383" w:rsidRPr="00FE3383" w:rsidRDefault="00FE3383" w:rsidP="00FE3383">
      <w:pPr>
        <w:spacing w:line="480" w:lineRule="auto"/>
        <w:rPr>
          <w:rFonts w:ascii="Arial" w:hAnsi="Arial" w:cs="Arial"/>
        </w:rPr>
      </w:pPr>
      <w:r w:rsidRPr="00FE3383">
        <w:rPr>
          <w:rFonts w:ascii="Arial" w:hAnsi="Arial" w:cs="Arial"/>
        </w:rPr>
        <w:t xml:space="preserve">Higgins, R. C. (2012). </w:t>
      </w:r>
      <w:r w:rsidRPr="00631D7D">
        <w:rPr>
          <w:rFonts w:ascii="Arial" w:hAnsi="Arial" w:cs="Arial"/>
          <w:i/>
          <w:iCs/>
        </w:rPr>
        <w:t>Analysis for financial management</w:t>
      </w:r>
      <w:r w:rsidRPr="00FE3383">
        <w:rPr>
          <w:rFonts w:ascii="Arial" w:hAnsi="Arial" w:cs="Arial"/>
        </w:rPr>
        <w:t xml:space="preserve"> (10th ed.). McGraw-Hill.</w:t>
      </w:r>
    </w:p>
    <w:p w14:paraId="782A714E" w14:textId="77777777" w:rsidR="00FE3383" w:rsidRPr="00FE3383" w:rsidRDefault="00FE3383" w:rsidP="00FE3383">
      <w:pPr>
        <w:spacing w:line="480" w:lineRule="auto"/>
        <w:rPr>
          <w:rFonts w:ascii="Arial" w:hAnsi="Arial" w:cs="Arial"/>
        </w:rPr>
      </w:pPr>
      <w:r w:rsidRPr="00FE3383">
        <w:rPr>
          <w:rFonts w:ascii="Arial" w:hAnsi="Arial" w:cs="Arial"/>
        </w:rPr>
        <w:t xml:space="preserve">Johnson, G., Scholes, K., &amp; Whittington, R. (2020). </w:t>
      </w:r>
      <w:r w:rsidRPr="00631D7D">
        <w:rPr>
          <w:rFonts w:ascii="Arial" w:hAnsi="Arial" w:cs="Arial"/>
          <w:i/>
          <w:iCs/>
        </w:rPr>
        <w:t>Exploring strategy: Text and cases</w:t>
      </w:r>
      <w:r w:rsidRPr="00FE3383">
        <w:rPr>
          <w:rFonts w:ascii="Arial" w:hAnsi="Arial" w:cs="Arial"/>
        </w:rPr>
        <w:t xml:space="preserve"> (12th ed.). Pearson.</w:t>
      </w:r>
    </w:p>
    <w:p w14:paraId="1BD95ECB" w14:textId="2C0F768D" w:rsidR="00FE3383" w:rsidRDefault="00FE3383" w:rsidP="00FE3383">
      <w:pPr>
        <w:spacing w:line="480" w:lineRule="auto"/>
        <w:rPr>
          <w:rFonts w:ascii="Arial" w:hAnsi="Arial" w:cs="Arial"/>
        </w:rPr>
      </w:pPr>
      <w:r w:rsidRPr="00FE3383">
        <w:rPr>
          <w:rFonts w:ascii="Arial" w:hAnsi="Arial" w:cs="Arial"/>
        </w:rPr>
        <w:t xml:space="preserve">Kothari, S. P. (2001). Capital markets research in accounting. </w:t>
      </w:r>
      <w:r w:rsidRPr="00631D7D">
        <w:rPr>
          <w:rFonts w:ascii="Arial" w:hAnsi="Arial" w:cs="Arial"/>
          <w:i/>
          <w:iCs/>
        </w:rPr>
        <w:t>Journal of Accounting and Economics, 31</w:t>
      </w:r>
      <w:r w:rsidRPr="00FE3383">
        <w:rPr>
          <w:rFonts w:ascii="Arial" w:hAnsi="Arial" w:cs="Arial"/>
        </w:rPr>
        <w:t xml:space="preserve">(1-3), 105-253. </w:t>
      </w:r>
      <w:hyperlink r:id="rId11" w:history="1">
        <w:r w:rsidR="00631D7D" w:rsidRPr="00932F96">
          <w:rPr>
            <w:rStyle w:val="Hyperlink"/>
            <w:rFonts w:ascii="Arial" w:hAnsi="Arial" w:cs="Arial"/>
          </w:rPr>
          <w:t>https://doi.org/10.1016/S0165-4101(01)00030-5</w:t>
        </w:r>
      </w:hyperlink>
    </w:p>
    <w:p w14:paraId="47073A84" w14:textId="07B24C40" w:rsidR="00631D7D" w:rsidRPr="00FE3383" w:rsidRDefault="00631D7D" w:rsidP="00FE3383">
      <w:pPr>
        <w:spacing w:line="480" w:lineRule="auto"/>
        <w:rPr>
          <w:rFonts w:ascii="Arial" w:hAnsi="Arial" w:cs="Arial"/>
        </w:rPr>
      </w:pPr>
      <w:proofErr w:type="spellStart"/>
      <w:r w:rsidRPr="00631D7D">
        <w:rPr>
          <w:rFonts w:ascii="Arial" w:hAnsi="Arial" w:cs="Arial"/>
        </w:rPr>
        <w:t>Karanovic</w:t>
      </w:r>
      <w:proofErr w:type="spellEnd"/>
      <w:r w:rsidRPr="00631D7D">
        <w:rPr>
          <w:rFonts w:ascii="Arial" w:hAnsi="Arial" w:cs="Arial"/>
        </w:rPr>
        <w:t xml:space="preserve">, G., Bogdan, S., &amp; </w:t>
      </w:r>
      <w:proofErr w:type="spellStart"/>
      <w:r w:rsidRPr="00631D7D">
        <w:rPr>
          <w:rFonts w:ascii="Arial" w:hAnsi="Arial" w:cs="Arial"/>
        </w:rPr>
        <w:t>Baresa</w:t>
      </w:r>
      <w:proofErr w:type="spellEnd"/>
      <w:r w:rsidRPr="00631D7D">
        <w:rPr>
          <w:rFonts w:ascii="Arial" w:hAnsi="Arial" w:cs="Arial"/>
        </w:rPr>
        <w:t xml:space="preserve">, S. (2010). Financial analysis fundament for assessment the value of the company. </w:t>
      </w:r>
      <w:r w:rsidRPr="00631D7D">
        <w:rPr>
          <w:rFonts w:ascii="Arial" w:hAnsi="Arial" w:cs="Arial"/>
          <w:i/>
          <w:iCs/>
        </w:rPr>
        <w:t>UTMS Journal of economics, 1</w:t>
      </w:r>
      <w:r w:rsidRPr="00631D7D">
        <w:rPr>
          <w:rFonts w:ascii="Arial" w:hAnsi="Arial" w:cs="Arial"/>
        </w:rPr>
        <w:t>(1), 73-84.</w:t>
      </w:r>
    </w:p>
    <w:p w14:paraId="7D166390" w14:textId="77777777" w:rsidR="00FE3383" w:rsidRPr="00FE3383" w:rsidRDefault="00FE3383" w:rsidP="00FE3383">
      <w:pPr>
        <w:spacing w:line="480" w:lineRule="auto"/>
        <w:rPr>
          <w:rFonts w:ascii="Arial" w:hAnsi="Arial" w:cs="Arial"/>
        </w:rPr>
      </w:pPr>
    </w:p>
    <w:p w14:paraId="5EF69900" w14:textId="77777777" w:rsidR="00FE3383" w:rsidRPr="00FE3383" w:rsidRDefault="00FE3383" w:rsidP="00FE3383">
      <w:pPr>
        <w:spacing w:line="480" w:lineRule="auto"/>
        <w:rPr>
          <w:rFonts w:ascii="Arial" w:hAnsi="Arial" w:cs="Arial"/>
        </w:rPr>
      </w:pPr>
      <w:r w:rsidRPr="00FE3383">
        <w:rPr>
          <w:rFonts w:ascii="Arial" w:hAnsi="Arial" w:cs="Arial"/>
        </w:rPr>
        <w:t xml:space="preserve">Kotler, P., &amp; Keller, K. L. (2020). </w:t>
      </w:r>
      <w:r w:rsidRPr="00631D7D">
        <w:rPr>
          <w:rFonts w:ascii="Arial" w:hAnsi="Arial" w:cs="Arial"/>
          <w:i/>
          <w:iCs/>
        </w:rPr>
        <w:t>Marketing management</w:t>
      </w:r>
      <w:r w:rsidRPr="00FE3383">
        <w:rPr>
          <w:rFonts w:ascii="Arial" w:hAnsi="Arial" w:cs="Arial"/>
        </w:rPr>
        <w:t xml:space="preserve"> (15th ed.). Pearson.</w:t>
      </w:r>
    </w:p>
    <w:p w14:paraId="18A21017" w14:textId="0D09D679" w:rsidR="00FE3383" w:rsidRPr="00FE3383" w:rsidRDefault="00FE3383" w:rsidP="00FE3383">
      <w:pPr>
        <w:spacing w:line="480" w:lineRule="auto"/>
        <w:rPr>
          <w:rFonts w:ascii="Arial" w:hAnsi="Arial" w:cs="Arial"/>
        </w:rPr>
      </w:pPr>
      <w:r w:rsidRPr="00FE3383">
        <w:rPr>
          <w:rFonts w:ascii="Arial" w:hAnsi="Arial" w:cs="Arial"/>
        </w:rPr>
        <w:t>Mintel. (2023). UK Supermarkets Report 2023.</w:t>
      </w:r>
      <w:r w:rsidR="00631D7D">
        <w:rPr>
          <w:rFonts w:ascii="Arial" w:hAnsi="Arial" w:cs="Arial"/>
        </w:rPr>
        <w:t xml:space="preserve"> Available at: </w:t>
      </w:r>
      <w:hyperlink r:id="rId12" w:history="1">
        <w:r w:rsidR="00631D7D" w:rsidRPr="00932F96">
          <w:rPr>
            <w:rStyle w:val="Hyperlink"/>
            <w:rFonts w:ascii="Arial" w:hAnsi="Arial" w:cs="Arial"/>
          </w:rPr>
          <w:t>https://store.mintel.com/report/uk-supermarkets-market-report-2023</w:t>
        </w:r>
      </w:hyperlink>
      <w:r w:rsidR="00631D7D">
        <w:rPr>
          <w:rFonts w:ascii="Arial" w:hAnsi="Arial" w:cs="Arial"/>
        </w:rPr>
        <w:t xml:space="preserve"> </w:t>
      </w:r>
    </w:p>
    <w:p w14:paraId="41D346D8" w14:textId="3A77BE49" w:rsidR="00FE3383" w:rsidRPr="00FE3383" w:rsidRDefault="00FE3383" w:rsidP="00FE3383">
      <w:pPr>
        <w:spacing w:line="480" w:lineRule="auto"/>
        <w:rPr>
          <w:rFonts w:ascii="Arial" w:hAnsi="Arial" w:cs="Arial"/>
        </w:rPr>
      </w:pPr>
      <w:r w:rsidRPr="00FE3383">
        <w:rPr>
          <w:rFonts w:ascii="Arial" w:hAnsi="Arial" w:cs="Arial"/>
        </w:rPr>
        <w:t>Office for National Statistics (ONS). (2023). Inflation and price indices.</w:t>
      </w:r>
      <w:r w:rsidR="00631D7D">
        <w:rPr>
          <w:rFonts w:ascii="Arial" w:hAnsi="Arial" w:cs="Arial"/>
        </w:rPr>
        <w:t xml:space="preserve"> Available at: </w:t>
      </w:r>
      <w:hyperlink r:id="rId13" w:history="1">
        <w:r w:rsidR="00631D7D" w:rsidRPr="00932F96">
          <w:rPr>
            <w:rStyle w:val="Hyperlink"/>
            <w:rFonts w:ascii="Arial" w:hAnsi="Arial" w:cs="Arial"/>
          </w:rPr>
          <w:t>https://www.ons.gov.uk/economy/inflationandpriceindices</w:t>
        </w:r>
      </w:hyperlink>
      <w:r w:rsidR="00631D7D">
        <w:rPr>
          <w:rFonts w:ascii="Arial" w:hAnsi="Arial" w:cs="Arial"/>
        </w:rPr>
        <w:t xml:space="preserve"> </w:t>
      </w:r>
    </w:p>
    <w:p w14:paraId="161522FA" w14:textId="77777777" w:rsidR="00FE3383" w:rsidRDefault="00FE3383" w:rsidP="00FE3383">
      <w:pPr>
        <w:spacing w:line="480" w:lineRule="auto"/>
        <w:rPr>
          <w:rFonts w:ascii="Arial" w:hAnsi="Arial" w:cs="Arial"/>
        </w:rPr>
      </w:pPr>
      <w:r w:rsidRPr="00FE3383">
        <w:rPr>
          <w:rFonts w:ascii="Arial" w:hAnsi="Arial" w:cs="Arial"/>
        </w:rPr>
        <w:t xml:space="preserve">Porter, M. E. (2008). </w:t>
      </w:r>
      <w:r w:rsidRPr="00631D7D">
        <w:rPr>
          <w:rFonts w:ascii="Arial" w:hAnsi="Arial" w:cs="Arial"/>
          <w:i/>
          <w:iCs/>
        </w:rPr>
        <w:t>Competitive advantage: Creating and sustaining superior performance.</w:t>
      </w:r>
      <w:r w:rsidRPr="00FE3383">
        <w:rPr>
          <w:rFonts w:ascii="Arial" w:hAnsi="Arial" w:cs="Arial"/>
        </w:rPr>
        <w:t xml:space="preserve"> Simon and Schuster.</w:t>
      </w:r>
    </w:p>
    <w:p w14:paraId="6CEF75A2" w14:textId="2E61D535" w:rsidR="00631D7D" w:rsidRPr="00FE3383" w:rsidRDefault="00631D7D" w:rsidP="00FE3383">
      <w:pPr>
        <w:spacing w:line="480" w:lineRule="auto"/>
        <w:rPr>
          <w:rFonts w:ascii="Arial" w:hAnsi="Arial" w:cs="Arial"/>
        </w:rPr>
      </w:pPr>
      <w:r w:rsidRPr="00631D7D">
        <w:rPr>
          <w:rFonts w:ascii="Arial" w:hAnsi="Arial" w:cs="Arial"/>
        </w:rPr>
        <w:t xml:space="preserve">Purnama, O., Hanitha, V., &amp; </w:t>
      </w:r>
      <w:proofErr w:type="spellStart"/>
      <w:r w:rsidRPr="00631D7D">
        <w:rPr>
          <w:rFonts w:ascii="Arial" w:hAnsi="Arial" w:cs="Arial"/>
        </w:rPr>
        <w:t>Angreni</w:t>
      </w:r>
      <w:proofErr w:type="spellEnd"/>
      <w:r w:rsidRPr="00631D7D">
        <w:rPr>
          <w:rFonts w:ascii="Arial" w:hAnsi="Arial" w:cs="Arial"/>
        </w:rPr>
        <w:t xml:space="preserve">, T. A. (2020). Financial Statement Analysis to Assess Company Financial Performance. </w:t>
      </w:r>
      <w:r w:rsidRPr="00631D7D">
        <w:rPr>
          <w:rFonts w:ascii="Arial" w:hAnsi="Arial" w:cs="Arial"/>
          <w:i/>
          <w:iCs/>
        </w:rPr>
        <w:t>Eco</w:t>
      </w:r>
      <w:r w:rsidRPr="00631D7D">
        <w:rPr>
          <w:rFonts w:ascii="Arial" w:hAnsi="Arial" w:cs="Arial"/>
          <w:i/>
          <w:iCs/>
        </w:rPr>
        <w:t>-Fin, 2</w:t>
      </w:r>
      <w:r w:rsidRPr="00631D7D">
        <w:rPr>
          <w:rFonts w:ascii="Arial" w:hAnsi="Arial" w:cs="Arial"/>
        </w:rPr>
        <w:t>(3), 168-174.</w:t>
      </w:r>
    </w:p>
    <w:p w14:paraId="3C87318F" w14:textId="2BD0947D" w:rsidR="00FE3383" w:rsidRPr="00FE3383" w:rsidRDefault="00FE3383" w:rsidP="00FE3383">
      <w:pPr>
        <w:spacing w:line="480" w:lineRule="auto"/>
        <w:rPr>
          <w:rFonts w:ascii="Arial" w:hAnsi="Arial" w:cs="Arial"/>
        </w:rPr>
      </w:pPr>
      <w:r w:rsidRPr="00FE3383">
        <w:rPr>
          <w:rFonts w:ascii="Arial" w:hAnsi="Arial" w:cs="Arial"/>
        </w:rPr>
        <w:t xml:space="preserve">Tesco Annual Report. (2023). </w:t>
      </w:r>
      <w:r w:rsidRPr="00631D7D">
        <w:rPr>
          <w:rFonts w:ascii="Arial" w:hAnsi="Arial" w:cs="Arial"/>
          <w:i/>
          <w:iCs/>
        </w:rPr>
        <w:t>Tesco PLC annual report and financial statements</w:t>
      </w:r>
      <w:r w:rsidRPr="00FE3383">
        <w:rPr>
          <w:rFonts w:ascii="Arial" w:hAnsi="Arial" w:cs="Arial"/>
        </w:rPr>
        <w:t>.</w:t>
      </w:r>
      <w:r w:rsidR="00631D7D">
        <w:rPr>
          <w:rFonts w:ascii="Arial" w:hAnsi="Arial" w:cs="Arial"/>
        </w:rPr>
        <w:t xml:space="preserve"> Available at: </w:t>
      </w:r>
      <w:hyperlink r:id="rId14" w:history="1">
        <w:r w:rsidR="00631D7D" w:rsidRPr="00932F96">
          <w:rPr>
            <w:rStyle w:val="Hyperlink"/>
            <w:rFonts w:ascii="Arial" w:hAnsi="Arial" w:cs="Arial"/>
          </w:rPr>
          <w:t>https://www.tescoplc.com/media/u1wlq2qf/tesco-plc-annual-report-2023.pdf</w:t>
        </w:r>
      </w:hyperlink>
      <w:r w:rsidR="00631D7D">
        <w:rPr>
          <w:rFonts w:ascii="Arial" w:hAnsi="Arial" w:cs="Arial"/>
        </w:rPr>
        <w:t xml:space="preserve"> </w:t>
      </w:r>
    </w:p>
    <w:p w14:paraId="70B2241B" w14:textId="77777777" w:rsidR="00FE3383" w:rsidRPr="00FE3383" w:rsidRDefault="00FE3383" w:rsidP="00FE3383">
      <w:pPr>
        <w:spacing w:line="480" w:lineRule="auto"/>
        <w:rPr>
          <w:rFonts w:ascii="Arial" w:hAnsi="Arial" w:cs="Arial"/>
        </w:rPr>
      </w:pPr>
      <w:r w:rsidRPr="00FE3383">
        <w:rPr>
          <w:rFonts w:ascii="Arial" w:hAnsi="Arial" w:cs="Arial"/>
        </w:rPr>
        <w:t xml:space="preserve">Watson, D., &amp; Head, A. (2019). </w:t>
      </w:r>
      <w:r w:rsidRPr="00631D7D">
        <w:rPr>
          <w:rFonts w:ascii="Arial" w:hAnsi="Arial" w:cs="Arial"/>
          <w:i/>
          <w:iCs/>
        </w:rPr>
        <w:t>Corporate finance: Principles and practice</w:t>
      </w:r>
      <w:r w:rsidRPr="00FE3383">
        <w:rPr>
          <w:rFonts w:ascii="Arial" w:hAnsi="Arial" w:cs="Arial"/>
        </w:rPr>
        <w:t xml:space="preserve"> (8th ed.). Pearson.</w:t>
      </w:r>
    </w:p>
    <w:p w14:paraId="58E2A583" w14:textId="77D6BDF1" w:rsidR="00FE3383" w:rsidRPr="00EB63D4" w:rsidRDefault="00FE3383" w:rsidP="00FE3383">
      <w:pPr>
        <w:spacing w:line="480" w:lineRule="auto"/>
        <w:rPr>
          <w:rFonts w:ascii="Arial" w:hAnsi="Arial" w:cs="Arial"/>
        </w:rPr>
      </w:pPr>
    </w:p>
    <w:sectPr w:rsidR="00FE3383" w:rsidRPr="00EB63D4" w:rsidSect="003673CE">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48683" w14:textId="77777777" w:rsidR="006C3D26" w:rsidRDefault="006C3D26" w:rsidP="003673CE">
      <w:pPr>
        <w:spacing w:after="0" w:line="240" w:lineRule="auto"/>
      </w:pPr>
      <w:r>
        <w:separator/>
      </w:r>
    </w:p>
  </w:endnote>
  <w:endnote w:type="continuationSeparator" w:id="0">
    <w:p w14:paraId="6AD81AE9" w14:textId="77777777" w:rsidR="006C3D26" w:rsidRDefault="006C3D26" w:rsidP="00367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E62D4" w14:textId="77777777" w:rsidR="006C3D26" w:rsidRDefault="006C3D26" w:rsidP="003673CE">
      <w:pPr>
        <w:spacing w:after="0" w:line="240" w:lineRule="auto"/>
      </w:pPr>
      <w:r>
        <w:separator/>
      </w:r>
    </w:p>
  </w:footnote>
  <w:footnote w:type="continuationSeparator" w:id="0">
    <w:p w14:paraId="3851959D" w14:textId="77777777" w:rsidR="006C3D26" w:rsidRDefault="006C3D26" w:rsidP="003673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817177"/>
      <w:docPartObj>
        <w:docPartGallery w:val="Page Numbers (Top of Page)"/>
        <w:docPartUnique/>
      </w:docPartObj>
    </w:sdtPr>
    <w:sdtEndPr>
      <w:rPr>
        <w:noProof/>
      </w:rPr>
    </w:sdtEndPr>
    <w:sdtContent>
      <w:p w14:paraId="2F527818" w14:textId="70634405" w:rsidR="003673CE" w:rsidRDefault="003673C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3DE5ED" w14:textId="77777777" w:rsidR="003673CE" w:rsidRDefault="003673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00D1"/>
    <w:multiLevelType w:val="hybridMultilevel"/>
    <w:tmpl w:val="1E5873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3339B6"/>
    <w:multiLevelType w:val="hybridMultilevel"/>
    <w:tmpl w:val="4FF6FB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6236685">
    <w:abstractNumId w:val="0"/>
  </w:num>
  <w:num w:numId="2" w16cid:durableId="33701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D4"/>
    <w:rsid w:val="003273BB"/>
    <w:rsid w:val="003673CE"/>
    <w:rsid w:val="00631D7D"/>
    <w:rsid w:val="006C3D26"/>
    <w:rsid w:val="007308EF"/>
    <w:rsid w:val="00734EC2"/>
    <w:rsid w:val="00D826CD"/>
    <w:rsid w:val="00DA434C"/>
    <w:rsid w:val="00EA48D0"/>
    <w:rsid w:val="00EB63D4"/>
    <w:rsid w:val="00FE3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F9790"/>
  <w15:chartTrackingRefBased/>
  <w15:docId w15:val="{EBE0CBD3-45DD-4FFB-B291-207CA01C7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3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3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3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3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3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3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3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3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3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3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3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3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3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3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3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3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3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3D4"/>
    <w:rPr>
      <w:rFonts w:eastAsiaTheme="majorEastAsia" w:cstheme="majorBidi"/>
      <w:color w:val="272727" w:themeColor="text1" w:themeTint="D8"/>
    </w:rPr>
  </w:style>
  <w:style w:type="paragraph" w:styleId="Title">
    <w:name w:val="Title"/>
    <w:basedOn w:val="Normal"/>
    <w:next w:val="Normal"/>
    <w:link w:val="TitleChar"/>
    <w:uiPriority w:val="10"/>
    <w:qFormat/>
    <w:rsid w:val="00EB6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3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3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3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3D4"/>
    <w:pPr>
      <w:spacing w:before="160"/>
      <w:jc w:val="center"/>
    </w:pPr>
    <w:rPr>
      <w:i/>
      <w:iCs/>
      <w:color w:val="404040" w:themeColor="text1" w:themeTint="BF"/>
    </w:rPr>
  </w:style>
  <w:style w:type="character" w:customStyle="1" w:styleId="QuoteChar">
    <w:name w:val="Quote Char"/>
    <w:basedOn w:val="DefaultParagraphFont"/>
    <w:link w:val="Quote"/>
    <w:uiPriority w:val="29"/>
    <w:rsid w:val="00EB63D4"/>
    <w:rPr>
      <w:i/>
      <w:iCs/>
      <w:color w:val="404040" w:themeColor="text1" w:themeTint="BF"/>
    </w:rPr>
  </w:style>
  <w:style w:type="paragraph" w:styleId="ListParagraph">
    <w:name w:val="List Paragraph"/>
    <w:basedOn w:val="Normal"/>
    <w:uiPriority w:val="34"/>
    <w:qFormat/>
    <w:rsid w:val="00EB63D4"/>
    <w:pPr>
      <w:ind w:left="720"/>
      <w:contextualSpacing/>
    </w:pPr>
  </w:style>
  <w:style w:type="character" w:styleId="IntenseEmphasis">
    <w:name w:val="Intense Emphasis"/>
    <w:basedOn w:val="DefaultParagraphFont"/>
    <w:uiPriority w:val="21"/>
    <w:qFormat/>
    <w:rsid w:val="00EB63D4"/>
    <w:rPr>
      <w:i/>
      <w:iCs/>
      <w:color w:val="0F4761" w:themeColor="accent1" w:themeShade="BF"/>
    </w:rPr>
  </w:style>
  <w:style w:type="paragraph" w:styleId="IntenseQuote">
    <w:name w:val="Intense Quote"/>
    <w:basedOn w:val="Normal"/>
    <w:next w:val="Normal"/>
    <w:link w:val="IntenseQuoteChar"/>
    <w:uiPriority w:val="30"/>
    <w:qFormat/>
    <w:rsid w:val="00EB63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3D4"/>
    <w:rPr>
      <w:i/>
      <w:iCs/>
      <w:color w:val="0F4761" w:themeColor="accent1" w:themeShade="BF"/>
    </w:rPr>
  </w:style>
  <w:style w:type="character" w:styleId="IntenseReference">
    <w:name w:val="Intense Reference"/>
    <w:basedOn w:val="DefaultParagraphFont"/>
    <w:uiPriority w:val="32"/>
    <w:qFormat/>
    <w:rsid w:val="00EB63D4"/>
    <w:rPr>
      <w:b/>
      <w:bCs/>
      <w:smallCaps/>
      <w:color w:val="0F4761" w:themeColor="accent1" w:themeShade="BF"/>
      <w:spacing w:val="5"/>
    </w:rPr>
  </w:style>
  <w:style w:type="paragraph" w:styleId="NoSpacing">
    <w:name w:val="No Spacing"/>
    <w:link w:val="NoSpacingChar"/>
    <w:uiPriority w:val="1"/>
    <w:qFormat/>
    <w:rsid w:val="003673C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673CE"/>
    <w:rPr>
      <w:rFonts w:eastAsiaTheme="minorEastAsia"/>
      <w:kern w:val="0"/>
      <w:sz w:val="22"/>
      <w:szCs w:val="22"/>
      <w:lang w:val="en-US"/>
      <w14:ligatures w14:val="none"/>
    </w:rPr>
  </w:style>
  <w:style w:type="paragraph" w:styleId="Header">
    <w:name w:val="header"/>
    <w:basedOn w:val="Normal"/>
    <w:link w:val="HeaderChar"/>
    <w:uiPriority w:val="99"/>
    <w:unhideWhenUsed/>
    <w:rsid w:val="003673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3CE"/>
  </w:style>
  <w:style w:type="paragraph" w:styleId="Footer">
    <w:name w:val="footer"/>
    <w:basedOn w:val="Normal"/>
    <w:link w:val="FooterChar"/>
    <w:uiPriority w:val="99"/>
    <w:unhideWhenUsed/>
    <w:rsid w:val="003673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3CE"/>
  </w:style>
  <w:style w:type="character" w:styleId="Hyperlink">
    <w:name w:val="Hyperlink"/>
    <w:basedOn w:val="DefaultParagraphFont"/>
    <w:uiPriority w:val="99"/>
    <w:unhideWhenUsed/>
    <w:rsid w:val="00631D7D"/>
    <w:rPr>
      <w:color w:val="467886" w:themeColor="hyperlink"/>
      <w:u w:val="single"/>
    </w:rPr>
  </w:style>
  <w:style w:type="character" w:styleId="UnresolvedMention">
    <w:name w:val="Unresolved Mention"/>
    <w:basedOn w:val="DefaultParagraphFont"/>
    <w:uiPriority w:val="99"/>
    <w:semiHidden/>
    <w:unhideWhenUsed/>
    <w:rsid w:val="00631D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925454">
      <w:bodyDiv w:val="1"/>
      <w:marLeft w:val="0"/>
      <w:marRight w:val="0"/>
      <w:marTop w:val="0"/>
      <w:marBottom w:val="0"/>
      <w:divBdr>
        <w:top w:val="none" w:sz="0" w:space="0" w:color="auto"/>
        <w:left w:val="none" w:sz="0" w:space="0" w:color="auto"/>
        <w:bottom w:val="none" w:sz="0" w:space="0" w:color="auto"/>
        <w:right w:val="none" w:sz="0" w:space="0" w:color="auto"/>
      </w:divBdr>
    </w:div>
    <w:div w:id="1280600537">
      <w:bodyDiv w:val="1"/>
      <w:marLeft w:val="0"/>
      <w:marRight w:val="0"/>
      <w:marTop w:val="0"/>
      <w:marBottom w:val="0"/>
      <w:divBdr>
        <w:top w:val="none" w:sz="0" w:space="0" w:color="auto"/>
        <w:left w:val="none" w:sz="0" w:space="0" w:color="auto"/>
        <w:bottom w:val="none" w:sz="0" w:space="0" w:color="auto"/>
        <w:right w:val="none" w:sz="0" w:space="0" w:color="auto"/>
      </w:divBdr>
    </w:div>
    <w:div w:id="1306080135">
      <w:bodyDiv w:val="1"/>
      <w:marLeft w:val="0"/>
      <w:marRight w:val="0"/>
      <w:marTop w:val="0"/>
      <w:marBottom w:val="0"/>
      <w:divBdr>
        <w:top w:val="none" w:sz="0" w:space="0" w:color="auto"/>
        <w:left w:val="none" w:sz="0" w:space="0" w:color="auto"/>
        <w:bottom w:val="none" w:sz="0" w:space="0" w:color="auto"/>
        <w:right w:val="none" w:sz="0" w:space="0" w:color="auto"/>
      </w:divBdr>
    </w:div>
    <w:div w:id="1569270496">
      <w:bodyDiv w:val="1"/>
      <w:marLeft w:val="0"/>
      <w:marRight w:val="0"/>
      <w:marTop w:val="0"/>
      <w:marBottom w:val="0"/>
      <w:divBdr>
        <w:top w:val="none" w:sz="0" w:space="0" w:color="auto"/>
        <w:left w:val="none" w:sz="0" w:space="0" w:color="auto"/>
        <w:bottom w:val="none" w:sz="0" w:space="0" w:color="auto"/>
        <w:right w:val="none" w:sz="0" w:space="0" w:color="auto"/>
      </w:divBdr>
    </w:div>
    <w:div w:id="1915431631">
      <w:bodyDiv w:val="1"/>
      <w:marLeft w:val="0"/>
      <w:marRight w:val="0"/>
      <w:marTop w:val="0"/>
      <w:marBottom w:val="0"/>
      <w:divBdr>
        <w:top w:val="none" w:sz="0" w:space="0" w:color="auto"/>
        <w:left w:val="none" w:sz="0" w:space="0" w:color="auto"/>
        <w:bottom w:val="none" w:sz="0" w:space="0" w:color="auto"/>
        <w:right w:val="none" w:sz="0" w:space="0" w:color="auto"/>
      </w:divBdr>
    </w:div>
    <w:div w:id="208610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economy/inflationandpriceindic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ore.mintel.com/report/uk-supermarkets-market-report-2023"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165-4101(01)00030-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02/smj.75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coplc.com/media/u1wlq2qf/tesco-plc-annual-report-2023.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CE18D0DD6B4C94BBC897A68914DBD1"/>
        <w:category>
          <w:name w:val="General"/>
          <w:gallery w:val="placeholder"/>
        </w:category>
        <w:types>
          <w:type w:val="bbPlcHdr"/>
        </w:types>
        <w:behaviors>
          <w:behavior w:val="content"/>
        </w:behaviors>
        <w:guid w:val="{9FBA80B4-C1DE-4125-828B-BE617DF43307}"/>
      </w:docPartPr>
      <w:docPartBody>
        <w:p w:rsidR="00000000" w:rsidRDefault="002622C1" w:rsidP="002622C1">
          <w:pPr>
            <w:pStyle w:val="D3CE18D0DD6B4C94BBC897A68914DBD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2C1"/>
    <w:rsid w:val="002622C1"/>
    <w:rsid w:val="006665F7"/>
    <w:rsid w:val="0073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CE18D0DD6B4C94BBC897A68914DBD1">
    <w:name w:val="D3CE18D0DD6B4C94BBC897A68914DBD1"/>
    <w:rsid w:val="002622C1"/>
  </w:style>
  <w:style w:type="paragraph" w:customStyle="1" w:styleId="2B6BF53692E8445E8669478A68077772">
    <w:name w:val="2B6BF53692E8445E8669478A68077772"/>
    <w:rsid w:val="002622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2025-04-11T00:00:00</PublishDate>
  <Abstract/>
  <CompanyAddress>BMSP4011D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11</Pages>
  <Words>1958</Words>
  <Characters>11165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Financial Management For Business Sustainability</Company>
  <LinksUpToDate>false</LinksUpToDate>
  <CharactersWithSpaces>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dc:creator>Mirabela Voican (1907947)</dc:creator>
  <cp:keywords/>
  <dc:description/>
  <cp:lastModifiedBy>Mirabela Voican (1907947)</cp:lastModifiedBy>
  <cp:revision>1</cp:revision>
  <dcterms:created xsi:type="dcterms:W3CDTF">2025-04-02T08:59:00Z</dcterms:created>
  <dcterms:modified xsi:type="dcterms:W3CDTF">2025-04-02T12:49:00Z</dcterms:modified>
</cp:coreProperties>
</file>