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EF78B" w14:textId="77777777" w:rsidR="00953A37" w:rsidRDefault="00953A37" w:rsidP="00953A37">
      <w:pPr>
        <w:spacing w:line="360" w:lineRule="auto"/>
        <w:rPr>
          <w:rFonts w:ascii="Arial" w:hAnsi="Arial" w:cs="Arial"/>
          <w:sz w:val="24"/>
          <w:szCs w:val="24"/>
        </w:rPr>
      </w:pPr>
      <w:r w:rsidRPr="000D342A">
        <w:rPr>
          <w:rFonts w:ascii="Arial" w:hAnsi="Arial" w:cs="Arial"/>
          <w:noProof/>
        </w:rPr>
        <w:drawing>
          <wp:inline distT="0" distB="0" distL="0" distR="0" wp14:anchorId="52532BD5" wp14:editId="5BC55EE6">
            <wp:extent cx="1914792" cy="714475"/>
            <wp:effectExtent l="0" t="0" r="0" b="9525"/>
            <wp:docPr id="133066918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69187" name="Picture 1" descr="A black text on a white background&#10;&#10;AI-generated content may be incorrect."/>
                    <pic:cNvPicPr/>
                  </pic:nvPicPr>
                  <pic:blipFill>
                    <a:blip r:embed="rId8"/>
                    <a:stretch>
                      <a:fillRect/>
                    </a:stretch>
                  </pic:blipFill>
                  <pic:spPr>
                    <a:xfrm>
                      <a:off x="0" y="0"/>
                      <a:ext cx="1914792" cy="714475"/>
                    </a:xfrm>
                    <a:prstGeom prst="rect">
                      <a:avLst/>
                    </a:prstGeom>
                  </pic:spPr>
                </pic:pic>
              </a:graphicData>
            </a:graphic>
          </wp:inline>
        </w:drawing>
      </w:r>
      <w:r w:rsidRPr="0045647D">
        <w:rPr>
          <w:rFonts w:ascii="Arial" w:hAnsi="Arial" w:cs="Arial"/>
          <w:sz w:val="24"/>
          <w:szCs w:val="24"/>
        </w:rPr>
        <w:br/>
      </w:r>
    </w:p>
    <w:p w14:paraId="1C5B6897" w14:textId="77777777" w:rsidR="00953A37" w:rsidRDefault="00953A37" w:rsidP="00953A37">
      <w:pPr>
        <w:spacing w:line="360" w:lineRule="auto"/>
        <w:rPr>
          <w:rFonts w:ascii="Arial" w:hAnsi="Arial" w:cs="Arial"/>
          <w:sz w:val="24"/>
          <w:szCs w:val="24"/>
        </w:rPr>
      </w:pPr>
    </w:p>
    <w:p w14:paraId="79C81B34" w14:textId="77777777" w:rsidR="00953A37" w:rsidRDefault="00953A37" w:rsidP="00953A37">
      <w:pPr>
        <w:spacing w:line="360" w:lineRule="auto"/>
        <w:rPr>
          <w:rFonts w:ascii="Arial" w:hAnsi="Arial" w:cs="Arial"/>
          <w:sz w:val="24"/>
          <w:szCs w:val="24"/>
        </w:rPr>
      </w:pPr>
    </w:p>
    <w:p w14:paraId="0CC89C7E" w14:textId="77777777" w:rsidR="00953A37" w:rsidRPr="00905AA0" w:rsidRDefault="00953A37" w:rsidP="00953A37">
      <w:pPr>
        <w:spacing w:line="360" w:lineRule="auto"/>
        <w:rPr>
          <w:rFonts w:ascii="Arial" w:hAnsi="Arial" w:cs="Arial"/>
          <w:sz w:val="24"/>
          <w:szCs w:val="24"/>
        </w:rPr>
      </w:pPr>
    </w:p>
    <w:p w14:paraId="07285855" w14:textId="77777777" w:rsidR="00953A37" w:rsidRDefault="00953A37" w:rsidP="00953A37">
      <w:pPr>
        <w:jc w:val="center"/>
        <w:rPr>
          <w:rFonts w:ascii="Arial" w:hAnsi="Arial" w:cs="Arial"/>
          <w:b/>
          <w:bCs/>
          <w:sz w:val="120"/>
          <w:szCs w:val="120"/>
        </w:rPr>
      </w:pPr>
      <w:r w:rsidRPr="00905AA0">
        <w:rPr>
          <w:rFonts w:ascii="Arial" w:hAnsi="Arial" w:cs="Arial"/>
          <w:b/>
          <w:bCs/>
          <w:sz w:val="120"/>
          <w:szCs w:val="120"/>
        </w:rPr>
        <w:t xml:space="preserve">Principles of Human Resource </w:t>
      </w:r>
    </w:p>
    <w:p w14:paraId="31D15E17" w14:textId="77777777" w:rsidR="00953A37" w:rsidRDefault="00953A37" w:rsidP="00953A37">
      <w:pPr>
        <w:jc w:val="center"/>
        <w:rPr>
          <w:rFonts w:ascii="Arial" w:hAnsi="Arial" w:cs="Arial"/>
          <w:b/>
          <w:bCs/>
        </w:rPr>
      </w:pPr>
    </w:p>
    <w:p w14:paraId="48136E73" w14:textId="77777777" w:rsidR="00953A37" w:rsidRDefault="00953A37" w:rsidP="00953A37">
      <w:pPr>
        <w:rPr>
          <w:rFonts w:ascii="Arial" w:hAnsi="Arial" w:cs="Arial"/>
          <w:b/>
          <w:bCs/>
        </w:rPr>
      </w:pPr>
    </w:p>
    <w:p w14:paraId="2C81004E" w14:textId="77777777" w:rsidR="00953A37" w:rsidRDefault="00953A37" w:rsidP="00953A37">
      <w:pPr>
        <w:rPr>
          <w:rFonts w:ascii="Arial" w:hAnsi="Arial" w:cs="Arial"/>
          <w:b/>
          <w:bCs/>
        </w:rPr>
      </w:pPr>
    </w:p>
    <w:p w14:paraId="6BF57199" w14:textId="77777777" w:rsidR="00953A37" w:rsidRDefault="00953A37" w:rsidP="00953A37">
      <w:pPr>
        <w:rPr>
          <w:rFonts w:ascii="Arial" w:hAnsi="Arial" w:cs="Arial"/>
          <w:b/>
          <w:bCs/>
        </w:rPr>
      </w:pPr>
    </w:p>
    <w:p w14:paraId="4213DC70" w14:textId="77777777" w:rsidR="00953A37" w:rsidRDefault="00953A37" w:rsidP="00953A37">
      <w:pPr>
        <w:rPr>
          <w:rFonts w:ascii="Arial" w:hAnsi="Arial" w:cs="Arial"/>
          <w:b/>
          <w:bCs/>
        </w:rPr>
      </w:pPr>
    </w:p>
    <w:p w14:paraId="0EFC9739" w14:textId="77777777" w:rsidR="00953A37" w:rsidRDefault="00953A37" w:rsidP="00953A37">
      <w:pPr>
        <w:rPr>
          <w:rFonts w:ascii="Arial" w:hAnsi="Arial" w:cs="Arial"/>
          <w:b/>
          <w:bCs/>
        </w:rPr>
      </w:pPr>
    </w:p>
    <w:p w14:paraId="0B4213B7" w14:textId="77777777" w:rsidR="00953A37" w:rsidRDefault="00953A37" w:rsidP="00953A37">
      <w:pPr>
        <w:rPr>
          <w:rFonts w:ascii="Arial" w:hAnsi="Arial" w:cs="Arial"/>
          <w:b/>
          <w:bCs/>
        </w:rPr>
      </w:pPr>
    </w:p>
    <w:p w14:paraId="00FB1B31" w14:textId="77777777" w:rsidR="00953A37" w:rsidRDefault="00953A37" w:rsidP="00953A37">
      <w:pPr>
        <w:rPr>
          <w:rFonts w:ascii="Arial" w:hAnsi="Arial" w:cs="Arial"/>
          <w:b/>
          <w:bCs/>
        </w:rPr>
      </w:pPr>
      <w:r w:rsidRPr="00784B78">
        <w:rPr>
          <w:rFonts w:ascii="Arial" w:hAnsi="Arial" w:cs="Arial"/>
          <w:b/>
          <w:bCs/>
        </w:rPr>
        <w:t xml:space="preserve">Module Code: </w:t>
      </w:r>
      <w:r w:rsidRPr="00905AA0">
        <w:rPr>
          <w:rFonts w:ascii="Arial" w:hAnsi="Arial" w:cs="Arial"/>
          <w:b/>
          <w:bCs/>
        </w:rPr>
        <w:t>LCBB5012</w:t>
      </w:r>
    </w:p>
    <w:p w14:paraId="3C4ED3C2" w14:textId="77777777" w:rsidR="00953A37" w:rsidRDefault="00953A37" w:rsidP="00953A37">
      <w:pPr>
        <w:rPr>
          <w:rFonts w:ascii="Arial" w:hAnsi="Arial" w:cs="Arial"/>
          <w:b/>
          <w:bCs/>
        </w:rPr>
      </w:pPr>
      <w:r w:rsidRPr="00784B78">
        <w:rPr>
          <w:rFonts w:ascii="Arial" w:hAnsi="Arial" w:cs="Arial"/>
          <w:b/>
          <w:bCs/>
        </w:rPr>
        <w:t xml:space="preserve">Module: </w:t>
      </w:r>
      <w:r w:rsidRPr="00905AA0">
        <w:rPr>
          <w:rFonts w:ascii="Arial" w:hAnsi="Arial" w:cs="Arial"/>
          <w:b/>
          <w:bCs/>
        </w:rPr>
        <w:t>Principles of Human Resource Management</w:t>
      </w:r>
    </w:p>
    <w:p w14:paraId="371E92B8" w14:textId="77777777" w:rsidR="00953A37" w:rsidRDefault="00953A37" w:rsidP="00953A37">
      <w:pPr>
        <w:rPr>
          <w:rFonts w:ascii="Arial" w:hAnsi="Arial" w:cs="Arial"/>
          <w:b/>
          <w:bCs/>
        </w:rPr>
      </w:pPr>
      <w:r w:rsidRPr="00784B78">
        <w:rPr>
          <w:rFonts w:ascii="Arial" w:hAnsi="Arial" w:cs="Arial"/>
          <w:b/>
          <w:bCs/>
        </w:rPr>
        <w:t xml:space="preserve">Module Lecturer: </w:t>
      </w:r>
      <w:r w:rsidRPr="00905AA0">
        <w:rPr>
          <w:rFonts w:ascii="Arial" w:hAnsi="Arial" w:cs="Arial"/>
          <w:b/>
          <w:bCs/>
        </w:rPr>
        <w:t>Dr Ramases Manalang</w:t>
      </w:r>
    </w:p>
    <w:p w14:paraId="5B028CE1" w14:textId="0494EDD1" w:rsidR="00FE6BE7" w:rsidRDefault="00953A37" w:rsidP="00953A37">
      <w:pPr>
        <w:rPr>
          <w:rFonts w:ascii="Arial" w:hAnsi="Arial" w:cs="Arial"/>
          <w:b/>
          <w:bCs/>
        </w:rPr>
      </w:pPr>
      <w:r w:rsidRPr="00784B78">
        <w:rPr>
          <w:rFonts w:ascii="Arial" w:hAnsi="Arial" w:cs="Arial"/>
          <w:b/>
          <w:bCs/>
        </w:rPr>
        <w:t>Student Name</w:t>
      </w:r>
      <w:r>
        <w:rPr>
          <w:rFonts w:ascii="Arial" w:hAnsi="Arial" w:cs="Arial"/>
          <w:b/>
          <w:bCs/>
        </w:rPr>
        <w:t>:</w:t>
      </w:r>
      <w:r w:rsidRPr="001D4A9C">
        <w:rPr>
          <w:rFonts w:ascii="Arial" w:hAnsi="Arial" w:cs="Arial"/>
          <w:b/>
          <w:bCs/>
        </w:rPr>
        <w:t xml:space="preserve"> </w:t>
      </w:r>
      <w:r w:rsidR="00FE6BE7" w:rsidRPr="00784B78">
        <w:rPr>
          <w:rFonts w:ascii="Arial" w:hAnsi="Arial" w:cs="Arial"/>
          <w:b/>
          <w:bCs/>
        </w:rPr>
        <w:t xml:space="preserve">Ioan </w:t>
      </w:r>
      <w:proofErr w:type="spellStart"/>
      <w:r w:rsidR="00FE6BE7" w:rsidRPr="00784B78">
        <w:rPr>
          <w:rFonts w:ascii="Arial" w:hAnsi="Arial" w:cs="Arial"/>
          <w:b/>
          <w:bCs/>
        </w:rPr>
        <w:t>Carpovici</w:t>
      </w:r>
      <w:proofErr w:type="spellEnd"/>
    </w:p>
    <w:p w14:paraId="3D8C818F" w14:textId="7949231E" w:rsidR="00953A37" w:rsidRPr="00905AA0" w:rsidRDefault="00953A37" w:rsidP="00953A37">
      <w:pPr>
        <w:rPr>
          <w:rFonts w:ascii="Arial" w:hAnsi="Arial" w:cs="Arial"/>
          <w:b/>
          <w:bCs/>
        </w:rPr>
      </w:pPr>
      <w:r w:rsidRPr="00784B78">
        <w:rPr>
          <w:rFonts w:ascii="Arial" w:hAnsi="Arial" w:cs="Arial"/>
          <w:b/>
          <w:bCs/>
        </w:rPr>
        <w:t>Student ID</w:t>
      </w:r>
      <w:r>
        <w:rPr>
          <w:rFonts w:ascii="Arial" w:hAnsi="Arial" w:cs="Arial"/>
          <w:b/>
          <w:bCs/>
        </w:rPr>
        <w:t xml:space="preserve">: </w:t>
      </w:r>
      <w:r w:rsidR="00FE6BE7" w:rsidRPr="00784B78">
        <w:rPr>
          <w:rFonts w:ascii="Arial" w:hAnsi="Arial" w:cs="Arial"/>
          <w:b/>
          <w:bCs/>
        </w:rPr>
        <w:t>2242930</w:t>
      </w:r>
    </w:p>
    <w:p w14:paraId="74FF71CE" w14:textId="358AE054" w:rsidR="00953A37" w:rsidRDefault="00953A37">
      <w:r>
        <w:br w:type="page"/>
      </w:r>
    </w:p>
    <w:sdt>
      <w:sdtPr>
        <w:rPr>
          <w:rFonts w:asciiTheme="minorHAnsi" w:eastAsiaTheme="minorHAnsi" w:hAnsiTheme="minorHAnsi" w:cstheme="minorBidi"/>
          <w:color w:val="auto"/>
          <w:kern w:val="2"/>
          <w:sz w:val="22"/>
          <w:szCs w:val="22"/>
          <w:lang w:val="en-GB"/>
          <w14:ligatures w14:val="standardContextual"/>
        </w:rPr>
        <w:id w:val="-1473050642"/>
        <w:docPartObj>
          <w:docPartGallery w:val="Table of Contents"/>
          <w:docPartUnique/>
        </w:docPartObj>
      </w:sdtPr>
      <w:sdtEndPr>
        <w:rPr>
          <w:b/>
          <w:bCs/>
          <w:noProof/>
        </w:rPr>
      </w:sdtEndPr>
      <w:sdtContent>
        <w:p w14:paraId="06BDDACF" w14:textId="3BB4736D" w:rsidR="00953A37" w:rsidRDefault="00953A37">
          <w:pPr>
            <w:pStyle w:val="TOCHeading"/>
          </w:pPr>
          <w:r>
            <w:t>Contents</w:t>
          </w:r>
        </w:p>
        <w:p w14:paraId="7DF9D985" w14:textId="7C95B777" w:rsidR="00FE6BE7" w:rsidRDefault="00953A3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384494" w:history="1">
            <w:r w:rsidR="00FE6BE7" w:rsidRPr="006F1539">
              <w:rPr>
                <w:rStyle w:val="Hyperlink"/>
                <w:rFonts w:ascii="Arial" w:hAnsi="Arial" w:cs="Arial"/>
                <w:b/>
                <w:bCs/>
                <w:noProof/>
              </w:rPr>
              <w:t>1. Introduction</w:t>
            </w:r>
            <w:r w:rsidR="00FE6BE7">
              <w:rPr>
                <w:noProof/>
                <w:webHidden/>
              </w:rPr>
              <w:tab/>
            </w:r>
            <w:r w:rsidR="00FE6BE7">
              <w:rPr>
                <w:noProof/>
                <w:webHidden/>
              </w:rPr>
              <w:fldChar w:fldCharType="begin"/>
            </w:r>
            <w:r w:rsidR="00FE6BE7">
              <w:rPr>
                <w:noProof/>
                <w:webHidden/>
              </w:rPr>
              <w:instrText xml:space="preserve"> PAGEREF _Toc228384494 \h </w:instrText>
            </w:r>
            <w:r w:rsidR="00FE6BE7">
              <w:rPr>
                <w:noProof/>
                <w:webHidden/>
              </w:rPr>
            </w:r>
            <w:r w:rsidR="00FE6BE7">
              <w:rPr>
                <w:noProof/>
                <w:webHidden/>
              </w:rPr>
              <w:fldChar w:fldCharType="separate"/>
            </w:r>
            <w:r w:rsidR="00FE6BE7">
              <w:rPr>
                <w:noProof/>
                <w:webHidden/>
              </w:rPr>
              <w:t>3</w:t>
            </w:r>
            <w:r w:rsidR="00FE6BE7">
              <w:rPr>
                <w:noProof/>
                <w:webHidden/>
              </w:rPr>
              <w:fldChar w:fldCharType="end"/>
            </w:r>
          </w:hyperlink>
        </w:p>
        <w:p w14:paraId="751ABAC0" w14:textId="68AB25B2" w:rsidR="00FE6BE7" w:rsidRDefault="00FE6BE7">
          <w:pPr>
            <w:pStyle w:val="TOC1"/>
            <w:tabs>
              <w:tab w:val="right" w:leader="dot" w:pos="9016"/>
            </w:tabs>
            <w:rPr>
              <w:rFonts w:eastAsiaTheme="minorEastAsia"/>
              <w:noProof/>
              <w:sz w:val="24"/>
              <w:szCs w:val="24"/>
              <w:lang w:eastAsia="en-GB"/>
            </w:rPr>
          </w:pPr>
          <w:hyperlink w:anchor="_Toc228384495" w:history="1">
            <w:r w:rsidRPr="006F1539">
              <w:rPr>
                <w:rStyle w:val="Hyperlink"/>
                <w:rFonts w:ascii="Arial" w:hAnsi="Arial" w:cs="Arial"/>
                <w:b/>
                <w:bCs/>
                <w:noProof/>
              </w:rPr>
              <w:t>2. Internal and External Environment</w:t>
            </w:r>
            <w:r>
              <w:rPr>
                <w:noProof/>
                <w:webHidden/>
              </w:rPr>
              <w:tab/>
            </w:r>
            <w:r>
              <w:rPr>
                <w:noProof/>
                <w:webHidden/>
              </w:rPr>
              <w:fldChar w:fldCharType="begin"/>
            </w:r>
            <w:r>
              <w:rPr>
                <w:noProof/>
                <w:webHidden/>
              </w:rPr>
              <w:instrText xml:space="preserve"> PAGEREF _Toc228384495 \h </w:instrText>
            </w:r>
            <w:r>
              <w:rPr>
                <w:noProof/>
                <w:webHidden/>
              </w:rPr>
            </w:r>
            <w:r>
              <w:rPr>
                <w:noProof/>
                <w:webHidden/>
              </w:rPr>
              <w:fldChar w:fldCharType="separate"/>
            </w:r>
            <w:r>
              <w:rPr>
                <w:noProof/>
                <w:webHidden/>
              </w:rPr>
              <w:t>4</w:t>
            </w:r>
            <w:r>
              <w:rPr>
                <w:noProof/>
                <w:webHidden/>
              </w:rPr>
              <w:fldChar w:fldCharType="end"/>
            </w:r>
          </w:hyperlink>
        </w:p>
        <w:p w14:paraId="1D7B4646" w14:textId="7AA37AF0" w:rsidR="00FE6BE7" w:rsidRDefault="00FE6BE7">
          <w:pPr>
            <w:pStyle w:val="TOC2"/>
            <w:tabs>
              <w:tab w:val="right" w:leader="dot" w:pos="9016"/>
            </w:tabs>
            <w:rPr>
              <w:rFonts w:eastAsiaTheme="minorEastAsia"/>
              <w:noProof/>
              <w:sz w:val="24"/>
              <w:szCs w:val="24"/>
              <w:lang w:eastAsia="en-GB"/>
            </w:rPr>
          </w:pPr>
          <w:hyperlink w:anchor="_Toc228384496" w:history="1">
            <w:r w:rsidRPr="006F1539">
              <w:rPr>
                <w:rStyle w:val="Hyperlink"/>
                <w:rFonts w:ascii="Arial" w:hAnsi="Arial" w:cs="Arial"/>
                <w:b/>
                <w:bCs/>
                <w:noProof/>
              </w:rPr>
              <w:t>2.1 The PESTLE Framework</w:t>
            </w:r>
            <w:r>
              <w:rPr>
                <w:noProof/>
                <w:webHidden/>
              </w:rPr>
              <w:tab/>
            </w:r>
            <w:r>
              <w:rPr>
                <w:noProof/>
                <w:webHidden/>
              </w:rPr>
              <w:fldChar w:fldCharType="begin"/>
            </w:r>
            <w:r>
              <w:rPr>
                <w:noProof/>
                <w:webHidden/>
              </w:rPr>
              <w:instrText xml:space="preserve"> PAGEREF _Toc228384496 \h </w:instrText>
            </w:r>
            <w:r>
              <w:rPr>
                <w:noProof/>
                <w:webHidden/>
              </w:rPr>
            </w:r>
            <w:r>
              <w:rPr>
                <w:noProof/>
                <w:webHidden/>
              </w:rPr>
              <w:fldChar w:fldCharType="separate"/>
            </w:r>
            <w:r>
              <w:rPr>
                <w:noProof/>
                <w:webHidden/>
              </w:rPr>
              <w:t>4</w:t>
            </w:r>
            <w:r>
              <w:rPr>
                <w:noProof/>
                <w:webHidden/>
              </w:rPr>
              <w:fldChar w:fldCharType="end"/>
            </w:r>
          </w:hyperlink>
        </w:p>
        <w:p w14:paraId="1D439BE9" w14:textId="3F2AD376" w:rsidR="00FE6BE7" w:rsidRDefault="00FE6BE7">
          <w:pPr>
            <w:pStyle w:val="TOC2"/>
            <w:tabs>
              <w:tab w:val="right" w:leader="dot" w:pos="9016"/>
            </w:tabs>
            <w:rPr>
              <w:rFonts w:eastAsiaTheme="minorEastAsia"/>
              <w:noProof/>
              <w:sz w:val="24"/>
              <w:szCs w:val="24"/>
              <w:lang w:eastAsia="en-GB"/>
            </w:rPr>
          </w:pPr>
          <w:hyperlink w:anchor="_Toc228384497" w:history="1">
            <w:r w:rsidRPr="006F1539">
              <w:rPr>
                <w:rStyle w:val="Hyperlink"/>
                <w:rFonts w:ascii="Arial" w:hAnsi="Arial" w:cs="Arial"/>
                <w:b/>
                <w:bCs/>
                <w:noProof/>
              </w:rPr>
              <w:t>2.2 Link to HR Functions</w:t>
            </w:r>
            <w:r>
              <w:rPr>
                <w:noProof/>
                <w:webHidden/>
              </w:rPr>
              <w:tab/>
            </w:r>
            <w:r>
              <w:rPr>
                <w:noProof/>
                <w:webHidden/>
              </w:rPr>
              <w:fldChar w:fldCharType="begin"/>
            </w:r>
            <w:r>
              <w:rPr>
                <w:noProof/>
                <w:webHidden/>
              </w:rPr>
              <w:instrText xml:space="preserve"> PAGEREF _Toc228384497 \h </w:instrText>
            </w:r>
            <w:r>
              <w:rPr>
                <w:noProof/>
                <w:webHidden/>
              </w:rPr>
            </w:r>
            <w:r>
              <w:rPr>
                <w:noProof/>
                <w:webHidden/>
              </w:rPr>
              <w:fldChar w:fldCharType="separate"/>
            </w:r>
            <w:r>
              <w:rPr>
                <w:noProof/>
                <w:webHidden/>
              </w:rPr>
              <w:t>5</w:t>
            </w:r>
            <w:r>
              <w:rPr>
                <w:noProof/>
                <w:webHidden/>
              </w:rPr>
              <w:fldChar w:fldCharType="end"/>
            </w:r>
          </w:hyperlink>
        </w:p>
        <w:p w14:paraId="45C10120" w14:textId="20910788" w:rsidR="00FE6BE7" w:rsidRDefault="00FE6BE7">
          <w:pPr>
            <w:pStyle w:val="TOC1"/>
            <w:tabs>
              <w:tab w:val="right" w:leader="dot" w:pos="9016"/>
            </w:tabs>
            <w:rPr>
              <w:rFonts w:eastAsiaTheme="minorEastAsia"/>
              <w:noProof/>
              <w:sz w:val="24"/>
              <w:szCs w:val="24"/>
              <w:lang w:eastAsia="en-GB"/>
            </w:rPr>
          </w:pPr>
          <w:hyperlink w:anchor="_Toc228384498" w:history="1">
            <w:r w:rsidRPr="006F1539">
              <w:rPr>
                <w:rStyle w:val="Hyperlink"/>
                <w:rFonts w:ascii="Arial" w:hAnsi="Arial" w:cs="Arial"/>
                <w:b/>
                <w:bCs/>
                <w:noProof/>
              </w:rPr>
              <w:t>3. Organisation Application</w:t>
            </w:r>
            <w:r>
              <w:rPr>
                <w:noProof/>
                <w:webHidden/>
              </w:rPr>
              <w:tab/>
            </w:r>
            <w:r>
              <w:rPr>
                <w:noProof/>
                <w:webHidden/>
              </w:rPr>
              <w:fldChar w:fldCharType="begin"/>
            </w:r>
            <w:r>
              <w:rPr>
                <w:noProof/>
                <w:webHidden/>
              </w:rPr>
              <w:instrText xml:space="preserve"> PAGEREF _Toc228384498 \h </w:instrText>
            </w:r>
            <w:r>
              <w:rPr>
                <w:noProof/>
                <w:webHidden/>
              </w:rPr>
            </w:r>
            <w:r>
              <w:rPr>
                <w:noProof/>
                <w:webHidden/>
              </w:rPr>
              <w:fldChar w:fldCharType="separate"/>
            </w:r>
            <w:r>
              <w:rPr>
                <w:noProof/>
                <w:webHidden/>
              </w:rPr>
              <w:t>7</w:t>
            </w:r>
            <w:r>
              <w:rPr>
                <w:noProof/>
                <w:webHidden/>
              </w:rPr>
              <w:fldChar w:fldCharType="end"/>
            </w:r>
          </w:hyperlink>
        </w:p>
        <w:p w14:paraId="18550D68" w14:textId="3F760D45" w:rsidR="00FE6BE7" w:rsidRDefault="00FE6BE7">
          <w:pPr>
            <w:pStyle w:val="TOC2"/>
            <w:tabs>
              <w:tab w:val="right" w:leader="dot" w:pos="9016"/>
            </w:tabs>
            <w:rPr>
              <w:rFonts w:eastAsiaTheme="minorEastAsia"/>
              <w:noProof/>
              <w:sz w:val="24"/>
              <w:szCs w:val="24"/>
              <w:lang w:eastAsia="en-GB"/>
            </w:rPr>
          </w:pPr>
          <w:hyperlink w:anchor="_Toc228384499" w:history="1">
            <w:r w:rsidRPr="006F1539">
              <w:rPr>
                <w:rStyle w:val="Hyperlink"/>
                <w:rFonts w:ascii="Arial" w:hAnsi="Arial" w:cs="Arial"/>
                <w:b/>
                <w:bCs/>
                <w:noProof/>
              </w:rPr>
              <w:t>3.1 Organisational Overview</w:t>
            </w:r>
            <w:r>
              <w:rPr>
                <w:noProof/>
                <w:webHidden/>
              </w:rPr>
              <w:tab/>
            </w:r>
            <w:r>
              <w:rPr>
                <w:noProof/>
                <w:webHidden/>
              </w:rPr>
              <w:fldChar w:fldCharType="begin"/>
            </w:r>
            <w:r>
              <w:rPr>
                <w:noProof/>
                <w:webHidden/>
              </w:rPr>
              <w:instrText xml:space="preserve"> PAGEREF _Toc228384499 \h </w:instrText>
            </w:r>
            <w:r>
              <w:rPr>
                <w:noProof/>
                <w:webHidden/>
              </w:rPr>
            </w:r>
            <w:r>
              <w:rPr>
                <w:noProof/>
                <w:webHidden/>
              </w:rPr>
              <w:fldChar w:fldCharType="separate"/>
            </w:r>
            <w:r>
              <w:rPr>
                <w:noProof/>
                <w:webHidden/>
              </w:rPr>
              <w:t>7</w:t>
            </w:r>
            <w:r>
              <w:rPr>
                <w:noProof/>
                <w:webHidden/>
              </w:rPr>
              <w:fldChar w:fldCharType="end"/>
            </w:r>
          </w:hyperlink>
        </w:p>
        <w:p w14:paraId="11F00E06" w14:textId="1113C5D2" w:rsidR="00FE6BE7" w:rsidRDefault="00FE6BE7">
          <w:pPr>
            <w:pStyle w:val="TOC2"/>
            <w:tabs>
              <w:tab w:val="right" w:leader="dot" w:pos="9016"/>
            </w:tabs>
            <w:rPr>
              <w:rFonts w:eastAsiaTheme="minorEastAsia"/>
              <w:noProof/>
              <w:sz w:val="24"/>
              <w:szCs w:val="24"/>
              <w:lang w:eastAsia="en-GB"/>
            </w:rPr>
          </w:pPr>
          <w:hyperlink w:anchor="_Toc228384500" w:history="1">
            <w:r w:rsidRPr="006F1539">
              <w:rPr>
                <w:rStyle w:val="Hyperlink"/>
                <w:rFonts w:ascii="Arial" w:hAnsi="Arial" w:cs="Arial"/>
                <w:b/>
                <w:bCs/>
                <w:noProof/>
              </w:rPr>
              <w:t>3.2 HR Practices and Strategic Approach</w:t>
            </w:r>
            <w:r>
              <w:rPr>
                <w:noProof/>
                <w:webHidden/>
              </w:rPr>
              <w:tab/>
            </w:r>
            <w:r>
              <w:rPr>
                <w:noProof/>
                <w:webHidden/>
              </w:rPr>
              <w:fldChar w:fldCharType="begin"/>
            </w:r>
            <w:r>
              <w:rPr>
                <w:noProof/>
                <w:webHidden/>
              </w:rPr>
              <w:instrText xml:space="preserve"> PAGEREF _Toc228384500 \h </w:instrText>
            </w:r>
            <w:r>
              <w:rPr>
                <w:noProof/>
                <w:webHidden/>
              </w:rPr>
            </w:r>
            <w:r>
              <w:rPr>
                <w:noProof/>
                <w:webHidden/>
              </w:rPr>
              <w:fldChar w:fldCharType="separate"/>
            </w:r>
            <w:r>
              <w:rPr>
                <w:noProof/>
                <w:webHidden/>
              </w:rPr>
              <w:t>7</w:t>
            </w:r>
            <w:r>
              <w:rPr>
                <w:noProof/>
                <w:webHidden/>
              </w:rPr>
              <w:fldChar w:fldCharType="end"/>
            </w:r>
          </w:hyperlink>
        </w:p>
        <w:p w14:paraId="4156BB58" w14:textId="049FBC1A" w:rsidR="00FE6BE7" w:rsidRDefault="00FE6BE7">
          <w:pPr>
            <w:pStyle w:val="TOC1"/>
            <w:tabs>
              <w:tab w:val="right" w:leader="dot" w:pos="9016"/>
            </w:tabs>
            <w:rPr>
              <w:rFonts w:eastAsiaTheme="minorEastAsia"/>
              <w:noProof/>
              <w:sz w:val="24"/>
              <w:szCs w:val="24"/>
              <w:lang w:eastAsia="en-GB"/>
            </w:rPr>
          </w:pPr>
          <w:hyperlink w:anchor="_Toc228384501" w:history="1">
            <w:r w:rsidRPr="006F1539">
              <w:rPr>
                <w:rStyle w:val="Hyperlink"/>
                <w:rFonts w:ascii="Arial" w:hAnsi="Arial" w:cs="Arial"/>
                <w:b/>
                <w:bCs/>
                <w:noProof/>
              </w:rPr>
              <w:t>4. Application of the PESTLE Model</w:t>
            </w:r>
            <w:r>
              <w:rPr>
                <w:noProof/>
                <w:webHidden/>
              </w:rPr>
              <w:tab/>
            </w:r>
            <w:r>
              <w:rPr>
                <w:noProof/>
                <w:webHidden/>
              </w:rPr>
              <w:fldChar w:fldCharType="begin"/>
            </w:r>
            <w:r>
              <w:rPr>
                <w:noProof/>
                <w:webHidden/>
              </w:rPr>
              <w:instrText xml:space="preserve"> PAGEREF _Toc228384501 \h </w:instrText>
            </w:r>
            <w:r>
              <w:rPr>
                <w:noProof/>
                <w:webHidden/>
              </w:rPr>
            </w:r>
            <w:r>
              <w:rPr>
                <w:noProof/>
                <w:webHidden/>
              </w:rPr>
              <w:fldChar w:fldCharType="separate"/>
            </w:r>
            <w:r>
              <w:rPr>
                <w:noProof/>
                <w:webHidden/>
              </w:rPr>
              <w:t>8</w:t>
            </w:r>
            <w:r>
              <w:rPr>
                <w:noProof/>
                <w:webHidden/>
              </w:rPr>
              <w:fldChar w:fldCharType="end"/>
            </w:r>
          </w:hyperlink>
        </w:p>
        <w:p w14:paraId="375DFD87" w14:textId="3BF7ECA5" w:rsidR="00FE6BE7" w:rsidRDefault="00FE6BE7">
          <w:pPr>
            <w:pStyle w:val="TOC2"/>
            <w:tabs>
              <w:tab w:val="right" w:leader="dot" w:pos="9016"/>
            </w:tabs>
            <w:rPr>
              <w:rFonts w:eastAsiaTheme="minorEastAsia"/>
              <w:noProof/>
              <w:sz w:val="24"/>
              <w:szCs w:val="24"/>
              <w:lang w:eastAsia="en-GB"/>
            </w:rPr>
          </w:pPr>
          <w:hyperlink w:anchor="_Toc228384502" w:history="1">
            <w:r w:rsidRPr="006F1539">
              <w:rPr>
                <w:rStyle w:val="Hyperlink"/>
                <w:rFonts w:ascii="Arial" w:hAnsi="Arial" w:cs="Arial"/>
                <w:b/>
                <w:bCs/>
                <w:noProof/>
              </w:rPr>
              <w:t>4.1 Impact on HR Practices</w:t>
            </w:r>
            <w:r>
              <w:rPr>
                <w:noProof/>
                <w:webHidden/>
              </w:rPr>
              <w:tab/>
            </w:r>
            <w:r>
              <w:rPr>
                <w:noProof/>
                <w:webHidden/>
              </w:rPr>
              <w:fldChar w:fldCharType="begin"/>
            </w:r>
            <w:r>
              <w:rPr>
                <w:noProof/>
                <w:webHidden/>
              </w:rPr>
              <w:instrText xml:space="preserve"> PAGEREF _Toc228384502 \h </w:instrText>
            </w:r>
            <w:r>
              <w:rPr>
                <w:noProof/>
                <w:webHidden/>
              </w:rPr>
            </w:r>
            <w:r>
              <w:rPr>
                <w:noProof/>
                <w:webHidden/>
              </w:rPr>
              <w:fldChar w:fldCharType="separate"/>
            </w:r>
            <w:r>
              <w:rPr>
                <w:noProof/>
                <w:webHidden/>
              </w:rPr>
              <w:t>8</w:t>
            </w:r>
            <w:r>
              <w:rPr>
                <w:noProof/>
                <w:webHidden/>
              </w:rPr>
              <w:fldChar w:fldCharType="end"/>
            </w:r>
          </w:hyperlink>
        </w:p>
        <w:p w14:paraId="2BD406BA" w14:textId="3F05F7A3" w:rsidR="00FE6BE7" w:rsidRDefault="00FE6BE7">
          <w:pPr>
            <w:pStyle w:val="TOC2"/>
            <w:tabs>
              <w:tab w:val="right" w:leader="dot" w:pos="9016"/>
            </w:tabs>
            <w:rPr>
              <w:rFonts w:eastAsiaTheme="minorEastAsia"/>
              <w:noProof/>
              <w:sz w:val="24"/>
              <w:szCs w:val="24"/>
              <w:lang w:eastAsia="en-GB"/>
            </w:rPr>
          </w:pPr>
          <w:hyperlink w:anchor="_Toc228384503" w:history="1">
            <w:r w:rsidRPr="006F1539">
              <w:rPr>
                <w:rStyle w:val="Hyperlink"/>
                <w:rFonts w:ascii="Arial" w:hAnsi="Arial" w:cs="Arial"/>
                <w:b/>
                <w:bCs/>
                <w:noProof/>
              </w:rPr>
              <w:t>4.2 Critical Evaluation of the Model</w:t>
            </w:r>
            <w:r>
              <w:rPr>
                <w:noProof/>
                <w:webHidden/>
              </w:rPr>
              <w:tab/>
            </w:r>
            <w:r>
              <w:rPr>
                <w:noProof/>
                <w:webHidden/>
              </w:rPr>
              <w:fldChar w:fldCharType="begin"/>
            </w:r>
            <w:r>
              <w:rPr>
                <w:noProof/>
                <w:webHidden/>
              </w:rPr>
              <w:instrText xml:space="preserve"> PAGEREF _Toc228384503 \h </w:instrText>
            </w:r>
            <w:r>
              <w:rPr>
                <w:noProof/>
                <w:webHidden/>
              </w:rPr>
            </w:r>
            <w:r>
              <w:rPr>
                <w:noProof/>
                <w:webHidden/>
              </w:rPr>
              <w:fldChar w:fldCharType="separate"/>
            </w:r>
            <w:r>
              <w:rPr>
                <w:noProof/>
                <w:webHidden/>
              </w:rPr>
              <w:t>9</w:t>
            </w:r>
            <w:r>
              <w:rPr>
                <w:noProof/>
                <w:webHidden/>
              </w:rPr>
              <w:fldChar w:fldCharType="end"/>
            </w:r>
          </w:hyperlink>
        </w:p>
        <w:p w14:paraId="0012C984" w14:textId="2DAED36E" w:rsidR="00FE6BE7" w:rsidRDefault="00FE6BE7">
          <w:pPr>
            <w:pStyle w:val="TOC2"/>
            <w:tabs>
              <w:tab w:val="right" w:leader="dot" w:pos="9016"/>
            </w:tabs>
            <w:rPr>
              <w:rFonts w:eastAsiaTheme="minorEastAsia"/>
              <w:noProof/>
              <w:sz w:val="24"/>
              <w:szCs w:val="24"/>
              <w:lang w:eastAsia="en-GB"/>
            </w:rPr>
          </w:pPr>
          <w:hyperlink w:anchor="_Toc228384504" w:history="1">
            <w:r w:rsidRPr="006F1539">
              <w:rPr>
                <w:rStyle w:val="Hyperlink"/>
                <w:rFonts w:ascii="Arial" w:hAnsi="Arial" w:cs="Arial"/>
                <w:b/>
                <w:bCs/>
                <w:noProof/>
              </w:rPr>
              <w:t>4.3 Cross-Country Differences and HR Challenges</w:t>
            </w:r>
            <w:r>
              <w:rPr>
                <w:noProof/>
                <w:webHidden/>
              </w:rPr>
              <w:tab/>
            </w:r>
            <w:r>
              <w:rPr>
                <w:noProof/>
                <w:webHidden/>
              </w:rPr>
              <w:fldChar w:fldCharType="begin"/>
            </w:r>
            <w:r>
              <w:rPr>
                <w:noProof/>
                <w:webHidden/>
              </w:rPr>
              <w:instrText xml:space="preserve"> PAGEREF _Toc228384504 \h </w:instrText>
            </w:r>
            <w:r>
              <w:rPr>
                <w:noProof/>
                <w:webHidden/>
              </w:rPr>
            </w:r>
            <w:r>
              <w:rPr>
                <w:noProof/>
                <w:webHidden/>
              </w:rPr>
              <w:fldChar w:fldCharType="separate"/>
            </w:r>
            <w:r>
              <w:rPr>
                <w:noProof/>
                <w:webHidden/>
              </w:rPr>
              <w:t>9</w:t>
            </w:r>
            <w:r>
              <w:rPr>
                <w:noProof/>
                <w:webHidden/>
              </w:rPr>
              <w:fldChar w:fldCharType="end"/>
            </w:r>
          </w:hyperlink>
        </w:p>
        <w:p w14:paraId="6BC98C6A" w14:textId="2A26310C" w:rsidR="00FE6BE7" w:rsidRDefault="00FE6BE7">
          <w:pPr>
            <w:pStyle w:val="TOC1"/>
            <w:tabs>
              <w:tab w:val="right" w:leader="dot" w:pos="9016"/>
            </w:tabs>
            <w:rPr>
              <w:rFonts w:eastAsiaTheme="minorEastAsia"/>
              <w:noProof/>
              <w:sz w:val="24"/>
              <w:szCs w:val="24"/>
              <w:lang w:eastAsia="en-GB"/>
            </w:rPr>
          </w:pPr>
          <w:hyperlink w:anchor="_Toc228384505" w:history="1">
            <w:r w:rsidRPr="006F1539">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_Toc228384505 \h </w:instrText>
            </w:r>
            <w:r>
              <w:rPr>
                <w:noProof/>
                <w:webHidden/>
              </w:rPr>
            </w:r>
            <w:r>
              <w:rPr>
                <w:noProof/>
                <w:webHidden/>
              </w:rPr>
              <w:fldChar w:fldCharType="separate"/>
            </w:r>
            <w:r>
              <w:rPr>
                <w:noProof/>
                <w:webHidden/>
              </w:rPr>
              <w:t>10</w:t>
            </w:r>
            <w:r>
              <w:rPr>
                <w:noProof/>
                <w:webHidden/>
              </w:rPr>
              <w:fldChar w:fldCharType="end"/>
            </w:r>
          </w:hyperlink>
        </w:p>
        <w:p w14:paraId="2E1CB8F2" w14:textId="715D296D" w:rsidR="00FE6BE7" w:rsidRDefault="00FE6BE7">
          <w:pPr>
            <w:pStyle w:val="TOC1"/>
            <w:tabs>
              <w:tab w:val="right" w:leader="dot" w:pos="9016"/>
            </w:tabs>
            <w:rPr>
              <w:rFonts w:eastAsiaTheme="minorEastAsia"/>
              <w:noProof/>
              <w:sz w:val="24"/>
              <w:szCs w:val="24"/>
              <w:lang w:eastAsia="en-GB"/>
            </w:rPr>
          </w:pPr>
          <w:hyperlink w:anchor="_Toc228384506" w:history="1">
            <w:r w:rsidRPr="006F153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_Toc228384506 \h </w:instrText>
            </w:r>
            <w:r>
              <w:rPr>
                <w:noProof/>
                <w:webHidden/>
              </w:rPr>
            </w:r>
            <w:r>
              <w:rPr>
                <w:noProof/>
                <w:webHidden/>
              </w:rPr>
              <w:fldChar w:fldCharType="separate"/>
            </w:r>
            <w:r>
              <w:rPr>
                <w:noProof/>
                <w:webHidden/>
              </w:rPr>
              <w:t>11</w:t>
            </w:r>
            <w:r>
              <w:rPr>
                <w:noProof/>
                <w:webHidden/>
              </w:rPr>
              <w:fldChar w:fldCharType="end"/>
            </w:r>
          </w:hyperlink>
        </w:p>
        <w:p w14:paraId="3C7FEB20" w14:textId="1EEFD589" w:rsidR="00953A37" w:rsidRDefault="00953A37">
          <w:r>
            <w:rPr>
              <w:b/>
              <w:bCs/>
              <w:noProof/>
            </w:rPr>
            <w:fldChar w:fldCharType="end"/>
          </w:r>
        </w:p>
      </w:sdtContent>
    </w:sdt>
    <w:p w14:paraId="06AF1978" w14:textId="5C81A763" w:rsidR="00953A37" w:rsidRDefault="00953A37"/>
    <w:p w14:paraId="6C9F7C26" w14:textId="3943EA3D" w:rsidR="00800246" w:rsidRDefault="00800246" w:rsidP="00800246">
      <w:pPr>
        <w:tabs>
          <w:tab w:val="left" w:pos="7214"/>
        </w:tabs>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ab/>
      </w:r>
    </w:p>
    <w:p w14:paraId="153E1AA7" w14:textId="5EAEA291" w:rsidR="00953A37" w:rsidRDefault="00953A37" w:rsidP="00800246">
      <w:pPr>
        <w:tabs>
          <w:tab w:val="left" w:pos="7214"/>
        </w:tabs>
        <w:rPr>
          <w:rFonts w:asciiTheme="majorHAnsi" w:eastAsiaTheme="majorEastAsia" w:hAnsiTheme="majorHAnsi" w:cstheme="majorBidi"/>
          <w:color w:val="0F4761" w:themeColor="accent1" w:themeShade="BF"/>
          <w:sz w:val="40"/>
          <w:szCs w:val="40"/>
        </w:rPr>
      </w:pPr>
      <w:r w:rsidRPr="00800246">
        <w:rPr>
          <w:rFonts w:asciiTheme="majorHAnsi" w:eastAsiaTheme="majorEastAsia" w:hAnsiTheme="majorHAnsi" w:cstheme="majorBidi"/>
          <w:sz w:val="40"/>
          <w:szCs w:val="40"/>
        </w:rPr>
        <w:br w:type="page"/>
      </w:r>
      <w:r w:rsidR="00800246">
        <w:rPr>
          <w:rFonts w:asciiTheme="majorHAnsi" w:eastAsiaTheme="majorEastAsia" w:hAnsiTheme="majorHAnsi" w:cstheme="majorBidi"/>
          <w:color w:val="0F4761" w:themeColor="accent1" w:themeShade="BF"/>
          <w:sz w:val="40"/>
          <w:szCs w:val="40"/>
        </w:rPr>
        <w:lastRenderedPageBreak/>
        <w:tab/>
      </w:r>
    </w:p>
    <w:p w14:paraId="0873D162" w14:textId="2823F65D" w:rsidR="00A37751" w:rsidRPr="00953A37" w:rsidRDefault="00A37751" w:rsidP="00953A37">
      <w:pPr>
        <w:pStyle w:val="Heading1"/>
        <w:spacing w:line="360" w:lineRule="auto"/>
        <w:rPr>
          <w:rFonts w:ascii="Arial" w:hAnsi="Arial" w:cs="Arial"/>
          <w:b/>
          <w:bCs/>
          <w:sz w:val="22"/>
          <w:szCs w:val="22"/>
        </w:rPr>
      </w:pPr>
      <w:bookmarkStart w:id="0" w:name="_Toc228384494"/>
      <w:r w:rsidRPr="00953A37">
        <w:rPr>
          <w:rFonts w:ascii="Arial" w:hAnsi="Arial" w:cs="Arial"/>
          <w:b/>
          <w:bCs/>
          <w:sz w:val="22"/>
          <w:szCs w:val="22"/>
        </w:rPr>
        <w:t>1. Introduction</w:t>
      </w:r>
      <w:bookmarkEnd w:id="0"/>
      <w:r w:rsidRPr="00953A37">
        <w:rPr>
          <w:rFonts w:ascii="Arial" w:hAnsi="Arial" w:cs="Arial"/>
          <w:b/>
          <w:bCs/>
          <w:sz w:val="22"/>
          <w:szCs w:val="22"/>
        </w:rPr>
        <w:t xml:space="preserve"> </w:t>
      </w:r>
    </w:p>
    <w:p w14:paraId="1849FCEE" w14:textId="76E867FA" w:rsidR="00A37751" w:rsidRPr="00953A37" w:rsidRDefault="00A37751" w:rsidP="00953A37">
      <w:pPr>
        <w:spacing w:line="360" w:lineRule="auto"/>
        <w:rPr>
          <w:rFonts w:ascii="Arial" w:hAnsi="Arial" w:cs="Arial"/>
        </w:rPr>
      </w:pPr>
      <w:r w:rsidRPr="00953A37">
        <w:rPr>
          <w:rFonts w:ascii="Arial" w:hAnsi="Arial" w:cs="Arial"/>
        </w:rPr>
        <w:t>In an increasingly interconnected and competitive global economy, organisations are required to operate with high levels of efficiency, adaptability, and innovation. Within this context, Human Resource Management (HRM) has become a central strategic function rather than a purely administrative one. HR managers are responsible not only for managing employees but also for ensuring that human capital contributes effectively to achieving organisational objectives.</w:t>
      </w:r>
    </w:p>
    <w:p w14:paraId="627C2246" w14:textId="4CE9E34C" w:rsidR="00A37751" w:rsidRPr="00953A37" w:rsidRDefault="00A37751" w:rsidP="00953A37">
      <w:pPr>
        <w:spacing w:line="360" w:lineRule="auto"/>
        <w:rPr>
          <w:rFonts w:ascii="Arial" w:hAnsi="Arial" w:cs="Arial"/>
        </w:rPr>
      </w:pPr>
      <w:r w:rsidRPr="00953A37">
        <w:rPr>
          <w:rFonts w:ascii="Arial" w:hAnsi="Arial" w:cs="Arial"/>
        </w:rPr>
        <w:t>The importance of HRM lies in its core functions, including recruitment and selection, training and development, performance management, and employee relations. These functions collectively determine how well an organisation attracts, develops, and retains talent. For example, effective recruitment processes enable organisations to secure skilled employees, while training and development ensure that these employees remain capable of adapting to technological and market changes. Similarly, performance management systems align individual efforts with organisational goals, and strong employee relations foster engagement, motivation, and long-term retention.</w:t>
      </w:r>
    </w:p>
    <w:p w14:paraId="4492E19F" w14:textId="43C1AFA7" w:rsidR="00A37751" w:rsidRPr="00953A37" w:rsidRDefault="00A37751" w:rsidP="00953A37">
      <w:pPr>
        <w:spacing w:line="360" w:lineRule="auto"/>
        <w:rPr>
          <w:rFonts w:ascii="Arial" w:hAnsi="Arial" w:cs="Arial"/>
        </w:rPr>
      </w:pPr>
      <w:r w:rsidRPr="00953A37">
        <w:rPr>
          <w:rFonts w:ascii="Arial" w:hAnsi="Arial" w:cs="Arial"/>
        </w:rPr>
        <w:t>However, HR practices do not operate in isolation. They are significantly influenced by both internal organisational dynamics and external environmental conditions. Factors such as political regulations, economic trends, cultural expectations, technological innovation, legal frameworks, and environmental concerns all shape how HR managers design and implement strategies.</w:t>
      </w:r>
    </w:p>
    <w:p w14:paraId="373B2AE1" w14:textId="51E65EFC" w:rsidR="00A37751" w:rsidRPr="00953A37" w:rsidRDefault="00A37751" w:rsidP="00953A37">
      <w:pPr>
        <w:spacing w:line="360" w:lineRule="auto"/>
        <w:rPr>
          <w:rFonts w:ascii="Arial" w:hAnsi="Arial" w:cs="Arial"/>
        </w:rPr>
      </w:pPr>
      <w:r w:rsidRPr="00953A37">
        <w:rPr>
          <w:rFonts w:ascii="Arial" w:hAnsi="Arial" w:cs="Arial"/>
        </w:rPr>
        <w:t>This report aims to critically analyse the impact of these environmental factors on HR effectiveness in global organisations. Using the PESTLE framework as a primary analytical tool, the report evaluates how external forces influence HR practices. The analysis is supported by the case of DHL, providing practical insight into how multinational organisations respond to complex global environments.</w:t>
      </w:r>
    </w:p>
    <w:p w14:paraId="3F32E63B" w14:textId="77777777" w:rsidR="00A37751" w:rsidRPr="00953A37" w:rsidRDefault="00A37751" w:rsidP="00953A37">
      <w:pPr>
        <w:spacing w:line="360" w:lineRule="auto"/>
        <w:rPr>
          <w:rFonts w:ascii="Arial" w:hAnsi="Arial" w:cs="Arial"/>
        </w:rPr>
      </w:pPr>
    </w:p>
    <w:p w14:paraId="4E412DE7" w14:textId="77777777" w:rsidR="00953A37" w:rsidRPr="00953A37" w:rsidRDefault="00953A37" w:rsidP="00953A37">
      <w:pPr>
        <w:spacing w:line="360" w:lineRule="auto"/>
        <w:rPr>
          <w:rFonts w:ascii="Arial" w:eastAsiaTheme="majorEastAsia" w:hAnsi="Arial" w:cs="Arial"/>
          <w:color w:val="0F4761" w:themeColor="accent1" w:themeShade="BF"/>
        </w:rPr>
      </w:pPr>
      <w:r w:rsidRPr="00953A37">
        <w:rPr>
          <w:rFonts w:ascii="Arial" w:hAnsi="Arial" w:cs="Arial"/>
        </w:rPr>
        <w:br w:type="page"/>
      </w:r>
    </w:p>
    <w:p w14:paraId="1970D2D9" w14:textId="21E8ECED" w:rsidR="00A37751" w:rsidRPr="00953A37" w:rsidRDefault="00A37751" w:rsidP="00953A37">
      <w:pPr>
        <w:pStyle w:val="Heading1"/>
        <w:spacing w:line="360" w:lineRule="auto"/>
        <w:rPr>
          <w:rFonts w:ascii="Arial" w:hAnsi="Arial" w:cs="Arial"/>
          <w:b/>
          <w:bCs/>
          <w:sz w:val="22"/>
          <w:szCs w:val="22"/>
        </w:rPr>
      </w:pPr>
      <w:bookmarkStart w:id="1" w:name="_Toc228384495"/>
      <w:r w:rsidRPr="00953A37">
        <w:rPr>
          <w:rFonts w:ascii="Arial" w:hAnsi="Arial" w:cs="Arial"/>
          <w:b/>
          <w:bCs/>
          <w:sz w:val="22"/>
          <w:szCs w:val="22"/>
        </w:rPr>
        <w:lastRenderedPageBreak/>
        <w:t>2. Internal and External Environment</w:t>
      </w:r>
      <w:bookmarkEnd w:id="1"/>
      <w:r w:rsidRPr="00953A37">
        <w:rPr>
          <w:rFonts w:ascii="Arial" w:hAnsi="Arial" w:cs="Arial"/>
          <w:b/>
          <w:bCs/>
          <w:sz w:val="22"/>
          <w:szCs w:val="22"/>
        </w:rPr>
        <w:t xml:space="preserve"> </w:t>
      </w:r>
    </w:p>
    <w:p w14:paraId="27715476" w14:textId="5C63E86B" w:rsidR="00A37751" w:rsidRPr="00953A37" w:rsidRDefault="00A37751" w:rsidP="00953A37">
      <w:pPr>
        <w:pStyle w:val="Heading2"/>
        <w:spacing w:line="360" w:lineRule="auto"/>
        <w:rPr>
          <w:rFonts w:ascii="Arial" w:hAnsi="Arial" w:cs="Arial"/>
          <w:b/>
          <w:bCs/>
          <w:sz w:val="22"/>
          <w:szCs w:val="22"/>
        </w:rPr>
      </w:pPr>
      <w:bookmarkStart w:id="2" w:name="_Toc228384496"/>
      <w:r w:rsidRPr="00953A37">
        <w:rPr>
          <w:rFonts w:ascii="Arial" w:hAnsi="Arial" w:cs="Arial"/>
          <w:b/>
          <w:bCs/>
          <w:sz w:val="22"/>
          <w:szCs w:val="22"/>
        </w:rPr>
        <w:t>2.1 The PESTLE Framework</w:t>
      </w:r>
      <w:bookmarkEnd w:id="2"/>
    </w:p>
    <w:p w14:paraId="41C20716" w14:textId="77777777" w:rsidR="00A37751" w:rsidRPr="00953A37" w:rsidRDefault="00A37751" w:rsidP="00953A37">
      <w:pPr>
        <w:spacing w:line="360" w:lineRule="auto"/>
        <w:rPr>
          <w:rFonts w:ascii="Arial" w:hAnsi="Arial" w:cs="Arial"/>
        </w:rPr>
      </w:pPr>
      <w:r w:rsidRPr="00953A37">
        <w:rPr>
          <w:rFonts w:ascii="Arial" w:hAnsi="Arial" w:cs="Arial"/>
        </w:rPr>
        <w:t>The PESTLE framework is a widely recognised tool used to analyse the broader external environment in which organisations operate. It focuses on six key dimensions—political, economic, social, technological, legal, and environmental factors—each of which can significantly influence organisational strategy and performance. In the context of Human Resource Management (HRM), these factors are particularly important because they shape how organisations manage their workforce across different regions and conditions.</w:t>
      </w:r>
    </w:p>
    <w:p w14:paraId="36B863EE" w14:textId="3A85D29D" w:rsidR="00A37751" w:rsidRPr="00953A37" w:rsidRDefault="00A37751" w:rsidP="00953A37">
      <w:pPr>
        <w:spacing w:line="360" w:lineRule="auto"/>
        <w:rPr>
          <w:rFonts w:ascii="Arial" w:hAnsi="Arial" w:cs="Arial"/>
        </w:rPr>
      </w:pPr>
      <w:r w:rsidRPr="00953A37">
        <w:rPr>
          <w:rFonts w:ascii="Arial" w:hAnsi="Arial" w:cs="Arial"/>
        </w:rPr>
        <w:t xml:space="preserve">Political factors refer to the influence of government policies, political stability, and regulatory frameworks on organisational operations. For HR managers, political decisions such as changes in immigration laws or labour regulations can directly affect recruitment strategies and workforce mobility. For example, stricter visa policies may limit access to international talent, forcing organisations to rely more heavily on domestic labour markets. This can increase competition for skilled workers and </w:t>
      </w:r>
      <w:proofErr w:type="gramStart"/>
      <w:r w:rsidRPr="00953A37">
        <w:rPr>
          <w:rFonts w:ascii="Arial" w:hAnsi="Arial" w:cs="Arial"/>
        </w:rPr>
        <w:t>drive up</w:t>
      </w:r>
      <w:proofErr w:type="gramEnd"/>
      <w:r w:rsidRPr="00953A37">
        <w:rPr>
          <w:rFonts w:ascii="Arial" w:hAnsi="Arial" w:cs="Arial"/>
        </w:rPr>
        <w:t xml:space="preserve"> labour costs.</w:t>
      </w:r>
    </w:p>
    <w:p w14:paraId="2169EA76" w14:textId="3AEDB4B1" w:rsidR="00A37751" w:rsidRPr="00953A37" w:rsidRDefault="00A37751" w:rsidP="00953A37">
      <w:pPr>
        <w:spacing w:line="360" w:lineRule="auto"/>
        <w:rPr>
          <w:rFonts w:ascii="Arial" w:hAnsi="Arial" w:cs="Arial"/>
        </w:rPr>
      </w:pPr>
      <w:r w:rsidRPr="00953A37">
        <w:rPr>
          <w:rFonts w:ascii="Arial" w:hAnsi="Arial" w:cs="Arial"/>
        </w:rPr>
        <w:t xml:space="preserve">Economic factors also play a critical role in shaping HR decisions. Economic growth, inflation, and unemployment rates influence labour supply and demand. During periods of economic expansion, organisations are more likely to invest in recruitment and employee development </w:t>
      </w:r>
      <w:proofErr w:type="gramStart"/>
      <w:r w:rsidRPr="00953A37">
        <w:rPr>
          <w:rFonts w:ascii="Arial" w:hAnsi="Arial" w:cs="Arial"/>
        </w:rPr>
        <w:t>in order to</w:t>
      </w:r>
      <w:proofErr w:type="gramEnd"/>
      <w:r w:rsidRPr="00953A37">
        <w:rPr>
          <w:rFonts w:ascii="Arial" w:hAnsi="Arial" w:cs="Arial"/>
        </w:rPr>
        <w:t xml:space="preserve"> support growth. In contrast, economic downturns often lead to cost-reduction strategies, including hiring freezes, redundancies, or reduced training budgets. This creates a challenging environment for HR managers, who must balance financial constraints with the need to maintain employee motivation and performance.</w:t>
      </w:r>
    </w:p>
    <w:p w14:paraId="7DFBBA38" w14:textId="4C39B41B" w:rsidR="00A37751" w:rsidRPr="00953A37" w:rsidRDefault="00A37751" w:rsidP="00953A37">
      <w:pPr>
        <w:spacing w:line="360" w:lineRule="auto"/>
        <w:rPr>
          <w:rFonts w:ascii="Arial" w:hAnsi="Arial" w:cs="Arial"/>
        </w:rPr>
      </w:pPr>
      <w:r w:rsidRPr="00953A37">
        <w:rPr>
          <w:rFonts w:ascii="Arial" w:hAnsi="Arial" w:cs="Arial"/>
        </w:rPr>
        <w:t xml:space="preserve">Social factors include cultural values, demographic trends, and changing workforce expectations. In recent years, there has been a growing emphasis on diversity, inclusion, and work-life balance. Employees increasingly expect flexible working arrangements and meaningful work experiences. As a result, HR managers must design policies that align with these expectations </w:t>
      </w:r>
      <w:proofErr w:type="gramStart"/>
      <w:r w:rsidRPr="00953A37">
        <w:rPr>
          <w:rFonts w:ascii="Arial" w:hAnsi="Arial" w:cs="Arial"/>
        </w:rPr>
        <w:t>in order to</w:t>
      </w:r>
      <w:proofErr w:type="gramEnd"/>
      <w:r w:rsidRPr="00953A37">
        <w:rPr>
          <w:rFonts w:ascii="Arial" w:hAnsi="Arial" w:cs="Arial"/>
        </w:rPr>
        <w:t xml:space="preserve"> attract and retain talent. Failure to do so may result in high turnover and reduced organisational commitment.</w:t>
      </w:r>
    </w:p>
    <w:p w14:paraId="28F81C20" w14:textId="5CBF466D" w:rsidR="00A37751" w:rsidRPr="00953A37" w:rsidRDefault="00A37751" w:rsidP="00953A37">
      <w:pPr>
        <w:spacing w:line="360" w:lineRule="auto"/>
        <w:rPr>
          <w:rFonts w:ascii="Arial" w:hAnsi="Arial" w:cs="Arial"/>
        </w:rPr>
      </w:pPr>
      <w:r w:rsidRPr="00953A37">
        <w:rPr>
          <w:rFonts w:ascii="Arial" w:hAnsi="Arial" w:cs="Arial"/>
        </w:rPr>
        <w:t xml:space="preserve">Technological factors are among the most significant drivers of change in modern HRM. Advances in digital technology, including artificial intelligence and data analytics, have transformed recruitment, training, and performance management processes. For instance, online recruitment platforms allow organisations to reach a wider pool of candidates, while e-learning systems enable continuous employee development. However, these advancements also create new challenges, particularly in terms of skills gaps. Employees must </w:t>
      </w:r>
      <w:r w:rsidRPr="00953A37">
        <w:rPr>
          <w:rFonts w:ascii="Arial" w:hAnsi="Arial" w:cs="Arial"/>
        </w:rPr>
        <w:lastRenderedPageBreak/>
        <w:t>continuously update their competencies to remain relevant, placing additional responsibility on HR managers to provide ongoing training.</w:t>
      </w:r>
    </w:p>
    <w:p w14:paraId="458BECEF" w14:textId="30FD9C8A" w:rsidR="00A37751" w:rsidRPr="00953A37" w:rsidRDefault="00A37751" w:rsidP="00953A37">
      <w:pPr>
        <w:spacing w:line="360" w:lineRule="auto"/>
        <w:rPr>
          <w:rFonts w:ascii="Arial" w:hAnsi="Arial" w:cs="Arial"/>
        </w:rPr>
      </w:pPr>
      <w:r w:rsidRPr="00953A37">
        <w:rPr>
          <w:rFonts w:ascii="Arial" w:hAnsi="Arial" w:cs="Arial"/>
        </w:rPr>
        <w:t>Legal factors impose important constraints on organisational practices. Employment laws, health and safety regulations, and contractual obligations vary across countries, making compliance a complex task for multinational organisations. HR managers must ensure that policies are aligned with local legal requirements while maintaining consistency across the organisation. Non-compliance can result in legal penalties, reputational damage, and decreased employee trust.</w:t>
      </w:r>
    </w:p>
    <w:p w14:paraId="333C2181" w14:textId="0C6B24EA" w:rsidR="00A37751" w:rsidRPr="00953A37" w:rsidRDefault="00A37751" w:rsidP="00953A37">
      <w:pPr>
        <w:spacing w:line="360" w:lineRule="auto"/>
        <w:rPr>
          <w:rFonts w:ascii="Arial" w:hAnsi="Arial" w:cs="Arial"/>
        </w:rPr>
      </w:pPr>
      <w:r w:rsidRPr="00953A37">
        <w:rPr>
          <w:rFonts w:ascii="Arial" w:hAnsi="Arial" w:cs="Arial"/>
        </w:rPr>
        <w:t>Environmental factors are becoming increasingly relevant in today’s business environment. Organisations are under growing pressure to adopt sustainable practices and reduce their environmental impact. HR managers play a key role in supporting these initiatives by promoting environmental awareness, integrating sustainability into training programmes, and encouraging responsible employee behaviour.</w:t>
      </w:r>
    </w:p>
    <w:p w14:paraId="24DE3020" w14:textId="77777777" w:rsidR="00A37751" w:rsidRPr="00953A37" w:rsidRDefault="00A37751" w:rsidP="00953A37">
      <w:pPr>
        <w:spacing w:line="360" w:lineRule="auto"/>
        <w:rPr>
          <w:rFonts w:ascii="Arial" w:hAnsi="Arial" w:cs="Arial"/>
        </w:rPr>
      </w:pPr>
      <w:r w:rsidRPr="00953A37">
        <w:rPr>
          <w:rFonts w:ascii="Arial" w:hAnsi="Arial" w:cs="Arial"/>
        </w:rPr>
        <w:t>Despite its usefulness, the PESTLE framework has several limitations. It focuses primarily on external factors and does not fully consider internal organisational dynamics such as leadership style or organisational culture. Additionally, it does not prioritise the relative importance of different factors, which can make decision-making more complex. Therefore, while PESTLE is a valuable analytical tool, it should be used alongside other frameworks to provide a more comprehensive understanding.</w:t>
      </w:r>
    </w:p>
    <w:p w14:paraId="7AE9026E" w14:textId="77777777" w:rsidR="00A37751" w:rsidRPr="00953A37" w:rsidRDefault="00A37751" w:rsidP="00953A37">
      <w:pPr>
        <w:spacing w:line="360" w:lineRule="auto"/>
        <w:rPr>
          <w:rFonts w:ascii="Arial" w:hAnsi="Arial" w:cs="Arial"/>
        </w:rPr>
      </w:pPr>
    </w:p>
    <w:p w14:paraId="589B3214" w14:textId="48E6E174" w:rsidR="00A37751" w:rsidRPr="00953A37" w:rsidRDefault="00A37751" w:rsidP="00953A37">
      <w:pPr>
        <w:pStyle w:val="Heading2"/>
        <w:spacing w:line="360" w:lineRule="auto"/>
        <w:rPr>
          <w:rFonts w:ascii="Arial" w:hAnsi="Arial" w:cs="Arial"/>
          <w:b/>
          <w:bCs/>
          <w:sz w:val="22"/>
          <w:szCs w:val="22"/>
        </w:rPr>
      </w:pPr>
      <w:bookmarkStart w:id="3" w:name="_Toc228384497"/>
      <w:r w:rsidRPr="00953A37">
        <w:rPr>
          <w:rFonts w:ascii="Arial" w:hAnsi="Arial" w:cs="Arial"/>
          <w:b/>
          <w:bCs/>
          <w:sz w:val="22"/>
          <w:szCs w:val="22"/>
        </w:rPr>
        <w:t>2.2 Link to HR Functions</w:t>
      </w:r>
      <w:bookmarkEnd w:id="3"/>
    </w:p>
    <w:p w14:paraId="60A4F3B0" w14:textId="77777777" w:rsidR="00953A37" w:rsidRDefault="00A37751" w:rsidP="00953A37">
      <w:pPr>
        <w:spacing w:line="360" w:lineRule="auto"/>
        <w:rPr>
          <w:rFonts w:ascii="Arial" w:hAnsi="Arial" w:cs="Arial"/>
        </w:rPr>
      </w:pPr>
      <w:r w:rsidRPr="00953A37">
        <w:rPr>
          <w:rFonts w:ascii="Arial" w:hAnsi="Arial" w:cs="Arial"/>
        </w:rPr>
        <w:t>The PESTLE framework has a direct and multifaceted impact on core HR functions, influencing how organisations manage their workforce.</w:t>
      </w:r>
    </w:p>
    <w:p w14:paraId="6A4329A2" w14:textId="269FEF1D" w:rsidR="00A37751" w:rsidRPr="00953A37" w:rsidRDefault="00A37751" w:rsidP="00953A37">
      <w:pPr>
        <w:spacing w:line="360" w:lineRule="auto"/>
        <w:rPr>
          <w:rFonts w:ascii="Arial" w:hAnsi="Arial" w:cs="Arial"/>
        </w:rPr>
      </w:pPr>
      <w:r w:rsidRPr="00953A37">
        <w:rPr>
          <w:rFonts w:ascii="Arial" w:hAnsi="Arial" w:cs="Arial"/>
        </w:rPr>
        <w:t>Recruitment and selection are particularly affected by political, economic, and legal factors. Immigration policies can restrict access to international talent, while economic conditions influence the availability of skilled labour. In competitive labour markets, organisations must adopt innovative recruitment strategies, such as employer branding and digital hiring platforms, to attract high-quality candidates.</w:t>
      </w:r>
    </w:p>
    <w:p w14:paraId="17F0AB9E" w14:textId="7BC02891" w:rsidR="00A37751" w:rsidRPr="00953A37" w:rsidRDefault="00A37751" w:rsidP="00953A37">
      <w:pPr>
        <w:spacing w:line="360" w:lineRule="auto"/>
        <w:rPr>
          <w:rFonts w:ascii="Arial" w:hAnsi="Arial" w:cs="Arial"/>
        </w:rPr>
      </w:pPr>
      <w:r w:rsidRPr="00953A37">
        <w:rPr>
          <w:rFonts w:ascii="Arial" w:hAnsi="Arial" w:cs="Arial"/>
        </w:rPr>
        <w:t>Training and development are strongly shaped by technological and environmental factors. Rapid technological change requires continuous skill development, making lifelong learning a necessity rather than an option. At the same time, sustainability initiatives encourage organisations to incorporate environmental awareness into training programmes.</w:t>
      </w:r>
    </w:p>
    <w:p w14:paraId="7052BE15" w14:textId="15E12C54" w:rsidR="00A37751" w:rsidRPr="00953A37" w:rsidRDefault="00A37751" w:rsidP="00953A37">
      <w:pPr>
        <w:spacing w:line="360" w:lineRule="auto"/>
        <w:rPr>
          <w:rFonts w:ascii="Arial" w:hAnsi="Arial" w:cs="Arial"/>
        </w:rPr>
      </w:pPr>
      <w:r w:rsidRPr="00953A37">
        <w:rPr>
          <w:rFonts w:ascii="Arial" w:hAnsi="Arial" w:cs="Arial"/>
        </w:rPr>
        <w:lastRenderedPageBreak/>
        <w:t>Performance management is influenced by both social and economic factors. Cultural differences affect how performance is evaluated, particularly in global organisations where expectations vary across regions. Economic pressures may also lead to more performance-driven environments, increasing the focus on productivity and efficiency. However, excessive pressure can negatively impact employee well-being.</w:t>
      </w:r>
    </w:p>
    <w:p w14:paraId="5D9789C7" w14:textId="7A6E4A7C" w:rsidR="00A37751" w:rsidRPr="00953A37" w:rsidRDefault="00A37751" w:rsidP="00953A37">
      <w:pPr>
        <w:spacing w:line="360" w:lineRule="auto"/>
        <w:rPr>
          <w:rFonts w:ascii="Arial" w:hAnsi="Arial" w:cs="Arial"/>
        </w:rPr>
      </w:pPr>
      <w:r w:rsidRPr="00953A37">
        <w:rPr>
          <w:rFonts w:ascii="Arial" w:hAnsi="Arial" w:cs="Arial"/>
        </w:rPr>
        <w:t>Employee relations are closely linked to legal and social factors. Employment laws define employee rights and organisational responsibilities, while cultural norms influence communication and leadership styles. HR managers must adopt a balanced approach that ensures legal compliance while fostering a positive work environment.</w:t>
      </w:r>
    </w:p>
    <w:p w14:paraId="76623957" w14:textId="198D8956" w:rsidR="00A37751" w:rsidRPr="00953A37" w:rsidRDefault="00A37751" w:rsidP="00953A37">
      <w:pPr>
        <w:spacing w:line="360" w:lineRule="auto"/>
        <w:rPr>
          <w:rFonts w:ascii="Arial" w:hAnsi="Arial" w:cs="Arial"/>
        </w:rPr>
      </w:pPr>
      <w:r w:rsidRPr="00953A37">
        <w:rPr>
          <w:rFonts w:ascii="Arial" w:hAnsi="Arial" w:cs="Arial"/>
        </w:rPr>
        <w:t>Overall, the interaction between these factors highlights the complexity of HRM in a global context. HR managers must adopt a flexible and strategic approach, continuously adapting to changes in the external environment.</w:t>
      </w:r>
    </w:p>
    <w:p w14:paraId="079E1542" w14:textId="77777777" w:rsidR="00A37751" w:rsidRPr="00953A37" w:rsidRDefault="00A37751" w:rsidP="00953A37">
      <w:pPr>
        <w:spacing w:line="360" w:lineRule="auto"/>
        <w:rPr>
          <w:rFonts w:ascii="Arial" w:hAnsi="Arial" w:cs="Arial"/>
        </w:rPr>
      </w:pPr>
    </w:p>
    <w:p w14:paraId="040D6A2C" w14:textId="77777777" w:rsidR="00953A37" w:rsidRDefault="00953A37">
      <w:pPr>
        <w:rPr>
          <w:rFonts w:ascii="Arial" w:eastAsiaTheme="majorEastAsia" w:hAnsi="Arial" w:cs="Arial"/>
          <w:b/>
          <w:bCs/>
          <w:color w:val="0F4761" w:themeColor="accent1" w:themeShade="BF"/>
        </w:rPr>
      </w:pPr>
      <w:r>
        <w:rPr>
          <w:rFonts w:ascii="Arial" w:hAnsi="Arial" w:cs="Arial"/>
          <w:b/>
          <w:bCs/>
        </w:rPr>
        <w:br w:type="page"/>
      </w:r>
    </w:p>
    <w:p w14:paraId="17360395" w14:textId="4E84E67A" w:rsidR="00A37751" w:rsidRPr="00953A37" w:rsidRDefault="00A37751" w:rsidP="00953A37">
      <w:pPr>
        <w:pStyle w:val="Heading1"/>
        <w:spacing w:line="360" w:lineRule="auto"/>
        <w:rPr>
          <w:rFonts w:ascii="Arial" w:hAnsi="Arial" w:cs="Arial"/>
          <w:b/>
          <w:bCs/>
          <w:sz w:val="22"/>
          <w:szCs w:val="22"/>
        </w:rPr>
      </w:pPr>
      <w:bookmarkStart w:id="4" w:name="_Toc228384498"/>
      <w:r w:rsidRPr="00953A37">
        <w:rPr>
          <w:rFonts w:ascii="Arial" w:hAnsi="Arial" w:cs="Arial"/>
          <w:b/>
          <w:bCs/>
          <w:sz w:val="22"/>
          <w:szCs w:val="22"/>
        </w:rPr>
        <w:lastRenderedPageBreak/>
        <w:t>3. Organisation Application</w:t>
      </w:r>
      <w:bookmarkEnd w:id="4"/>
      <w:r w:rsidRPr="00953A37">
        <w:rPr>
          <w:rFonts w:ascii="Arial" w:hAnsi="Arial" w:cs="Arial"/>
          <w:b/>
          <w:bCs/>
          <w:sz w:val="22"/>
          <w:szCs w:val="22"/>
        </w:rPr>
        <w:t xml:space="preserve"> </w:t>
      </w:r>
    </w:p>
    <w:p w14:paraId="03838F95" w14:textId="3325A412" w:rsidR="00A37751" w:rsidRPr="00953A37" w:rsidRDefault="00A37751" w:rsidP="00953A37">
      <w:pPr>
        <w:pStyle w:val="Heading2"/>
        <w:spacing w:line="360" w:lineRule="auto"/>
        <w:rPr>
          <w:rFonts w:ascii="Arial" w:hAnsi="Arial" w:cs="Arial"/>
          <w:b/>
          <w:bCs/>
          <w:sz w:val="22"/>
          <w:szCs w:val="22"/>
        </w:rPr>
      </w:pPr>
      <w:bookmarkStart w:id="5" w:name="_Toc228384499"/>
      <w:r w:rsidRPr="00953A37">
        <w:rPr>
          <w:rFonts w:ascii="Arial" w:hAnsi="Arial" w:cs="Arial"/>
          <w:b/>
          <w:bCs/>
          <w:sz w:val="22"/>
          <w:szCs w:val="22"/>
        </w:rPr>
        <w:t>3.1 Organisational Overview</w:t>
      </w:r>
      <w:bookmarkEnd w:id="5"/>
    </w:p>
    <w:p w14:paraId="40274290" w14:textId="47477B92" w:rsidR="00A37751" w:rsidRPr="00953A37" w:rsidRDefault="00A37751" w:rsidP="00953A37">
      <w:pPr>
        <w:spacing w:line="360" w:lineRule="auto"/>
        <w:rPr>
          <w:rFonts w:ascii="Arial" w:hAnsi="Arial" w:cs="Arial"/>
        </w:rPr>
      </w:pPr>
      <w:r w:rsidRPr="00953A37">
        <w:rPr>
          <w:rFonts w:ascii="Arial" w:hAnsi="Arial" w:cs="Arial"/>
        </w:rPr>
        <w:t>DHL is one of the largest and most influential organisations in the global logistics sector, operating across more than 220 countries and territories. As part of the Deutsche Post DHL Group, the company provides a wide range of services, including express delivery, freight transport, and supply chain management solutions. Its global scale and operational complexity expose it to diverse economic, political, and cultural environments, making effective Human Resource Management (HRM) essential.</w:t>
      </w:r>
    </w:p>
    <w:p w14:paraId="2CB1A39E" w14:textId="1C5C5DD1" w:rsidR="00A37751" w:rsidRDefault="00A37751" w:rsidP="00953A37">
      <w:pPr>
        <w:spacing w:line="360" w:lineRule="auto"/>
        <w:rPr>
          <w:rFonts w:ascii="Arial" w:hAnsi="Arial" w:cs="Arial"/>
        </w:rPr>
      </w:pPr>
      <w:r w:rsidRPr="00953A37">
        <w:rPr>
          <w:rFonts w:ascii="Arial" w:hAnsi="Arial" w:cs="Arial"/>
        </w:rPr>
        <w:t>A key strategic feature of DHL is its ability to balance global integration with local responsiveness. This means that while the organisation maintains consistent operational standards, it also adapts its practices to suit local conditions. This approach is particularly important in HRM, where differences in labour markets, legal systems, and cultural expectations can significantly influence workforce management.</w:t>
      </w:r>
    </w:p>
    <w:p w14:paraId="2BF0C6FE" w14:textId="77777777" w:rsidR="00953A37" w:rsidRPr="00953A37" w:rsidRDefault="00953A37" w:rsidP="00953A37">
      <w:pPr>
        <w:spacing w:line="360" w:lineRule="auto"/>
        <w:rPr>
          <w:rFonts w:ascii="Arial" w:hAnsi="Arial" w:cs="Arial"/>
        </w:rPr>
      </w:pPr>
    </w:p>
    <w:p w14:paraId="387232AB" w14:textId="4614070D" w:rsidR="00A37751" w:rsidRPr="00953A37" w:rsidRDefault="00A37751" w:rsidP="00953A37">
      <w:pPr>
        <w:pStyle w:val="Heading2"/>
        <w:spacing w:line="360" w:lineRule="auto"/>
        <w:rPr>
          <w:rFonts w:ascii="Arial" w:hAnsi="Arial" w:cs="Arial"/>
          <w:b/>
          <w:bCs/>
          <w:sz w:val="22"/>
          <w:szCs w:val="22"/>
        </w:rPr>
      </w:pPr>
      <w:bookmarkStart w:id="6" w:name="_Toc228384500"/>
      <w:r w:rsidRPr="00953A37">
        <w:rPr>
          <w:rFonts w:ascii="Arial" w:hAnsi="Arial" w:cs="Arial"/>
          <w:b/>
          <w:bCs/>
          <w:sz w:val="22"/>
          <w:szCs w:val="22"/>
        </w:rPr>
        <w:t>3.2 HR Practices and Strategic Approach</w:t>
      </w:r>
      <w:bookmarkEnd w:id="6"/>
    </w:p>
    <w:p w14:paraId="1A08C4D2" w14:textId="079D5BD6" w:rsidR="00A37751" w:rsidRPr="00953A37" w:rsidRDefault="00A37751" w:rsidP="00953A37">
      <w:pPr>
        <w:spacing w:line="360" w:lineRule="auto"/>
        <w:rPr>
          <w:rFonts w:ascii="Arial" w:hAnsi="Arial" w:cs="Arial"/>
        </w:rPr>
      </w:pPr>
      <w:r w:rsidRPr="00953A37">
        <w:rPr>
          <w:rFonts w:ascii="Arial" w:hAnsi="Arial" w:cs="Arial"/>
        </w:rPr>
        <w:t>DHL adopts a strategic and integrated approach to HRM, ensuring that its human resource practices support overall organisational objectives. In terms of recruitment, the company leverages digital platforms and global talent acquisition strategies to attract skilled employees from diverse backgrounds. This approach not only expands the talent pool but also supports innovation through workforce diversity.</w:t>
      </w:r>
    </w:p>
    <w:p w14:paraId="315E0F26" w14:textId="72C43571" w:rsidR="00A37751" w:rsidRPr="00953A37" w:rsidRDefault="00A37751" w:rsidP="00953A37">
      <w:pPr>
        <w:spacing w:line="360" w:lineRule="auto"/>
        <w:rPr>
          <w:rFonts w:ascii="Arial" w:hAnsi="Arial" w:cs="Arial"/>
        </w:rPr>
      </w:pPr>
      <w:r w:rsidRPr="00953A37">
        <w:rPr>
          <w:rFonts w:ascii="Arial" w:hAnsi="Arial" w:cs="Arial"/>
        </w:rPr>
        <w:t>Training and development represent a core priority for DHL. The organisation invests heavily in leadership development programmes and continuous learning initiatives, recognising that employee adaptability is critical in a rapidly evolving industry. This focus on development enhances both individual performance and organisational resilience.</w:t>
      </w:r>
    </w:p>
    <w:p w14:paraId="13743404" w14:textId="6C4317AD" w:rsidR="00A37751" w:rsidRPr="00953A37" w:rsidRDefault="00A37751" w:rsidP="00953A37">
      <w:pPr>
        <w:spacing w:line="360" w:lineRule="auto"/>
        <w:rPr>
          <w:rFonts w:ascii="Arial" w:hAnsi="Arial" w:cs="Arial"/>
        </w:rPr>
      </w:pPr>
      <w:r w:rsidRPr="00953A37">
        <w:rPr>
          <w:rFonts w:ascii="Arial" w:hAnsi="Arial" w:cs="Arial"/>
        </w:rPr>
        <w:t>Performance management at DHL is characterised by an emphasis on continuous feedback rather than traditional annual appraisals. This allows for more dynamic performance evaluation and supports ongoing employee development. However, this approach requires strong managerial capabilities to ensure consistency and fairness.</w:t>
      </w:r>
    </w:p>
    <w:p w14:paraId="278215A5" w14:textId="6BFC4682" w:rsidR="00A37751" w:rsidRPr="00953A37" w:rsidRDefault="00A37751" w:rsidP="00953A37">
      <w:pPr>
        <w:spacing w:line="360" w:lineRule="auto"/>
        <w:rPr>
          <w:rFonts w:ascii="Arial" w:hAnsi="Arial" w:cs="Arial"/>
        </w:rPr>
      </w:pPr>
      <w:r w:rsidRPr="00953A37">
        <w:rPr>
          <w:rFonts w:ascii="Arial" w:hAnsi="Arial" w:cs="Arial"/>
        </w:rPr>
        <w:t>In relation to employee relations, DHL promotes a culture of inclusion, collaboration, and well-being. While this contributes to high levels of employee engagement, managing such a large and diverse workforce remains a complex challenge, particularly in ensuring consistency across different regions.</w:t>
      </w:r>
    </w:p>
    <w:p w14:paraId="07790A71" w14:textId="77777777" w:rsidR="00A37751" w:rsidRPr="00953A37" w:rsidRDefault="00A37751" w:rsidP="00953A37">
      <w:pPr>
        <w:spacing w:line="360" w:lineRule="auto"/>
        <w:rPr>
          <w:rFonts w:ascii="Arial" w:hAnsi="Arial" w:cs="Arial"/>
        </w:rPr>
      </w:pPr>
    </w:p>
    <w:p w14:paraId="17374EE1" w14:textId="5D430697" w:rsidR="00A37751" w:rsidRPr="00953A37" w:rsidRDefault="00A37751" w:rsidP="00953A37">
      <w:pPr>
        <w:pStyle w:val="Heading1"/>
        <w:spacing w:line="360" w:lineRule="auto"/>
        <w:rPr>
          <w:rFonts w:ascii="Arial" w:hAnsi="Arial" w:cs="Arial"/>
          <w:b/>
          <w:bCs/>
          <w:sz w:val="22"/>
          <w:szCs w:val="22"/>
        </w:rPr>
      </w:pPr>
      <w:bookmarkStart w:id="7" w:name="_Toc228384501"/>
      <w:r w:rsidRPr="00953A37">
        <w:rPr>
          <w:rFonts w:ascii="Arial" w:hAnsi="Arial" w:cs="Arial"/>
          <w:b/>
          <w:bCs/>
          <w:sz w:val="22"/>
          <w:szCs w:val="22"/>
        </w:rPr>
        <w:lastRenderedPageBreak/>
        <w:t>4. Application of the PESTLE Model</w:t>
      </w:r>
      <w:bookmarkEnd w:id="7"/>
      <w:r w:rsidRPr="00953A37">
        <w:rPr>
          <w:rFonts w:ascii="Arial" w:hAnsi="Arial" w:cs="Arial"/>
          <w:b/>
          <w:bCs/>
          <w:sz w:val="22"/>
          <w:szCs w:val="22"/>
        </w:rPr>
        <w:t xml:space="preserve"> </w:t>
      </w:r>
    </w:p>
    <w:p w14:paraId="1FBF2DB0" w14:textId="6F60BB46" w:rsidR="00A37751" w:rsidRPr="00800246" w:rsidRDefault="00A37751" w:rsidP="00800246">
      <w:pPr>
        <w:pStyle w:val="Heading2"/>
        <w:spacing w:line="360" w:lineRule="auto"/>
        <w:rPr>
          <w:rFonts w:ascii="Arial" w:hAnsi="Arial" w:cs="Arial"/>
          <w:b/>
          <w:bCs/>
          <w:sz w:val="22"/>
          <w:szCs w:val="22"/>
        </w:rPr>
      </w:pPr>
      <w:bookmarkStart w:id="8" w:name="_Toc228384502"/>
      <w:r w:rsidRPr="00953A37">
        <w:rPr>
          <w:rFonts w:ascii="Arial" w:hAnsi="Arial" w:cs="Arial"/>
          <w:b/>
          <w:bCs/>
          <w:sz w:val="22"/>
          <w:szCs w:val="22"/>
        </w:rPr>
        <w:t>4.1 Impact on HR Practices</w:t>
      </w:r>
      <w:bookmarkEnd w:id="8"/>
    </w:p>
    <w:p w14:paraId="46E8832B" w14:textId="77777777" w:rsidR="00953A37" w:rsidRDefault="00A37751" w:rsidP="00953A37">
      <w:pPr>
        <w:spacing w:line="360" w:lineRule="auto"/>
        <w:rPr>
          <w:rFonts w:ascii="Arial" w:hAnsi="Arial" w:cs="Arial"/>
        </w:rPr>
      </w:pPr>
      <w:r w:rsidRPr="00953A37">
        <w:rPr>
          <w:rFonts w:ascii="Arial" w:hAnsi="Arial" w:cs="Arial"/>
        </w:rPr>
        <w:t>The PESTLE framework provides a useful perspective for analysing how external environmental factors influence Human Resource Management (HRM). In the case of DHL, these factors play a significant role due to the organisation’s global scale and operational complexity</w:t>
      </w:r>
      <w:r w:rsidR="00953A37">
        <w:rPr>
          <w:rFonts w:ascii="Arial" w:hAnsi="Arial" w:cs="Arial"/>
        </w:rPr>
        <w:t>.</w:t>
      </w:r>
    </w:p>
    <w:p w14:paraId="6B0821BE" w14:textId="521691E9" w:rsidR="00A37751" w:rsidRPr="00953A37" w:rsidRDefault="00A37751" w:rsidP="00953A37">
      <w:pPr>
        <w:spacing w:line="360" w:lineRule="auto"/>
        <w:rPr>
          <w:rFonts w:ascii="Arial" w:hAnsi="Arial" w:cs="Arial"/>
        </w:rPr>
      </w:pPr>
      <w:r w:rsidRPr="00953A37">
        <w:rPr>
          <w:rFonts w:ascii="Arial" w:hAnsi="Arial" w:cs="Arial"/>
        </w:rPr>
        <w:t>Political and legal factors are among the most influential. Operating across multiple countries requires compliance with diverse labour laws and regulatory systems. This limits the ability to standardise HR practices and often reduces flexibility in areas such as recruitment and termination. For example, strict employment protection in Europe enhances job security but can constrain organisational responsiveness, requiring more cautious workforce planning.</w:t>
      </w:r>
    </w:p>
    <w:p w14:paraId="49B60293" w14:textId="4F97A0B0" w:rsidR="00A37751" w:rsidRPr="00953A37" w:rsidRDefault="00A37751" w:rsidP="00953A37">
      <w:pPr>
        <w:spacing w:line="360" w:lineRule="auto"/>
        <w:rPr>
          <w:rFonts w:ascii="Arial" w:hAnsi="Arial" w:cs="Arial"/>
        </w:rPr>
      </w:pPr>
      <w:r w:rsidRPr="00953A37">
        <w:rPr>
          <w:rFonts w:ascii="Arial" w:hAnsi="Arial" w:cs="Arial"/>
        </w:rPr>
        <w:t>Economic conditions also shape HR decisions by influencing labour markets and organisational priorities. During economic growth, DHL is more likely to invest in recruitment and employee development. In contrast, economic downturns may lead to cost-control strategies such as hiring freezes or restructuring. These shifts highlight the need for HR managers to balance financial efficiency with employee engagement.</w:t>
      </w:r>
    </w:p>
    <w:p w14:paraId="60169BE0" w14:textId="06FC5F2D" w:rsidR="00A37751" w:rsidRPr="00953A37" w:rsidRDefault="00A37751" w:rsidP="00953A37">
      <w:pPr>
        <w:spacing w:line="360" w:lineRule="auto"/>
        <w:rPr>
          <w:rFonts w:ascii="Arial" w:hAnsi="Arial" w:cs="Arial"/>
        </w:rPr>
      </w:pPr>
      <w:r w:rsidRPr="00953A37">
        <w:rPr>
          <w:rFonts w:ascii="Arial" w:hAnsi="Arial" w:cs="Arial"/>
        </w:rPr>
        <w:t>Social factors, particularly cultural diversity, significantly affect HR practices. With operations in over 220 countries, DHL must manage employees with varied cultural expectations. Differences in communication styles and attitudes towards work require HR managers to adapt leadership approaches. While this flexibility improves effectiveness, it also increases the complexity of maintaining consistent HR standards.</w:t>
      </w:r>
    </w:p>
    <w:p w14:paraId="2ADF49A8" w14:textId="1ADBEFA8" w:rsidR="00A37751" w:rsidRPr="00953A37" w:rsidRDefault="00A37751" w:rsidP="00953A37">
      <w:pPr>
        <w:spacing w:line="360" w:lineRule="auto"/>
        <w:rPr>
          <w:rFonts w:ascii="Arial" w:hAnsi="Arial" w:cs="Arial"/>
        </w:rPr>
      </w:pPr>
      <w:r w:rsidRPr="00953A37">
        <w:rPr>
          <w:rFonts w:ascii="Arial" w:hAnsi="Arial" w:cs="Arial"/>
        </w:rPr>
        <w:t>Technological advancements have enhanced HR efficiency through digital recruitment, e-learning, and data analytics. These tools improve decision-making and operational speed. However, they also create ongoing challenges related to skills development, as employees must continuously update their competencies. This increases the importance of training and development within HR strategy.</w:t>
      </w:r>
    </w:p>
    <w:p w14:paraId="531977B7" w14:textId="77777777" w:rsidR="00A37751" w:rsidRPr="00953A37" w:rsidRDefault="00A37751" w:rsidP="00953A37">
      <w:pPr>
        <w:spacing w:line="360" w:lineRule="auto"/>
        <w:rPr>
          <w:rFonts w:ascii="Arial" w:hAnsi="Arial" w:cs="Arial"/>
        </w:rPr>
      </w:pPr>
      <w:r w:rsidRPr="00953A37">
        <w:rPr>
          <w:rFonts w:ascii="Arial" w:hAnsi="Arial" w:cs="Arial"/>
        </w:rPr>
        <w:t>Environmental factors are becoming increasingly relevant, particularly in the logistics industry. DHL’s sustainability initiatives require HR managers to promote environmentally responsible behaviour and integrate sustainability into organisational culture. This expands the traditional role of HR while also contributing to organisational reputation.</w:t>
      </w:r>
    </w:p>
    <w:p w14:paraId="13127E7A" w14:textId="77777777" w:rsidR="00A37751" w:rsidRPr="00953A37" w:rsidRDefault="00A37751" w:rsidP="00953A37">
      <w:pPr>
        <w:spacing w:line="360" w:lineRule="auto"/>
        <w:rPr>
          <w:rFonts w:ascii="Arial" w:hAnsi="Arial" w:cs="Arial"/>
        </w:rPr>
      </w:pPr>
    </w:p>
    <w:p w14:paraId="308FE86A" w14:textId="60FCD532" w:rsidR="00A37751" w:rsidRPr="00953A37" w:rsidRDefault="00A37751" w:rsidP="00953A37">
      <w:pPr>
        <w:pStyle w:val="Heading2"/>
        <w:spacing w:line="360" w:lineRule="auto"/>
        <w:rPr>
          <w:rFonts w:ascii="Arial" w:hAnsi="Arial" w:cs="Arial"/>
          <w:b/>
          <w:bCs/>
          <w:sz w:val="22"/>
          <w:szCs w:val="22"/>
        </w:rPr>
      </w:pPr>
      <w:bookmarkStart w:id="9" w:name="_Toc228384503"/>
      <w:r w:rsidRPr="00953A37">
        <w:rPr>
          <w:rFonts w:ascii="Arial" w:hAnsi="Arial" w:cs="Arial"/>
          <w:b/>
          <w:bCs/>
          <w:sz w:val="22"/>
          <w:szCs w:val="22"/>
        </w:rPr>
        <w:lastRenderedPageBreak/>
        <w:t>4.2 Critical Evaluation of the Model</w:t>
      </w:r>
      <w:bookmarkEnd w:id="9"/>
    </w:p>
    <w:p w14:paraId="2BD7E89F" w14:textId="32381E8C" w:rsidR="00A37751" w:rsidRPr="00953A37" w:rsidRDefault="00A37751" w:rsidP="00953A37">
      <w:pPr>
        <w:spacing w:line="360" w:lineRule="auto"/>
        <w:rPr>
          <w:rFonts w:ascii="Arial" w:hAnsi="Arial" w:cs="Arial"/>
        </w:rPr>
      </w:pPr>
      <w:r w:rsidRPr="00953A37">
        <w:rPr>
          <w:rFonts w:ascii="Arial" w:hAnsi="Arial" w:cs="Arial"/>
        </w:rPr>
        <w:t>Although the PESTLE framework is useful, it has several limitations. It focuses mainly on external factors and does not consider internal organisational elements such as leadership, culture, and employee engagement. These internal factors can significantly influence HR effectiveness, meaning that PESTLE alone provides an incomplete analysis.</w:t>
      </w:r>
    </w:p>
    <w:p w14:paraId="5439C362" w14:textId="2DF8B35B" w:rsidR="00A37751" w:rsidRPr="00953A37" w:rsidRDefault="00A37751" w:rsidP="00953A37">
      <w:pPr>
        <w:spacing w:line="360" w:lineRule="auto"/>
        <w:rPr>
          <w:rFonts w:ascii="Arial" w:hAnsi="Arial" w:cs="Arial"/>
        </w:rPr>
      </w:pPr>
      <w:r w:rsidRPr="00953A37">
        <w:rPr>
          <w:rFonts w:ascii="Arial" w:hAnsi="Arial" w:cs="Arial"/>
        </w:rPr>
        <w:t>Another limitation is the lack of prioritisation. The model does not indicate which factors are most important, leaving HR managers to determine their relative impact. For instance, technological factors may dominate in digital industries, while legal factors may be more significant in highly regulated environments.</w:t>
      </w:r>
    </w:p>
    <w:p w14:paraId="4F832CAD" w14:textId="39058360" w:rsidR="00A37751" w:rsidRPr="00953A37" w:rsidRDefault="00A37751" w:rsidP="00953A37">
      <w:pPr>
        <w:spacing w:line="360" w:lineRule="auto"/>
        <w:rPr>
          <w:rFonts w:ascii="Arial" w:hAnsi="Arial" w:cs="Arial"/>
        </w:rPr>
      </w:pPr>
      <w:r w:rsidRPr="00953A37">
        <w:rPr>
          <w:rFonts w:ascii="Arial" w:hAnsi="Arial" w:cs="Arial"/>
        </w:rPr>
        <w:t>Furthermore, PESTLE presents a relatively static view of the environment, whereas real-world conditions are constantly changing. Rapid technological developments and economic uncertainty require organisations to respond quickly, which the model may not fully capture.</w:t>
      </w:r>
    </w:p>
    <w:p w14:paraId="7655CFA5" w14:textId="77777777" w:rsidR="00A37751" w:rsidRPr="00953A37" w:rsidRDefault="00A37751" w:rsidP="00953A37">
      <w:pPr>
        <w:spacing w:line="360" w:lineRule="auto"/>
        <w:rPr>
          <w:rFonts w:ascii="Arial" w:hAnsi="Arial" w:cs="Arial"/>
        </w:rPr>
      </w:pPr>
      <w:r w:rsidRPr="00953A37">
        <w:rPr>
          <w:rFonts w:ascii="Arial" w:hAnsi="Arial" w:cs="Arial"/>
        </w:rPr>
        <w:t>Despite these limitations, PESTLE remains a valuable starting point for analysing external influences, particularly when combined with internal analysis and other strategic frameworks.</w:t>
      </w:r>
    </w:p>
    <w:p w14:paraId="550BF53C" w14:textId="77777777" w:rsidR="00A37751" w:rsidRPr="00953A37" w:rsidRDefault="00A37751" w:rsidP="00953A37">
      <w:pPr>
        <w:spacing w:line="360" w:lineRule="auto"/>
        <w:rPr>
          <w:rFonts w:ascii="Arial" w:hAnsi="Arial" w:cs="Arial"/>
        </w:rPr>
      </w:pPr>
    </w:p>
    <w:p w14:paraId="46CBE839" w14:textId="77777777" w:rsidR="00A37751" w:rsidRPr="00953A37" w:rsidRDefault="00A37751" w:rsidP="00953A37">
      <w:pPr>
        <w:pStyle w:val="Heading2"/>
        <w:spacing w:line="360" w:lineRule="auto"/>
        <w:rPr>
          <w:rFonts w:ascii="Arial" w:hAnsi="Arial" w:cs="Arial"/>
          <w:b/>
          <w:bCs/>
          <w:sz w:val="22"/>
          <w:szCs w:val="22"/>
        </w:rPr>
      </w:pPr>
      <w:bookmarkStart w:id="10" w:name="_Toc228384504"/>
      <w:r w:rsidRPr="00953A37">
        <w:rPr>
          <w:rFonts w:ascii="Arial" w:hAnsi="Arial" w:cs="Arial"/>
          <w:b/>
          <w:bCs/>
          <w:sz w:val="22"/>
          <w:szCs w:val="22"/>
        </w:rPr>
        <w:t>4.3 Cross-Country Differences and HR Challenges</w:t>
      </w:r>
      <w:bookmarkEnd w:id="10"/>
    </w:p>
    <w:p w14:paraId="17989BFD" w14:textId="77777777" w:rsidR="00A37751" w:rsidRPr="00953A37" w:rsidRDefault="00A37751" w:rsidP="00953A37">
      <w:pPr>
        <w:spacing w:line="360" w:lineRule="auto"/>
        <w:rPr>
          <w:rFonts w:ascii="Arial" w:hAnsi="Arial" w:cs="Arial"/>
        </w:rPr>
      </w:pPr>
    </w:p>
    <w:p w14:paraId="59C1F8F5" w14:textId="17506ADF" w:rsidR="00A37751" w:rsidRPr="00953A37" w:rsidRDefault="00A37751" w:rsidP="00953A37">
      <w:pPr>
        <w:spacing w:line="360" w:lineRule="auto"/>
        <w:rPr>
          <w:rFonts w:ascii="Arial" w:hAnsi="Arial" w:cs="Arial"/>
        </w:rPr>
      </w:pPr>
      <w:r w:rsidRPr="00953A37">
        <w:rPr>
          <w:rFonts w:ascii="Arial" w:hAnsi="Arial" w:cs="Arial"/>
        </w:rPr>
        <w:t>The impact of environmental factors varies across countries, creating additional challenges for multinational organisations like DHL.</w:t>
      </w:r>
    </w:p>
    <w:p w14:paraId="100B9473" w14:textId="1E7FB4A8" w:rsidR="00A37751" w:rsidRPr="00953A37" w:rsidRDefault="00A37751" w:rsidP="00953A37">
      <w:pPr>
        <w:spacing w:line="360" w:lineRule="auto"/>
        <w:rPr>
          <w:rFonts w:ascii="Arial" w:hAnsi="Arial" w:cs="Arial"/>
        </w:rPr>
      </w:pPr>
      <w:r w:rsidRPr="00953A37">
        <w:rPr>
          <w:rFonts w:ascii="Arial" w:hAnsi="Arial" w:cs="Arial"/>
        </w:rPr>
        <w:t>Cultural differences influence leadership styles, communication, and employee expectations. HR managers must adapt their approaches to different cultural contexts, which can improve effectiveness but also increase complexity.</w:t>
      </w:r>
    </w:p>
    <w:p w14:paraId="79BFCB48" w14:textId="24424735" w:rsidR="00A37751" w:rsidRPr="00953A37" w:rsidRDefault="00A37751" w:rsidP="00953A37">
      <w:pPr>
        <w:spacing w:line="360" w:lineRule="auto"/>
        <w:rPr>
          <w:rFonts w:ascii="Arial" w:hAnsi="Arial" w:cs="Arial"/>
        </w:rPr>
      </w:pPr>
      <w:r w:rsidRPr="00953A37">
        <w:rPr>
          <w:rFonts w:ascii="Arial" w:hAnsi="Arial" w:cs="Arial"/>
        </w:rPr>
        <w:t xml:space="preserve">Legal variations further complicate HR management. Differences in employment laws affect contracts, working conditions, and termination procedures. Ensuring compliance while maintaining consistency across the organisation is both challenging and </w:t>
      </w:r>
      <w:proofErr w:type="gramStart"/>
      <w:r w:rsidRPr="00953A37">
        <w:rPr>
          <w:rFonts w:ascii="Arial" w:hAnsi="Arial" w:cs="Arial"/>
        </w:rPr>
        <w:t>resource-intensive</w:t>
      </w:r>
      <w:proofErr w:type="gramEnd"/>
      <w:r w:rsidRPr="00953A37">
        <w:rPr>
          <w:rFonts w:ascii="Arial" w:hAnsi="Arial" w:cs="Arial"/>
        </w:rPr>
        <w:t>.</w:t>
      </w:r>
    </w:p>
    <w:p w14:paraId="1E57857C" w14:textId="1DB27C3F" w:rsidR="00A37751" w:rsidRPr="00953A37" w:rsidRDefault="00A37751" w:rsidP="00953A37">
      <w:pPr>
        <w:spacing w:line="360" w:lineRule="auto"/>
        <w:rPr>
          <w:rFonts w:ascii="Arial" w:hAnsi="Arial" w:cs="Arial"/>
        </w:rPr>
      </w:pPr>
      <w:r w:rsidRPr="00953A37">
        <w:rPr>
          <w:rFonts w:ascii="Arial" w:hAnsi="Arial" w:cs="Arial"/>
        </w:rPr>
        <w:t>Economic conditions also shape HR priorities. In developed economies, HR strategies often focus on retention and engagement, while in emerging markets, recruitment and workforce expansion are more prominent. Economic instability may require flexible workforce planning.</w:t>
      </w:r>
    </w:p>
    <w:p w14:paraId="76E68AE9" w14:textId="33886404" w:rsidR="00A37751" w:rsidRPr="00953A37" w:rsidRDefault="00A37751" w:rsidP="00953A37">
      <w:pPr>
        <w:spacing w:line="360" w:lineRule="auto"/>
        <w:rPr>
          <w:rFonts w:ascii="Arial" w:hAnsi="Arial" w:cs="Arial"/>
        </w:rPr>
      </w:pPr>
      <w:r w:rsidRPr="00953A37">
        <w:rPr>
          <w:rFonts w:ascii="Arial" w:hAnsi="Arial" w:cs="Arial"/>
        </w:rPr>
        <w:t>Overall, these differences highlight the need to balance global standardisation with local adaptation. While consistency improves efficiency, excessive standardisation can reduce flexibility. Conversely, too much localisation may create inefficiencies. HR managers must therefore adopt a balanced and strategic approach</w:t>
      </w:r>
    </w:p>
    <w:p w14:paraId="1F419840" w14:textId="5E8BD16E" w:rsidR="00A37751" w:rsidRPr="00953A37" w:rsidRDefault="00A37751" w:rsidP="00953A37">
      <w:pPr>
        <w:pStyle w:val="Heading1"/>
        <w:spacing w:line="360" w:lineRule="auto"/>
        <w:rPr>
          <w:rFonts w:ascii="Arial" w:hAnsi="Arial" w:cs="Arial"/>
          <w:b/>
          <w:bCs/>
          <w:sz w:val="22"/>
          <w:szCs w:val="22"/>
        </w:rPr>
      </w:pPr>
      <w:bookmarkStart w:id="11" w:name="_Toc228384505"/>
      <w:r w:rsidRPr="00953A37">
        <w:rPr>
          <w:rFonts w:ascii="Arial" w:hAnsi="Arial" w:cs="Arial"/>
          <w:b/>
          <w:bCs/>
          <w:sz w:val="22"/>
          <w:szCs w:val="22"/>
        </w:rPr>
        <w:lastRenderedPageBreak/>
        <w:t>5. Conclusion</w:t>
      </w:r>
      <w:bookmarkEnd w:id="11"/>
      <w:r w:rsidRPr="00953A37">
        <w:rPr>
          <w:rFonts w:ascii="Arial" w:hAnsi="Arial" w:cs="Arial"/>
          <w:b/>
          <w:bCs/>
          <w:sz w:val="22"/>
          <w:szCs w:val="22"/>
        </w:rPr>
        <w:t xml:space="preserve"> </w:t>
      </w:r>
    </w:p>
    <w:p w14:paraId="247C82A3" w14:textId="0C6A5E81" w:rsidR="00A37751" w:rsidRPr="00953A37" w:rsidRDefault="00A37751" w:rsidP="00953A37">
      <w:pPr>
        <w:spacing w:line="360" w:lineRule="auto"/>
        <w:rPr>
          <w:rFonts w:ascii="Arial" w:hAnsi="Arial" w:cs="Arial"/>
        </w:rPr>
      </w:pPr>
      <w:r w:rsidRPr="00953A37">
        <w:rPr>
          <w:rFonts w:ascii="Arial" w:hAnsi="Arial" w:cs="Arial"/>
        </w:rPr>
        <w:t>This report has critically examined the influence of external environmental factors on the effectiveness of Human Resource Management (HRM) within global organisations. By applying the PESTLE framework, it has been demonstrated that political, economic, social, technological, legal, and environmental forces play a significant role in shaping HR strategies and practices. These factors not only affect how organisations recruit, develop, and manage employees, but also determine how effectively HR functions can support overall organisational performance.</w:t>
      </w:r>
    </w:p>
    <w:p w14:paraId="0B9B78E8" w14:textId="67B83B4D" w:rsidR="00A37751" w:rsidRPr="00953A37" w:rsidRDefault="00A37751" w:rsidP="00953A37">
      <w:pPr>
        <w:spacing w:line="360" w:lineRule="auto"/>
        <w:rPr>
          <w:rFonts w:ascii="Arial" w:hAnsi="Arial" w:cs="Arial"/>
        </w:rPr>
      </w:pPr>
      <w:r w:rsidRPr="00953A37">
        <w:rPr>
          <w:rFonts w:ascii="Arial" w:hAnsi="Arial" w:cs="Arial"/>
        </w:rPr>
        <w:t>The analysis of DHL has highlighted the practical challenges faced by multinational organisations operating in diverse environments. It is evident that HR managers must navigate complex regulatory systems, adapt to cultural differences, and respond to economic fluctuations, all while maintaining alignment with organisational objectives. This requires a high level of strategic awareness, flexibility, and cross-cultural competence.</w:t>
      </w:r>
    </w:p>
    <w:p w14:paraId="72A1A3D2" w14:textId="21C7DAE8" w:rsidR="00A37751" w:rsidRPr="00953A37" w:rsidRDefault="00A37751" w:rsidP="00953A37">
      <w:pPr>
        <w:spacing w:line="360" w:lineRule="auto"/>
        <w:rPr>
          <w:rFonts w:ascii="Arial" w:hAnsi="Arial" w:cs="Arial"/>
        </w:rPr>
      </w:pPr>
      <w:r w:rsidRPr="00953A37">
        <w:rPr>
          <w:rFonts w:ascii="Arial" w:hAnsi="Arial" w:cs="Arial"/>
        </w:rPr>
        <w:t>A key insight from this report is that the effectiveness of HRM is not solely dependent on internal policies, but also on the organisation’s ability to respond proactively to external pressures. While frameworks such as PESTLE provide valuable insights, they must be complemented with internal analysis to fully understand organisational dynamics.</w:t>
      </w:r>
    </w:p>
    <w:p w14:paraId="048E6699" w14:textId="0B25B945" w:rsidR="00A37751" w:rsidRPr="00953A37" w:rsidRDefault="00A37751" w:rsidP="00953A37">
      <w:pPr>
        <w:spacing w:line="360" w:lineRule="auto"/>
        <w:rPr>
          <w:rFonts w:ascii="Arial" w:hAnsi="Arial" w:cs="Arial"/>
        </w:rPr>
      </w:pPr>
      <w:r w:rsidRPr="00953A37">
        <w:rPr>
          <w:rFonts w:ascii="Arial" w:hAnsi="Arial" w:cs="Arial"/>
        </w:rPr>
        <w:t>Looking forward, the role of HR managers is expected to become even more complex. Technological advancements, particularly in artificial intelligence and data analytics, will continue to transform HR practices. At the same time, increasing emphasis on sustainability and workforce diversity will expand the scope of HR responsibilities.</w:t>
      </w:r>
    </w:p>
    <w:p w14:paraId="19811D42" w14:textId="6602A7CA" w:rsidR="00A37751" w:rsidRPr="00953A37" w:rsidRDefault="00A37751" w:rsidP="00953A37">
      <w:pPr>
        <w:spacing w:line="360" w:lineRule="auto"/>
        <w:rPr>
          <w:rFonts w:ascii="Arial" w:hAnsi="Arial" w:cs="Arial"/>
        </w:rPr>
      </w:pPr>
      <w:r w:rsidRPr="00953A37">
        <w:rPr>
          <w:rFonts w:ascii="Arial" w:hAnsi="Arial" w:cs="Arial"/>
        </w:rPr>
        <w:t>In conclusion, organisations that successfully integrate external environmental awareness into their HR strategies will be better positioned to achieve long-term success in an increasingly dynamic global environment.</w:t>
      </w:r>
    </w:p>
    <w:p w14:paraId="07B0F343" w14:textId="77777777" w:rsidR="00A37751" w:rsidRPr="00953A37" w:rsidRDefault="00A37751" w:rsidP="00953A37">
      <w:pPr>
        <w:spacing w:line="360" w:lineRule="auto"/>
        <w:rPr>
          <w:rFonts w:ascii="Arial" w:hAnsi="Arial" w:cs="Arial"/>
        </w:rPr>
      </w:pPr>
    </w:p>
    <w:p w14:paraId="6FC7C43A" w14:textId="77777777" w:rsidR="00953A37" w:rsidRDefault="00953A37">
      <w:pPr>
        <w:rPr>
          <w:rFonts w:ascii="Arial" w:eastAsiaTheme="majorEastAsia" w:hAnsi="Arial" w:cs="Arial"/>
          <w:b/>
          <w:bCs/>
          <w:color w:val="0F4761" w:themeColor="accent1" w:themeShade="BF"/>
        </w:rPr>
      </w:pPr>
      <w:r>
        <w:rPr>
          <w:rFonts w:ascii="Arial" w:hAnsi="Arial" w:cs="Arial"/>
          <w:b/>
          <w:bCs/>
        </w:rPr>
        <w:br w:type="page"/>
      </w:r>
    </w:p>
    <w:p w14:paraId="708CCD14" w14:textId="534A9876" w:rsidR="00953A37" w:rsidRPr="00953A37" w:rsidRDefault="00953A37" w:rsidP="00953A37">
      <w:pPr>
        <w:pStyle w:val="Heading1"/>
        <w:spacing w:line="360" w:lineRule="auto"/>
        <w:rPr>
          <w:rFonts w:ascii="Arial" w:hAnsi="Arial" w:cs="Arial"/>
          <w:b/>
          <w:bCs/>
          <w:sz w:val="22"/>
          <w:szCs w:val="22"/>
        </w:rPr>
      </w:pPr>
      <w:bookmarkStart w:id="12" w:name="_Toc228384506"/>
      <w:r w:rsidRPr="00953A37">
        <w:rPr>
          <w:rFonts w:ascii="Arial" w:hAnsi="Arial" w:cs="Arial"/>
          <w:b/>
          <w:bCs/>
          <w:sz w:val="22"/>
          <w:szCs w:val="22"/>
        </w:rPr>
        <w:lastRenderedPageBreak/>
        <w:t>References</w:t>
      </w:r>
      <w:bookmarkEnd w:id="12"/>
    </w:p>
    <w:p w14:paraId="0F879BA5" w14:textId="05687EAA" w:rsidR="00A37751" w:rsidRPr="00953A37" w:rsidRDefault="00A37751" w:rsidP="00953A37">
      <w:pPr>
        <w:spacing w:line="360" w:lineRule="auto"/>
        <w:rPr>
          <w:rFonts w:ascii="Arial" w:hAnsi="Arial" w:cs="Arial"/>
        </w:rPr>
      </w:pPr>
      <w:r w:rsidRPr="00953A37">
        <w:rPr>
          <w:rFonts w:ascii="Arial" w:hAnsi="Arial" w:cs="Arial"/>
        </w:rPr>
        <w:t xml:space="preserve">Armstrong, M. (2020) Armstrong’s handbook of human resource management practice. </w:t>
      </w:r>
    </w:p>
    <w:p w14:paraId="7BF30DB6" w14:textId="14D005E5" w:rsidR="00A37751" w:rsidRPr="00953A37" w:rsidRDefault="00A37751" w:rsidP="00953A37">
      <w:pPr>
        <w:spacing w:line="360" w:lineRule="auto"/>
        <w:rPr>
          <w:rFonts w:ascii="Arial" w:hAnsi="Arial" w:cs="Arial"/>
        </w:rPr>
      </w:pPr>
      <w:r w:rsidRPr="00953A37">
        <w:rPr>
          <w:rFonts w:ascii="Arial" w:hAnsi="Arial" w:cs="Arial"/>
        </w:rPr>
        <w:t>Brewster, C., Mayrhofer, W. and Morley, M. (2016) New challenges for European human resource management. London: Palgrave Macmillan.</w:t>
      </w:r>
    </w:p>
    <w:p w14:paraId="64E3A8B2" w14:textId="0B7ED645" w:rsidR="00A37751" w:rsidRPr="00953A37" w:rsidRDefault="00A37751" w:rsidP="00953A37">
      <w:pPr>
        <w:spacing w:line="360" w:lineRule="auto"/>
        <w:rPr>
          <w:rFonts w:ascii="Arial" w:hAnsi="Arial" w:cs="Arial"/>
        </w:rPr>
      </w:pPr>
      <w:r w:rsidRPr="00953A37">
        <w:rPr>
          <w:rFonts w:ascii="Arial" w:hAnsi="Arial" w:cs="Arial"/>
        </w:rPr>
        <w:t>Collings, D.G., Scullion, H. and Morley, M.J. (2007) ‘Changing patterns of global staffing in the multinational enterprise’, Journal of World Business, 42(2), pp. 198–213.</w:t>
      </w:r>
    </w:p>
    <w:p w14:paraId="793D8FFD" w14:textId="1BEED1C3" w:rsidR="00A37751" w:rsidRPr="00953A37" w:rsidRDefault="00A37751" w:rsidP="00953A37">
      <w:pPr>
        <w:spacing w:line="360" w:lineRule="auto"/>
        <w:rPr>
          <w:rFonts w:ascii="Arial" w:hAnsi="Arial" w:cs="Arial"/>
        </w:rPr>
      </w:pPr>
      <w:r w:rsidRPr="00953A37">
        <w:rPr>
          <w:rFonts w:ascii="Arial" w:hAnsi="Arial" w:cs="Arial"/>
        </w:rPr>
        <w:t>Farndale, E., Scullion, H. and Sparrow, P. (2010) ‘The role of the corporate HR function in global talent management’, Journal of World Business, 45(2), pp. 161–168.</w:t>
      </w:r>
    </w:p>
    <w:p w14:paraId="5DB92FF0" w14:textId="33F1DE43" w:rsidR="00A37751" w:rsidRPr="00953A37" w:rsidRDefault="00A37751" w:rsidP="00953A37">
      <w:pPr>
        <w:spacing w:line="360" w:lineRule="auto"/>
        <w:rPr>
          <w:rFonts w:ascii="Arial" w:hAnsi="Arial" w:cs="Arial"/>
        </w:rPr>
      </w:pPr>
      <w:r w:rsidRPr="00953A37">
        <w:rPr>
          <w:rFonts w:ascii="Arial" w:hAnsi="Arial" w:cs="Arial"/>
        </w:rPr>
        <w:t>Jackson, S.E., Schuler, R.S. and Jiang, K. (2014) ‘An aspirational framework for strategic human resource management’, Academy of Management Annals, 8(1), pp. 1–56.</w:t>
      </w:r>
    </w:p>
    <w:p w14:paraId="1A6FCC24" w14:textId="60E8818F" w:rsidR="00A37751" w:rsidRPr="00953A37" w:rsidRDefault="00A37751" w:rsidP="00953A37">
      <w:pPr>
        <w:spacing w:line="360" w:lineRule="auto"/>
        <w:rPr>
          <w:rFonts w:ascii="Arial" w:hAnsi="Arial" w:cs="Arial"/>
        </w:rPr>
      </w:pPr>
      <w:r w:rsidRPr="00953A37">
        <w:rPr>
          <w:rFonts w:ascii="Arial" w:hAnsi="Arial" w:cs="Arial"/>
        </w:rPr>
        <w:t xml:space="preserve">Kew, J. and Stredwick, J. (2016) Human resource management in a business context. 2nd </w:t>
      </w:r>
      <w:proofErr w:type="spellStart"/>
      <w:r w:rsidRPr="00953A37">
        <w:rPr>
          <w:rFonts w:ascii="Arial" w:hAnsi="Arial" w:cs="Arial"/>
        </w:rPr>
        <w:t>edn</w:t>
      </w:r>
      <w:proofErr w:type="spellEnd"/>
      <w:r w:rsidRPr="00953A37">
        <w:rPr>
          <w:rFonts w:ascii="Arial" w:hAnsi="Arial" w:cs="Arial"/>
        </w:rPr>
        <w:t>. London: Chartered Institute of Personnel and Development.</w:t>
      </w:r>
    </w:p>
    <w:p w14:paraId="1F4EE145" w14:textId="52BF4741" w:rsidR="00A37751" w:rsidRPr="00953A37" w:rsidRDefault="00A37751" w:rsidP="00953A37">
      <w:pPr>
        <w:spacing w:line="360" w:lineRule="auto"/>
        <w:rPr>
          <w:rFonts w:ascii="Arial" w:hAnsi="Arial" w:cs="Arial"/>
        </w:rPr>
      </w:pPr>
      <w:proofErr w:type="spellStart"/>
      <w:r w:rsidRPr="00953A37">
        <w:rPr>
          <w:rFonts w:ascii="Arial" w:hAnsi="Arial" w:cs="Arial"/>
        </w:rPr>
        <w:t>Ozarow</w:t>
      </w:r>
      <w:proofErr w:type="spellEnd"/>
      <w:r w:rsidRPr="00953A37">
        <w:rPr>
          <w:rFonts w:ascii="Arial" w:hAnsi="Arial" w:cs="Arial"/>
        </w:rPr>
        <w:t>, D. (2019) Global political economy and human resource management. London: Routledge.</w:t>
      </w:r>
    </w:p>
    <w:p w14:paraId="0FDC7C17" w14:textId="0F1D6F91" w:rsidR="00A37751" w:rsidRPr="00953A37" w:rsidRDefault="00A37751" w:rsidP="00953A37">
      <w:pPr>
        <w:spacing w:line="360" w:lineRule="auto"/>
        <w:rPr>
          <w:rFonts w:ascii="Arial" w:hAnsi="Arial" w:cs="Arial"/>
        </w:rPr>
      </w:pPr>
      <w:r w:rsidRPr="00953A37">
        <w:rPr>
          <w:rFonts w:ascii="Arial" w:hAnsi="Arial" w:cs="Arial"/>
        </w:rPr>
        <w:t>Renwick, D.W.S., Redman, T. and Maguire, S. (2013) ‘Green human resource management: A review and research agenda’, International Journal of Management Reviews, 15(1), pp. 1–14.</w:t>
      </w:r>
    </w:p>
    <w:p w14:paraId="17F1CA5E" w14:textId="774DD72D" w:rsidR="00A37751" w:rsidRPr="00953A37" w:rsidRDefault="00A37751" w:rsidP="00953A37">
      <w:pPr>
        <w:spacing w:line="360" w:lineRule="auto"/>
        <w:rPr>
          <w:rFonts w:ascii="Arial" w:hAnsi="Arial" w:cs="Arial"/>
        </w:rPr>
      </w:pPr>
      <w:r w:rsidRPr="00953A37">
        <w:rPr>
          <w:rFonts w:ascii="Arial" w:hAnsi="Arial" w:cs="Arial"/>
        </w:rPr>
        <w:t>Stone, D.L., Deadrick, D.L., Lukaszewski, K.M. and Johnson, R. (2015) ‘The influence of technology on the future of human resource management’, Human Resource Management Review, 25(2), pp. 216–231.</w:t>
      </w:r>
    </w:p>
    <w:p w14:paraId="76895E6F" w14:textId="0044E0D2" w:rsidR="00A37751" w:rsidRPr="00953A37" w:rsidRDefault="00A37751" w:rsidP="00953A37">
      <w:pPr>
        <w:spacing w:line="360" w:lineRule="auto"/>
        <w:rPr>
          <w:rFonts w:ascii="Arial" w:hAnsi="Arial" w:cs="Arial"/>
        </w:rPr>
      </w:pPr>
      <w:r w:rsidRPr="00953A37">
        <w:rPr>
          <w:rFonts w:ascii="Arial" w:hAnsi="Arial" w:cs="Arial"/>
        </w:rPr>
        <w:t xml:space="preserve">Torrington, D., Hall, L., Taylor, S. and Atkinson, C. (2020) Human resource management. 11th </w:t>
      </w:r>
      <w:proofErr w:type="spellStart"/>
      <w:r w:rsidRPr="00953A37">
        <w:rPr>
          <w:rFonts w:ascii="Arial" w:hAnsi="Arial" w:cs="Arial"/>
        </w:rPr>
        <w:t>edn</w:t>
      </w:r>
      <w:proofErr w:type="spellEnd"/>
      <w:r w:rsidRPr="00953A37">
        <w:rPr>
          <w:rFonts w:ascii="Arial" w:hAnsi="Arial" w:cs="Arial"/>
        </w:rPr>
        <w:t>. Harlow: Pearson.</w:t>
      </w:r>
    </w:p>
    <w:p w14:paraId="7A038B45" w14:textId="6D719B59" w:rsidR="00A37751" w:rsidRPr="00953A37" w:rsidRDefault="00A37751" w:rsidP="00953A37">
      <w:pPr>
        <w:spacing w:line="360" w:lineRule="auto"/>
        <w:rPr>
          <w:rFonts w:ascii="Arial" w:hAnsi="Arial" w:cs="Arial"/>
        </w:rPr>
      </w:pPr>
      <w:r w:rsidRPr="00953A37">
        <w:rPr>
          <w:rFonts w:ascii="Arial" w:hAnsi="Arial" w:cs="Arial"/>
        </w:rPr>
        <w:t xml:space="preserve">Wilton, N. (2022) An introduction to human resource management. 4th </w:t>
      </w:r>
      <w:proofErr w:type="spellStart"/>
      <w:r w:rsidRPr="00953A37">
        <w:rPr>
          <w:rFonts w:ascii="Arial" w:hAnsi="Arial" w:cs="Arial"/>
        </w:rPr>
        <w:t>edn</w:t>
      </w:r>
      <w:proofErr w:type="spellEnd"/>
      <w:r w:rsidRPr="00953A37">
        <w:rPr>
          <w:rFonts w:ascii="Arial" w:hAnsi="Arial" w:cs="Arial"/>
        </w:rPr>
        <w:t>. London: Sage.</w:t>
      </w:r>
    </w:p>
    <w:p w14:paraId="7502DBE3" w14:textId="77777777" w:rsidR="00A37751" w:rsidRPr="00953A37" w:rsidRDefault="00A37751" w:rsidP="00953A37">
      <w:pPr>
        <w:spacing w:line="360" w:lineRule="auto"/>
        <w:rPr>
          <w:rFonts w:ascii="Arial" w:hAnsi="Arial" w:cs="Arial"/>
        </w:rPr>
      </w:pPr>
      <w:r w:rsidRPr="00953A37">
        <w:rPr>
          <w:rFonts w:ascii="Arial" w:hAnsi="Arial" w:cs="Arial"/>
        </w:rPr>
        <w:t>DHL (2025) Annual Report and Sustainability Update. Available at: https://www.dhl.com</w:t>
      </w:r>
    </w:p>
    <w:p w14:paraId="4B62A827" w14:textId="09BA7D31" w:rsidR="00A37751" w:rsidRPr="00953A37" w:rsidRDefault="00A37751" w:rsidP="00953A37">
      <w:pPr>
        <w:spacing w:line="360" w:lineRule="auto"/>
        <w:rPr>
          <w:rFonts w:ascii="Arial" w:hAnsi="Arial" w:cs="Arial"/>
        </w:rPr>
      </w:pPr>
      <w:r w:rsidRPr="00953A37">
        <w:rPr>
          <w:rFonts w:ascii="Arial" w:hAnsi="Arial" w:cs="Arial"/>
        </w:rPr>
        <w:t xml:space="preserve"> (Accessed: 28 April 2026).</w:t>
      </w:r>
    </w:p>
    <w:sectPr w:rsidR="00A37751" w:rsidRPr="00953A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E551E" w14:textId="77777777" w:rsidR="00EF3A95" w:rsidRDefault="00EF3A95" w:rsidP="00953A37">
      <w:pPr>
        <w:spacing w:after="0" w:line="240" w:lineRule="auto"/>
      </w:pPr>
      <w:r>
        <w:separator/>
      </w:r>
    </w:p>
  </w:endnote>
  <w:endnote w:type="continuationSeparator" w:id="0">
    <w:p w14:paraId="6AD1166E" w14:textId="77777777" w:rsidR="00EF3A95" w:rsidRDefault="00EF3A95" w:rsidP="00953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589671"/>
      <w:docPartObj>
        <w:docPartGallery w:val="Page Numbers (Bottom of Page)"/>
        <w:docPartUnique/>
      </w:docPartObj>
    </w:sdtPr>
    <w:sdtEndPr>
      <w:rPr>
        <w:noProof/>
      </w:rPr>
    </w:sdtEndPr>
    <w:sdtContent>
      <w:p w14:paraId="6E8BCF6E" w14:textId="26A94F34" w:rsidR="00953A37" w:rsidRDefault="00953A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7AC25B" w14:textId="77777777" w:rsidR="00953A37" w:rsidRDefault="00953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FD323" w14:textId="77777777" w:rsidR="00EF3A95" w:rsidRDefault="00EF3A95" w:rsidP="00953A37">
      <w:pPr>
        <w:spacing w:after="0" w:line="240" w:lineRule="auto"/>
      </w:pPr>
      <w:r>
        <w:separator/>
      </w:r>
    </w:p>
  </w:footnote>
  <w:footnote w:type="continuationSeparator" w:id="0">
    <w:p w14:paraId="0CCC1EFA" w14:textId="77777777" w:rsidR="00EF3A95" w:rsidRDefault="00EF3A95" w:rsidP="00953A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839B6"/>
    <w:multiLevelType w:val="multilevel"/>
    <w:tmpl w:val="9B12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2391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166"/>
    <w:rsid w:val="003662C9"/>
    <w:rsid w:val="00396315"/>
    <w:rsid w:val="004F6750"/>
    <w:rsid w:val="00604565"/>
    <w:rsid w:val="00800246"/>
    <w:rsid w:val="00953A37"/>
    <w:rsid w:val="009A004D"/>
    <w:rsid w:val="00A37751"/>
    <w:rsid w:val="00AB3166"/>
    <w:rsid w:val="00AF52AC"/>
    <w:rsid w:val="00E85A47"/>
    <w:rsid w:val="00EC6282"/>
    <w:rsid w:val="00EF3A95"/>
    <w:rsid w:val="00F14EED"/>
    <w:rsid w:val="00F67165"/>
    <w:rsid w:val="00FE6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7596B"/>
  <w15:chartTrackingRefBased/>
  <w15:docId w15:val="{776B7CD2-D70E-4B72-BCC8-CCB57E2C1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3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3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166"/>
    <w:rPr>
      <w:rFonts w:eastAsiaTheme="majorEastAsia" w:cstheme="majorBidi"/>
      <w:color w:val="272727" w:themeColor="text1" w:themeTint="D8"/>
    </w:rPr>
  </w:style>
  <w:style w:type="paragraph" w:styleId="Title">
    <w:name w:val="Title"/>
    <w:basedOn w:val="Normal"/>
    <w:next w:val="Normal"/>
    <w:link w:val="TitleChar"/>
    <w:uiPriority w:val="10"/>
    <w:qFormat/>
    <w:rsid w:val="00AB3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166"/>
    <w:pPr>
      <w:spacing w:before="160"/>
      <w:jc w:val="center"/>
    </w:pPr>
    <w:rPr>
      <w:i/>
      <w:iCs/>
      <w:color w:val="404040" w:themeColor="text1" w:themeTint="BF"/>
    </w:rPr>
  </w:style>
  <w:style w:type="character" w:customStyle="1" w:styleId="QuoteChar">
    <w:name w:val="Quote Char"/>
    <w:basedOn w:val="DefaultParagraphFont"/>
    <w:link w:val="Quote"/>
    <w:uiPriority w:val="29"/>
    <w:rsid w:val="00AB3166"/>
    <w:rPr>
      <w:i/>
      <w:iCs/>
      <w:color w:val="404040" w:themeColor="text1" w:themeTint="BF"/>
    </w:rPr>
  </w:style>
  <w:style w:type="paragraph" w:styleId="ListParagraph">
    <w:name w:val="List Paragraph"/>
    <w:basedOn w:val="Normal"/>
    <w:uiPriority w:val="34"/>
    <w:qFormat/>
    <w:rsid w:val="00AB3166"/>
    <w:pPr>
      <w:ind w:left="720"/>
      <w:contextualSpacing/>
    </w:pPr>
  </w:style>
  <w:style w:type="character" w:styleId="IntenseEmphasis">
    <w:name w:val="Intense Emphasis"/>
    <w:basedOn w:val="DefaultParagraphFont"/>
    <w:uiPriority w:val="21"/>
    <w:qFormat/>
    <w:rsid w:val="00AB3166"/>
    <w:rPr>
      <w:i/>
      <w:iCs/>
      <w:color w:val="0F4761" w:themeColor="accent1" w:themeShade="BF"/>
    </w:rPr>
  </w:style>
  <w:style w:type="paragraph" w:styleId="IntenseQuote">
    <w:name w:val="Intense Quote"/>
    <w:basedOn w:val="Normal"/>
    <w:next w:val="Normal"/>
    <w:link w:val="IntenseQuoteChar"/>
    <w:uiPriority w:val="30"/>
    <w:qFormat/>
    <w:rsid w:val="00AB3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166"/>
    <w:rPr>
      <w:i/>
      <w:iCs/>
      <w:color w:val="0F4761" w:themeColor="accent1" w:themeShade="BF"/>
    </w:rPr>
  </w:style>
  <w:style w:type="character" w:styleId="IntenseReference">
    <w:name w:val="Intense Reference"/>
    <w:basedOn w:val="DefaultParagraphFont"/>
    <w:uiPriority w:val="32"/>
    <w:qFormat/>
    <w:rsid w:val="00AB3166"/>
    <w:rPr>
      <w:b/>
      <w:bCs/>
      <w:smallCaps/>
      <w:color w:val="0F4761" w:themeColor="accent1" w:themeShade="BF"/>
      <w:spacing w:val="5"/>
    </w:rPr>
  </w:style>
  <w:style w:type="paragraph" w:styleId="TOCHeading">
    <w:name w:val="TOC Heading"/>
    <w:basedOn w:val="Heading1"/>
    <w:next w:val="Normal"/>
    <w:uiPriority w:val="39"/>
    <w:unhideWhenUsed/>
    <w:qFormat/>
    <w:rsid w:val="00953A3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53A37"/>
    <w:pPr>
      <w:spacing w:after="100"/>
    </w:pPr>
  </w:style>
  <w:style w:type="paragraph" w:styleId="TOC2">
    <w:name w:val="toc 2"/>
    <w:basedOn w:val="Normal"/>
    <w:next w:val="Normal"/>
    <w:autoRedefine/>
    <w:uiPriority w:val="39"/>
    <w:unhideWhenUsed/>
    <w:rsid w:val="00953A37"/>
    <w:pPr>
      <w:spacing w:after="100"/>
      <w:ind w:left="220"/>
    </w:pPr>
  </w:style>
  <w:style w:type="character" w:styleId="Hyperlink">
    <w:name w:val="Hyperlink"/>
    <w:basedOn w:val="DefaultParagraphFont"/>
    <w:uiPriority w:val="99"/>
    <w:unhideWhenUsed/>
    <w:rsid w:val="00953A37"/>
    <w:rPr>
      <w:color w:val="467886" w:themeColor="hyperlink"/>
      <w:u w:val="single"/>
    </w:rPr>
  </w:style>
  <w:style w:type="paragraph" w:styleId="Header">
    <w:name w:val="header"/>
    <w:basedOn w:val="Normal"/>
    <w:link w:val="HeaderChar"/>
    <w:uiPriority w:val="99"/>
    <w:unhideWhenUsed/>
    <w:rsid w:val="00953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A37"/>
  </w:style>
  <w:style w:type="paragraph" w:styleId="Footer">
    <w:name w:val="footer"/>
    <w:basedOn w:val="Normal"/>
    <w:link w:val="FooterChar"/>
    <w:uiPriority w:val="99"/>
    <w:unhideWhenUsed/>
    <w:rsid w:val="00953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FD883-18C3-4B4E-9E4F-9F255C837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8</cp:revision>
  <dcterms:created xsi:type="dcterms:W3CDTF">2026-04-29T17:28:00Z</dcterms:created>
  <dcterms:modified xsi:type="dcterms:W3CDTF">2026-04-29T18:48:00Z</dcterms:modified>
</cp:coreProperties>
</file>