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32A21" w14:textId="7F05F596" w:rsidR="0062160C" w:rsidRDefault="00EC56A2" w:rsidP="00EC56A2">
      <w:pPr>
        <w:jc w:val="center"/>
        <w:rPr>
          <w:rFonts w:ascii="Arial" w:hAnsi="Arial" w:cs="Arial"/>
          <w:sz w:val="24"/>
          <w:szCs w:val="24"/>
          <w:u w:val="single"/>
        </w:rPr>
      </w:pPr>
      <w:r w:rsidRPr="00EC56A2">
        <w:rPr>
          <w:rFonts w:ascii="Arial" w:hAnsi="Arial" w:cs="Arial"/>
          <w:sz w:val="24"/>
          <w:szCs w:val="24"/>
          <w:u w:val="single"/>
        </w:rPr>
        <w:t>Shared Decision</w:t>
      </w:r>
      <w:r>
        <w:rPr>
          <w:rFonts w:ascii="Arial" w:hAnsi="Arial" w:cs="Arial"/>
          <w:sz w:val="24"/>
          <w:szCs w:val="24"/>
          <w:u w:val="single"/>
        </w:rPr>
        <w:t>-</w:t>
      </w:r>
      <w:r w:rsidRPr="00EC56A2">
        <w:rPr>
          <w:rFonts w:ascii="Arial" w:hAnsi="Arial" w:cs="Arial"/>
          <w:sz w:val="24"/>
          <w:szCs w:val="24"/>
          <w:u w:val="single"/>
        </w:rPr>
        <w:t>Making Reference List</w:t>
      </w:r>
    </w:p>
    <w:p w14:paraId="7B23BA59" w14:textId="24B0EBAF" w:rsidR="00EC56A2" w:rsidRDefault="00EC56A2" w:rsidP="00EC56A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55458BE" w14:textId="2E46A447" w:rsidR="00F23513" w:rsidRPr="00F23513" w:rsidRDefault="00145410" w:rsidP="008165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Dietetic Association (2019) </w:t>
      </w:r>
      <w:r w:rsidR="00F23513">
        <w:rPr>
          <w:rFonts w:ascii="Arial" w:hAnsi="Arial" w:cs="Arial"/>
          <w:i/>
          <w:iCs/>
          <w:sz w:val="24"/>
          <w:szCs w:val="24"/>
        </w:rPr>
        <w:t xml:space="preserve">BDA Outcomes Guidance Document </w:t>
      </w:r>
      <w:r w:rsidR="00F23513">
        <w:rPr>
          <w:rFonts w:ascii="Arial" w:hAnsi="Arial" w:cs="Arial"/>
          <w:sz w:val="24"/>
          <w:szCs w:val="24"/>
        </w:rPr>
        <w:t xml:space="preserve">Available at: </w:t>
      </w:r>
      <w:r w:rsidR="0002605D">
        <w:rPr>
          <w:rFonts w:ascii="Arial" w:hAnsi="Arial" w:cs="Arial"/>
          <w:sz w:val="24"/>
          <w:szCs w:val="24"/>
        </w:rPr>
        <w:t>h</w:t>
      </w:r>
      <w:r w:rsidR="00BC02FC" w:rsidRPr="00BC02FC">
        <w:rPr>
          <w:rFonts w:ascii="Arial" w:hAnsi="Arial" w:cs="Arial"/>
          <w:sz w:val="24"/>
          <w:szCs w:val="24"/>
        </w:rPr>
        <w:t>ttps://www.bda.uk.com/static/562e2b60-c742-438b-93979ad5eec871a6/bdaoutcomesguidancedocument.pdf</w:t>
      </w:r>
      <w:r w:rsidR="00BC02FC">
        <w:rPr>
          <w:rFonts w:ascii="Arial" w:hAnsi="Arial" w:cs="Arial"/>
          <w:sz w:val="24"/>
          <w:szCs w:val="24"/>
        </w:rPr>
        <w:t xml:space="preserve"> (Accessed 5</w:t>
      </w:r>
      <w:r w:rsidR="00BC02FC" w:rsidRPr="00BC02FC">
        <w:rPr>
          <w:rFonts w:ascii="Arial" w:hAnsi="Arial" w:cs="Arial"/>
          <w:sz w:val="24"/>
          <w:szCs w:val="24"/>
          <w:vertAlign w:val="superscript"/>
        </w:rPr>
        <w:t>th</w:t>
      </w:r>
      <w:r w:rsidR="00BC02FC">
        <w:rPr>
          <w:rFonts w:ascii="Arial" w:hAnsi="Arial" w:cs="Arial"/>
          <w:sz w:val="24"/>
          <w:szCs w:val="24"/>
        </w:rPr>
        <w:t xml:space="preserve"> December 2024)</w:t>
      </w:r>
      <w:r w:rsidR="0002605D">
        <w:rPr>
          <w:rFonts w:ascii="Arial" w:hAnsi="Arial" w:cs="Arial"/>
          <w:sz w:val="24"/>
          <w:szCs w:val="24"/>
        </w:rPr>
        <w:t>.</w:t>
      </w:r>
    </w:p>
    <w:p w14:paraId="7ED50F4C" w14:textId="77777777" w:rsidR="00965A7E" w:rsidRDefault="00965A7E" w:rsidP="00816502">
      <w:pPr>
        <w:rPr>
          <w:rFonts w:ascii="Arial" w:hAnsi="Arial" w:cs="Arial"/>
          <w:sz w:val="24"/>
          <w:szCs w:val="24"/>
        </w:rPr>
      </w:pPr>
    </w:p>
    <w:p w14:paraId="1BD66709" w14:textId="42BCF58C" w:rsidR="00816502" w:rsidRPr="0056517B" w:rsidRDefault="00816502" w:rsidP="008165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Medical Association (2024) </w:t>
      </w:r>
      <w:r>
        <w:rPr>
          <w:rFonts w:ascii="Arial" w:hAnsi="Arial" w:cs="Arial"/>
          <w:i/>
          <w:iCs/>
          <w:sz w:val="24"/>
          <w:szCs w:val="24"/>
        </w:rPr>
        <w:t xml:space="preserve">The vital importance of patient information.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Pr="0056517B">
          <w:rPr>
            <w:rStyle w:val="Hyperlink"/>
            <w:rFonts w:ascii="Arial" w:hAnsi="Arial" w:cs="Arial"/>
            <w:color w:val="auto"/>
            <w:sz w:val="24"/>
            <w:szCs w:val="24"/>
          </w:rPr>
          <w:t>https://www.bma.org.uk/news-and-opinion/the-vital-importance-of-patient-information</w:t>
        </w:r>
      </w:hyperlink>
      <w:r w:rsidRPr="0056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 5th December 2024)</w:t>
      </w:r>
      <w:r w:rsidR="0002605D">
        <w:rPr>
          <w:rFonts w:ascii="Arial" w:hAnsi="Arial" w:cs="Arial"/>
          <w:sz w:val="24"/>
          <w:szCs w:val="24"/>
        </w:rPr>
        <w:t>.</w:t>
      </w:r>
    </w:p>
    <w:p w14:paraId="324E5C16" w14:textId="032F84B9" w:rsidR="00EC56A2" w:rsidRDefault="00EC56A2" w:rsidP="00816502">
      <w:pPr>
        <w:rPr>
          <w:rFonts w:ascii="Arial" w:hAnsi="Arial" w:cs="Arial"/>
          <w:sz w:val="24"/>
          <w:szCs w:val="24"/>
          <w:u w:val="single"/>
        </w:rPr>
      </w:pPr>
    </w:p>
    <w:p w14:paraId="510360AF" w14:textId="0833B53F" w:rsidR="00EC56A2" w:rsidRDefault="00EC56A2" w:rsidP="00EC5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Montori, V.C., Russien, M.M., Hargraves, I.G., Brito, J.P. and Kunneman, M. (2023) ‘Shared decision-making as a method of care’, </w:t>
      </w:r>
      <w:r>
        <w:rPr>
          <w:rFonts w:ascii="Arial" w:hAnsi="Arial" w:cs="Arial"/>
          <w:i/>
          <w:iCs/>
          <w:sz w:val="24"/>
          <w:szCs w:val="24"/>
        </w:rPr>
        <w:t>BMJ Evidence-Based Medicine</w:t>
      </w:r>
      <w:r>
        <w:rPr>
          <w:rFonts w:ascii="Arial" w:hAnsi="Arial" w:cs="Arial"/>
          <w:sz w:val="24"/>
          <w:szCs w:val="24"/>
        </w:rPr>
        <w:t xml:space="preserve">, 28(4), pp. 213-217. Available at: </w:t>
      </w:r>
      <w:hyperlink r:id="rId5" w:history="1">
        <w:r w:rsidRPr="00EC56A2">
          <w:rPr>
            <w:rStyle w:val="Hyperlink"/>
            <w:rFonts w:ascii="Arial" w:hAnsi="Arial" w:cs="Arial"/>
            <w:color w:val="auto"/>
            <w:sz w:val="24"/>
            <w:szCs w:val="24"/>
          </w:rPr>
          <w:t>https://ebm.bmj.com/content/ebmed/28/4/213.full.pdf</w:t>
        </w:r>
      </w:hyperlink>
      <w:r w:rsidRPr="00EC56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(Accessed 5</w:t>
      </w:r>
      <w:r w:rsidRPr="00EC56A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2024)</w:t>
      </w:r>
      <w:r w:rsidR="0002605D">
        <w:rPr>
          <w:rFonts w:ascii="Arial" w:hAnsi="Arial" w:cs="Arial"/>
          <w:sz w:val="24"/>
          <w:szCs w:val="24"/>
        </w:rPr>
        <w:t>.</w:t>
      </w:r>
    </w:p>
    <w:p w14:paraId="65A5741A" w14:textId="1763FF4F" w:rsidR="00EC56A2" w:rsidRDefault="00EC56A2" w:rsidP="00EC56A2">
      <w:pPr>
        <w:rPr>
          <w:rFonts w:ascii="Arial" w:hAnsi="Arial" w:cs="Arial"/>
          <w:sz w:val="24"/>
          <w:szCs w:val="24"/>
        </w:rPr>
      </w:pPr>
    </w:p>
    <w:sectPr w:rsidR="00EC56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A2"/>
    <w:rsid w:val="0002605D"/>
    <w:rsid w:val="00145410"/>
    <w:rsid w:val="0056517B"/>
    <w:rsid w:val="0062160C"/>
    <w:rsid w:val="00816502"/>
    <w:rsid w:val="00965A7E"/>
    <w:rsid w:val="00BC02FC"/>
    <w:rsid w:val="00EC56A2"/>
    <w:rsid w:val="00EF1808"/>
    <w:rsid w:val="00F2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37960"/>
  <w15:chartTrackingRefBased/>
  <w15:docId w15:val="{8D942F64-34AC-4C01-A5F1-AE5A8F8A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56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bm.bmj.com/content/ebmed/28/4/213.full.pdf" TargetMode="External"/><Relationship Id="rId4" Type="http://schemas.openxmlformats.org/officeDocument/2006/relationships/hyperlink" Target="https://www.bma.org.uk/news-and-opinion/the-vital-importance-of-patient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Wilyeo (Swansea Bay UHB - Dietetics)</dc:creator>
  <cp:keywords/>
  <dc:description/>
  <cp:lastModifiedBy>Rhian Wilyeo (Swansea Bay UHB - Dietetics)</cp:lastModifiedBy>
  <cp:revision>9</cp:revision>
  <dcterms:created xsi:type="dcterms:W3CDTF">2024-12-05T10:24:00Z</dcterms:created>
  <dcterms:modified xsi:type="dcterms:W3CDTF">2024-12-05T10:37:00Z</dcterms:modified>
</cp:coreProperties>
</file>