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B0AC8" w:rsidRDefault="00000000">
      <w:r>
        <w:t xml:space="preserve">Essay topic: </w:t>
      </w:r>
    </w:p>
    <w:p w14:paraId="00000002" w14:textId="77777777" w:rsidR="001B0AC8" w:rsidRDefault="001B0AC8"/>
    <w:p w14:paraId="00000003" w14:textId="77777777" w:rsidR="001B0AC8" w:rsidRDefault="00000000">
      <w:r>
        <w:t>“An analysis of the conspiratorial repercussions of the controversial 1998 Wakefield study”</w:t>
      </w:r>
    </w:p>
    <w:p w14:paraId="00000004" w14:textId="77777777" w:rsidR="001B0AC8" w:rsidRDefault="001B0AC8"/>
    <w:p w14:paraId="00000005" w14:textId="77777777" w:rsidR="001B0AC8" w:rsidRDefault="00000000">
      <w:r>
        <w:t>Reasoning:</w:t>
      </w:r>
    </w:p>
    <w:p w14:paraId="00000006" w14:textId="77777777" w:rsidR="001B0AC8" w:rsidRDefault="001B0AC8"/>
    <w:p w14:paraId="00000007" w14:textId="0E97EDEA" w:rsidR="001B0AC8" w:rsidRDefault="00000000">
      <w:r>
        <w:t xml:space="preserve">It will be my aim to prove within the </w:t>
      </w:r>
      <w:r w:rsidR="0033498F">
        <w:t>above-titled</w:t>
      </w:r>
      <w:r>
        <w:t xml:space="preserve"> essay that Wakefield’s study attempting </w:t>
      </w:r>
      <w:r w:rsidR="0033498F">
        <w:t>to</w:t>
      </w:r>
      <w:r>
        <w:t xml:space="preserve"> link autism to ‘non-specific colitis’ and by extension the MMR vaccine </w:t>
      </w:r>
      <w:r>
        <w:rPr>
          <w:vertAlign w:val="superscript"/>
        </w:rPr>
        <w:footnoteReference w:id="1"/>
      </w:r>
      <w:r>
        <w:t xml:space="preserve"> was </w:t>
      </w:r>
      <w:r w:rsidR="0033498F">
        <w:t>wilfully</w:t>
      </w:r>
      <w:r>
        <w:t xml:space="preserve"> un-scientific, being used to further personal gain on Wakefield's part, and despite this is still used as a scare tactic against vaccination. Within the study</w:t>
      </w:r>
      <w:r w:rsidR="0033498F">
        <w:t>,</w:t>
      </w:r>
      <w:r>
        <w:t xml:space="preserve"> Wakefield attempts to show that there is a correlation between the time at which children in the UK get their MMR vaccinations and the age at which children begin to show signs of autism. One big mistake this study makes without even </w:t>
      </w:r>
      <w:r w:rsidR="0033498F">
        <w:t>analysing</w:t>
      </w:r>
      <w:r>
        <w:t xml:space="preserve"> the issues with the method of study, Wakefield makes a rudimentary mistake in conflating correlation with causation as the former does not guarantee the latter </w:t>
      </w:r>
      <w:r>
        <w:rPr>
          <w:vertAlign w:val="superscript"/>
        </w:rPr>
        <w:footnoteReference w:id="2"/>
      </w:r>
      <w:r>
        <w:t xml:space="preserve">. Within the UK, children get their first dose of the MMR vaccination at </w:t>
      </w:r>
      <w:r w:rsidR="0033498F">
        <w:t>one</w:t>
      </w:r>
      <w:r>
        <w:t xml:space="preserve"> year old and the second at </w:t>
      </w:r>
      <w:r w:rsidR="0033498F">
        <w:t>three</w:t>
      </w:r>
      <w:r>
        <w:t xml:space="preserve"> years and </w:t>
      </w:r>
      <w:r w:rsidR="0033498F">
        <w:t>four</w:t>
      </w:r>
      <w:r>
        <w:t xml:space="preserve"> months </w:t>
      </w:r>
      <w:r>
        <w:rPr>
          <w:vertAlign w:val="superscript"/>
        </w:rPr>
        <w:footnoteReference w:id="3"/>
      </w:r>
      <w:r>
        <w:t xml:space="preserve">. Coincidentally, children with autism “show symptoms of autism by 12 to 18 months of age” </w:t>
      </w:r>
      <w:r>
        <w:rPr>
          <w:vertAlign w:val="superscript"/>
        </w:rPr>
        <w:footnoteReference w:id="4"/>
      </w:r>
      <w:r>
        <w:t xml:space="preserve"> however many children are not diagnosed until after 3, both around the time they will be getting doses of the MMR vaccine. This </w:t>
      </w:r>
      <w:r w:rsidR="0033498F">
        <w:t>caused Wakefield to suggest, contrary to the modern interpretation of the study, that children are not given the measles, mumps, and rubella vaccines simultaneously</w:t>
      </w:r>
      <w:r>
        <w:t xml:space="preserve"> but split into individual vaccinations, more specifically the measles vaccine. This was later revealed, however, to possibly not have been suggested in the aim of public health and safety but in the aim of personal gain, as Wakefield had his own patent on an individual measles vaccine </w:t>
      </w:r>
      <w:r>
        <w:rPr>
          <w:vertAlign w:val="superscript"/>
        </w:rPr>
        <w:footnoteReference w:id="5"/>
      </w:r>
      <w:r>
        <w:t>. For the above reasoning and many more</w:t>
      </w:r>
      <w:r w:rsidR="0033498F">
        <w:t>,</w:t>
      </w:r>
      <w:r>
        <w:t xml:space="preserve"> I believe that there is more than enough material for an essay on how Wakefield's study was founded on falsified facts furthered by personal gain and has been taken out of context by the ‘anti-vax’ movement</w:t>
      </w:r>
      <w:r w:rsidR="0033498F">
        <w:t>,</w:t>
      </w:r>
      <w:r>
        <w:t xml:space="preserve"> causing it </w:t>
      </w:r>
      <w:r w:rsidR="0033498F">
        <w:t>to be still</w:t>
      </w:r>
      <w:r>
        <w:t xml:space="preserve"> used as evidence against vaccinations despite its retraction and his loss of medical </w:t>
      </w:r>
      <w:r w:rsidR="0033498F">
        <w:t>license</w:t>
      </w:r>
      <w:r>
        <w:t>.</w:t>
      </w:r>
    </w:p>
    <w:sectPr w:rsidR="001B0AC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72417" w14:textId="77777777" w:rsidR="0020292F" w:rsidRDefault="0020292F">
      <w:pPr>
        <w:spacing w:line="240" w:lineRule="auto"/>
      </w:pPr>
      <w:r>
        <w:separator/>
      </w:r>
    </w:p>
  </w:endnote>
  <w:endnote w:type="continuationSeparator" w:id="0">
    <w:p w14:paraId="01174ACC" w14:textId="77777777" w:rsidR="0020292F" w:rsidRDefault="002029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CEFAA" w14:textId="77777777" w:rsidR="0020292F" w:rsidRDefault="0020292F">
      <w:pPr>
        <w:spacing w:line="240" w:lineRule="auto"/>
      </w:pPr>
      <w:r>
        <w:separator/>
      </w:r>
    </w:p>
  </w:footnote>
  <w:footnote w:type="continuationSeparator" w:id="0">
    <w:p w14:paraId="0487609A" w14:textId="77777777" w:rsidR="0020292F" w:rsidRDefault="0020292F">
      <w:pPr>
        <w:spacing w:line="240" w:lineRule="auto"/>
      </w:pPr>
      <w:r>
        <w:continuationSeparator/>
      </w:r>
    </w:p>
  </w:footnote>
  <w:footnote w:id="1">
    <w:p w14:paraId="00000008" w14:textId="77777777" w:rsidR="001B0AC8" w:rsidRDefault="00000000">
      <w:pPr>
        <w:spacing w:line="240" w:lineRule="auto"/>
        <w:rPr>
          <w:sz w:val="20"/>
          <w:szCs w:val="20"/>
        </w:rPr>
      </w:pPr>
      <w:r>
        <w:rPr>
          <w:vertAlign w:val="superscript"/>
        </w:rPr>
        <w:footnoteRef/>
      </w:r>
      <w:r>
        <w:rPr>
          <w:sz w:val="20"/>
          <w:szCs w:val="20"/>
        </w:rPr>
        <w:t xml:space="preserve"> A.J Wakefield, ‘Ileal-lymphoid-nodular hyperplasia, non-specific colitis, and pervasive developmental disorder in children’, </w:t>
      </w:r>
      <w:r>
        <w:rPr>
          <w:i/>
          <w:sz w:val="20"/>
          <w:szCs w:val="20"/>
        </w:rPr>
        <w:t>The Lancet</w:t>
      </w:r>
      <w:r>
        <w:rPr>
          <w:sz w:val="20"/>
          <w:szCs w:val="20"/>
        </w:rPr>
        <w:t>, vol. 351, no. 9103,</w:t>
      </w:r>
      <w:r>
        <w:rPr>
          <w:i/>
          <w:sz w:val="20"/>
          <w:szCs w:val="20"/>
        </w:rPr>
        <w:t xml:space="preserve"> </w:t>
      </w:r>
      <w:r>
        <w:rPr>
          <w:sz w:val="20"/>
          <w:szCs w:val="20"/>
        </w:rPr>
        <w:t>(1998), (p. 1)</w:t>
      </w:r>
    </w:p>
    <w:p w14:paraId="00000009" w14:textId="77777777" w:rsidR="001B0AC8" w:rsidRDefault="001B0AC8">
      <w:pPr>
        <w:spacing w:line="240" w:lineRule="auto"/>
        <w:rPr>
          <w:sz w:val="20"/>
          <w:szCs w:val="20"/>
        </w:rPr>
      </w:pPr>
    </w:p>
  </w:footnote>
  <w:footnote w:id="2">
    <w:p w14:paraId="0000000A" w14:textId="58E7CD88" w:rsidR="001B0AC8" w:rsidRDefault="00000000">
      <w:pPr>
        <w:spacing w:line="240" w:lineRule="auto"/>
        <w:rPr>
          <w:color w:val="1A1A1A"/>
          <w:sz w:val="20"/>
          <w:szCs w:val="20"/>
        </w:rPr>
      </w:pPr>
      <w:r>
        <w:rPr>
          <w:vertAlign w:val="superscript"/>
        </w:rPr>
        <w:footnoteRef/>
      </w:r>
      <w:r>
        <w:rPr>
          <w:sz w:val="20"/>
          <w:szCs w:val="20"/>
        </w:rPr>
        <w:t xml:space="preserve"> </w:t>
      </w:r>
      <w:r>
        <w:rPr>
          <w:color w:val="656565"/>
          <w:sz w:val="21"/>
          <w:szCs w:val="21"/>
          <w:highlight w:val="white"/>
        </w:rPr>
        <w:t xml:space="preserve"> </w:t>
      </w:r>
      <w:hyperlink r:id="rId1">
        <w:r>
          <w:rPr>
            <w:color w:val="191919"/>
            <w:sz w:val="21"/>
            <w:szCs w:val="21"/>
            <w:highlight w:val="white"/>
          </w:rPr>
          <w:t>Lee Fa</w:t>
        </w:r>
      </w:hyperlink>
      <w:hyperlink r:id="rId2">
        <w:r>
          <w:rPr>
            <w:color w:val="191919"/>
            <w:sz w:val="20"/>
            <w:szCs w:val="20"/>
            <w:highlight w:val="white"/>
          </w:rPr>
          <w:t>lin</w:t>
        </w:r>
      </w:hyperlink>
      <w:r>
        <w:rPr>
          <w:sz w:val="20"/>
          <w:szCs w:val="20"/>
        </w:rPr>
        <w:t>, ‘</w:t>
      </w:r>
      <w:r>
        <w:rPr>
          <w:i/>
          <w:color w:val="1A1A1A"/>
          <w:sz w:val="20"/>
          <w:szCs w:val="20"/>
        </w:rPr>
        <w:t>Correlation vs. Causation</w:t>
      </w:r>
      <w:r>
        <w:rPr>
          <w:color w:val="1A1A1A"/>
          <w:sz w:val="20"/>
          <w:szCs w:val="20"/>
        </w:rPr>
        <w:t xml:space="preserve">’, 2013, </w:t>
      </w:r>
      <w:hyperlink r:id="rId3" w:history="1">
        <w:r w:rsidR="0033498F" w:rsidRPr="00EF7B4C">
          <w:rPr>
            <w:rStyle w:val="Hyperlink"/>
            <w:sz w:val="20"/>
            <w:szCs w:val="20"/>
          </w:rPr>
          <w:t>https://www.scientificamerican.com/article/correlation-vs-causation/</w:t>
        </w:r>
      </w:hyperlink>
      <w:r>
        <w:rPr>
          <w:color w:val="1A1A1A"/>
          <w:sz w:val="20"/>
          <w:szCs w:val="20"/>
        </w:rPr>
        <w:t xml:space="preserve"> , [02/11/2023]</w:t>
      </w:r>
    </w:p>
    <w:p w14:paraId="0000000B" w14:textId="77777777" w:rsidR="001B0AC8" w:rsidRDefault="001B0AC8">
      <w:pPr>
        <w:spacing w:line="240" w:lineRule="auto"/>
        <w:rPr>
          <w:i/>
          <w:sz w:val="20"/>
          <w:szCs w:val="20"/>
        </w:rPr>
      </w:pPr>
    </w:p>
  </w:footnote>
  <w:footnote w:id="3">
    <w:p w14:paraId="0000000C" w14:textId="4B507567" w:rsidR="001B0AC8" w:rsidRDefault="00000000">
      <w:pPr>
        <w:spacing w:line="240" w:lineRule="auto"/>
        <w:rPr>
          <w:sz w:val="20"/>
          <w:szCs w:val="20"/>
        </w:rPr>
      </w:pPr>
      <w:r>
        <w:rPr>
          <w:vertAlign w:val="superscript"/>
        </w:rPr>
        <w:footnoteRef/>
      </w:r>
      <w:r>
        <w:rPr>
          <w:sz w:val="20"/>
          <w:szCs w:val="20"/>
        </w:rPr>
        <w:t xml:space="preserve"> NHS, ‘</w:t>
      </w:r>
      <w:r>
        <w:rPr>
          <w:i/>
          <w:sz w:val="20"/>
          <w:szCs w:val="20"/>
        </w:rPr>
        <w:t>MMR (measles, mumps and rubella) vaccine</w:t>
      </w:r>
      <w:r>
        <w:rPr>
          <w:sz w:val="20"/>
          <w:szCs w:val="20"/>
        </w:rPr>
        <w:t xml:space="preserve">’, </w:t>
      </w:r>
      <w:r w:rsidRPr="0033498F">
        <w:rPr>
          <w:sz w:val="20"/>
          <w:szCs w:val="20"/>
        </w:rPr>
        <w:t xml:space="preserve">last reviewed </w:t>
      </w:r>
      <w:r w:rsidRPr="0033498F">
        <w:rPr>
          <w:sz w:val="20"/>
          <w:szCs w:val="20"/>
          <w:shd w:val="clear" w:color="auto" w:fill="F0F4F5"/>
        </w:rPr>
        <w:t xml:space="preserve">8 April 2020, </w:t>
      </w:r>
      <w:r w:rsidR="0033498F" w:rsidRPr="0033498F">
        <w:rPr>
          <w:sz w:val="20"/>
          <w:szCs w:val="20"/>
          <w:shd w:val="clear" w:color="auto" w:fill="F0F4F5"/>
        </w:rPr>
        <w:t xml:space="preserve"> </w:t>
      </w:r>
      <w:r w:rsidRPr="0033498F">
        <w:rPr>
          <w:sz w:val="20"/>
          <w:szCs w:val="20"/>
          <w:shd w:val="clear" w:color="auto" w:fill="F0F4F5"/>
        </w:rPr>
        <w:t>https://www.nhs.uk/conditions/vaccinations/mmr-vaccine/ , [02/11/2023]</w:t>
      </w:r>
    </w:p>
    <w:p w14:paraId="0000000D" w14:textId="77777777" w:rsidR="001B0AC8" w:rsidRDefault="001B0AC8">
      <w:pPr>
        <w:spacing w:line="240" w:lineRule="auto"/>
        <w:rPr>
          <w:sz w:val="20"/>
          <w:szCs w:val="20"/>
        </w:rPr>
      </w:pPr>
    </w:p>
  </w:footnote>
  <w:footnote w:id="4">
    <w:p w14:paraId="0000000E" w14:textId="2AFFC8AA" w:rsidR="001B0AC8" w:rsidRDefault="00000000">
      <w:pPr>
        <w:spacing w:line="240" w:lineRule="auto"/>
        <w:rPr>
          <w:sz w:val="20"/>
          <w:szCs w:val="20"/>
        </w:rPr>
      </w:pPr>
      <w:r>
        <w:rPr>
          <w:vertAlign w:val="superscript"/>
        </w:rPr>
        <w:footnoteRef/>
      </w:r>
      <w:r>
        <w:rPr>
          <w:sz w:val="20"/>
          <w:szCs w:val="20"/>
        </w:rPr>
        <w:t xml:space="preserve"> NIH, ‘</w:t>
      </w:r>
      <w:r>
        <w:rPr>
          <w:i/>
          <w:sz w:val="20"/>
          <w:szCs w:val="20"/>
        </w:rPr>
        <w:t>When do children usually show symptoms of autism?</w:t>
      </w:r>
      <w:r>
        <w:rPr>
          <w:sz w:val="20"/>
          <w:szCs w:val="20"/>
        </w:rPr>
        <w:t xml:space="preserve">’, last reviewed </w:t>
      </w:r>
      <w:r>
        <w:rPr>
          <w:color w:val="222222"/>
          <w:sz w:val="20"/>
          <w:szCs w:val="20"/>
          <w:highlight w:val="white"/>
        </w:rPr>
        <w:t xml:space="preserve">1/31/2017, </w:t>
      </w:r>
      <w:hyperlink r:id="rId4" w:history="1">
        <w:r w:rsidR="0033498F" w:rsidRPr="00EF7B4C">
          <w:rPr>
            <w:rStyle w:val="Hyperlink"/>
            <w:sz w:val="20"/>
            <w:szCs w:val="20"/>
            <w:highlight w:val="white"/>
          </w:rPr>
          <w:t>https://www.nichd.nih.gov/health/topics/autism/conditioninfo/symptoms-appear</w:t>
        </w:r>
      </w:hyperlink>
      <w:r w:rsidR="0033498F">
        <w:rPr>
          <w:color w:val="222222"/>
          <w:sz w:val="20"/>
          <w:szCs w:val="20"/>
          <w:highlight w:val="white"/>
        </w:rPr>
        <w:t xml:space="preserve"> </w:t>
      </w:r>
      <w:r>
        <w:rPr>
          <w:color w:val="222222"/>
          <w:sz w:val="20"/>
          <w:szCs w:val="20"/>
          <w:highlight w:val="white"/>
        </w:rPr>
        <w:t>, [02/11/2023]</w:t>
      </w:r>
    </w:p>
    <w:p w14:paraId="0000000F" w14:textId="77777777" w:rsidR="001B0AC8" w:rsidRDefault="001B0AC8">
      <w:pPr>
        <w:spacing w:line="240" w:lineRule="auto"/>
        <w:rPr>
          <w:sz w:val="20"/>
          <w:szCs w:val="20"/>
        </w:rPr>
      </w:pPr>
    </w:p>
  </w:footnote>
  <w:footnote w:id="5">
    <w:p w14:paraId="00000010" w14:textId="0180F555" w:rsidR="001B0AC8" w:rsidRDefault="00000000">
      <w:pPr>
        <w:spacing w:line="240" w:lineRule="auto"/>
        <w:rPr>
          <w:sz w:val="20"/>
          <w:szCs w:val="20"/>
        </w:rPr>
      </w:pPr>
      <w:r>
        <w:rPr>
          <w:vertAlign w:val="superscript"/>
        </w:rPr>
        <w:footnoteRef/>
      </w:r>
      <w:r>
        <w:rPr>
          <w:sz w:val="20"/>
          <w:szCs w:val="20"/>
        </w:rPr>
        <w:t xml:space="preserve"> Google Patents, ‘</w:t>
      </w:r>
      <w:r>
        <w:rPr>
          <w:i/>
          <w:sz w:val="20"/>
          <w:szCs w:val="20"/>
        </w:rPr>
        <w:t>Pharmaceutical composition containing transfer factor for treatment of inflammatory bowel disease and regressive behavioural disorder</w:t>
      </w:r>
      <w:r>
        <w:rPr>
          <w:sz w:val="20"/>
          <w:szCs w:val="20"/>
        </w:rPr>
        <w:t xml:space="preserve">’, date unknown, </w:t>
      </w:r>
      <w:hyperlink r:id="rId5" w:history="1">
        <w:r w:rsidR="0033498F" w:rsidRPr="00EF7B4C">
          <w:rPr>
            <w:rStyle w:val="Hyperlink"/>
            <w:sz w:val="20"/>
            <w:szCs w:val="20"/>
          </w:rPr>
          <w:t>https://patents.google.com/patent/GB2341551A</w:t>
        </w:r>
      </w:hyperlink>
      <w:r w:rsidR="0033498F">
        <w:rPr>
          <w:sz w:val="20"/>
          <w:szCs w:val="20"/>
        </w:rPr>
        <w:t xml:space="preserve"> </w:t>
      </w:r>
      <w:r>
        <w:rPr>
          <w:sz w:val="20"/>
          <w:szCs w:val="20"/>
        </w:rPr>
        <w:t>, [02/11/2023]</w:t>
      </w:r>
    </w:p>
    <w:p w14:paraId="00000011" w14:textId="77777777" w:rsidR="001B0AC8" w:rsidRDefault="001B0AC8">
      <w:pPr>
        <w:spacing w:line="240" w:lineRule="auto"/>
        <w:rPr>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AC8"/>
    <w:rsid w:val="001B0AC8"/>
    <w:rsid w:val="0020292F"/>
    <w:rsid w:val="0033498F"/>
    <w:rsid w:val="00BD4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58ED6D0"/>
  <w15:docId w15:val="{A213E167-E3EC-4294-A6FF-127C4C15F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3498F"/>
    <w:rPr>
      <w:color w:val="0000FF" w:themeColor="hyperlink"/>
      <w:u w:val="single"/>
    </w:rPr>
  </w:style>
  <w:style w:type="character" w:styleId="UnresolvedMention">
    <w:name w:val="Unresolved Mention"/>
    <w:basedOn w:val="DefaultParagraphFont"/>
    <w:uiPriority w:val="99"/>
    <w:semiHidden/>
    <w:unhideWhenUsed/>
    <w:rsid w:val="003349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scientificamerican.com/article/correlation-vs-causation/" TargetMode="External"/><Relationship Id="rId2" Type="http://schemas.openxmlformats.org/officeDocument/2006/relationships/hyperlink" Target="https://www.scientificamerican.com/author/lee-falin-phd/" TargetMode="External"/><Relationship Id="rId1" Type="http://schemas.openxmlformats.org/officeDocument/2006/relationships/hyperlink" Target="https://www.scientificamerican.com/author/lee-falin-phd/" TargetMode="External"/><Relationship Id="rId5" Type="http://schemas.openxmlformats.org/officeDocument/2006/relationships/hyperlink" Target="https://patents.google.com/patent/GB2341551A" TargetMode="External"/><Relationship Id="rId4" Type="http://schemas.openxmlformats.org/officeDocument/2006/relationships/hyperlink" Target="https://www.nichd.nih.gov/health/topics/autism/conditioninfo/symptoms-app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337</Words>
  <Characters>1700</Characters>
  <Application>Microsoft Office Word</Application>
  <DocSecurity>0</DocSecurity>
  <Lines>28</Lines>
  <Paragraphs>4</Paragraphs>
  <ScaleCrop>false</ScaleCrop>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Ryker Lewis (2309993)</cp:lastModifiedBy>
  <cp:revision>4</cp:revision>
  <dcterms:created xsi:type="dcterms:W3CDTF">2023-11-03T11:51:00Z</dcterms:created>
  <dcterms:modified xsi:type="dcterms:W3CDTF">2023-11-03T11:56:00Z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21bf09b134e55f9681bad0ea12cbf14a0581ebb5678907d27f9fdaaf37ffe60f</vt:lpwstr>
  </property>
</Properties>
</file>