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72D2A45D" w:rsidP="72D2A45D" w:rsidRDefault="72D2A45D" w14:paraId="72DF78CC" w14:textId="492931F2">
      <w:pPr>
        <w:jc w:val="center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61CB6B2E" w:rsidP="72D2A45D" w:rsidRDefault="61CB6B2E" w14:paraId="1414ABB4" w14:textId="5607FFD3">
      <w:pPr>
        <w:jc w:val="center"/>
        <w:rPr>
          <w:rFonts w:ascii="Arial" w:hAnsi="Arial" w:eastAsia="Arial" w:cs="Arial"/>
          <w:b w:val="1"/>
          <w:bCs w:val="1"/>
          <w:sz w:val="22"/>
          <w:szCs w:val="22"/>
        </w:rPr>
      </w:pPr>
      <w:r w:rsidRPr="72D2A45D" w:rsidR="61CB6B2E">
        <w:rPr>
          <w:rFonts w:ascii="Arial" w:hAnsi="Arial" w:eastAsia="Arial" w:cs="Arial"/>
          <w:b w:val="1"/>
          <w:bCs w:val="1"/>
          <w:sz w:val="22"/>
          <w:szCs w:val="22"/>
        </w:rPr>
        <w:t xml:space="preserve">Assignment Title: </w:t>
      </w:r>
      <w:r w:rsidRPr="72D2A45D" w:rsidR="15F475BA">
        <w:rPr>
          <w:rFonts w:ascii="Arial" w:hAnsi="Arial" w:eastAsia="Arial" w:cs="Arial"/>
          <w:b w:val="1"/>
          <w:bCs w:val="1"/>
          <w:sz w:val="22"/>
          <w:szCs w:val="22"/>
        </w:rPr>
        <w:t>Assessment 2</w:t>
      </w:r>
      <w:r w:rsidRPr="72D2A45D" w:rsidR="3B780AC5">
        <w:rPr>
          <w:rFonts w:ascii="Arial" w:hAnsi="Arial" w:eastAsia="Arial" w:cs="Arial"/>
          <w:b w:val="1"/>
          <w:bCs w:val="1"/>
          <w:sz w:val="22"/>
          <w:szCs w:val="22"/>
        </w:rPr>
        <w:t xml:space="preserve"> </w:t>
      </w:r>
      <w:r w:rsidRPr="72D2A45D" w:rsidR="15F475BA">
        <w:rPr>
          <w:rFonts w:ascii="Arial" w:hAnsi="Arial" w:eastAsia="Arial" w:cs="Arial"/>
          <w:b w:val="1"/>
          <w:bCs w:val="1"/>
          <w:sz w:val="22"/>
          <w:szCs w:val="22"/>
        </w:rPr>
        <w:t>Annotated Bibliography and S</w:t>
      </w:r>
      <w:r w:rsidRPr="72D2A45D" w:rsidR="2DA9D32F">
        <w:rPr>
          <w:rFonts w:ascii="Arial" w:hAnsi="Arial" w:eastAsia="Arial" w:cs="Arial"/>
          <w:b w:val="1"/>
          <w:bCs w:val="1"/>
          <w:sz w:val="22"/>
          <w:szCs w:val="22"/>
        </w:rPr>
        <w:t>hort Report</w:t>
      </w:r>
    </w:p>
    <w:p w:rsidR="72D2A45D" w:rsidP="72D2A45D" w:rsidRDefault="72D2A45D" w14:paraId="4828291B" w14:textId="685F474B">
      <w:pPr>
        <w:pStyle w:val="Normal"/>
        <w:jc w:val="center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2DA9D32F" w:rsidP="72D2A45D" w:rsidRDefault="2DA9D32F" w14:paraId="660D9A16" w14:textId="7C245270">
      <w:pPr>
        <w:pStyle w:val="Normal"/>
        <w:jc w:val="center"/>
        <w:rPr>
          <w:rFonts w:ascii="Arial" w:hAnsi="Arial" w:eastAsia="Arial" w:cs="Arial"/>
          <w:b w:val="1"/>
          <w:bCs w:val="1"/>
          <w:sz w:val="22"/>
          <w:szCs w:val="22"/>
        </w:rPr>
      </w:pPr>
      <w:r w:rsidRPr="72D2A45D" w:rsidR="2DA9D32F">
        <w:rPr>
          <w:rFonts w:ascii="Arial" w:hAnsi="Arial" w:eastAsia="Arial" w:cs="Arial"/>
          <w:b w:val="1"/>
          <w:bCs w:val="1"/>
          <w:sz w:val="22"/>
          <w:szCs w:val="22"/>
        </w:rPr>
        <w:t>Student Name: Salma Sultan</w:t>
      </w:r>
    </w:p>
    <w:p w:rsidR="6FFF2A1F" w:rsidP="72D2A45D" w:rsidRDefault="6FFF2A1F" w14:paraId="478F6882" w14:textId="4213BC2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center"/>
      </w:pPr>
      <w:r w:rsidRPr="72D2A45D" w:rsidR="6FFF2A1F">
        <w:rPr>
          <w:rFonts w:ascii="Arial" w:hAnsi="Arial" w:eastAsia="Arial" w:cs="Arial"/>
          <w:b w:val="1"/>
          <w:bCs w:val="1"/>
          <w:sz w:val="22"/>
          <w:szCs w:val="22"/>
        </w:rPr>
        <w:t xml:space="preserve">Student </w:t>
      </w:r>
      <w:r w:rsidRPr="72D2A45D" w:rsidR="2DA9D32F">
        <w:rPr>
          <w:rFonts w:ascii="Arial" w:hAnsi="Arial" w:eastAsia="Arial" w:cs="Arial"/>
          <w:b w:val="1"/>
          <w:bCs w:val="1"/>
          <w:sz w:val="22"/>
          <w:szCs w:val="22"/>
        </w:rPr>
        <w:t>Number: 2431994</w:t>
      </w:r>
    </w:p>
    <w:p w:rsidR="6139FAD8" w:rsidP="72D2A45D" w:rsidRDefault="6139FAD8" w14:paraId="55DA8BC0" w14:textId="40FA4E45">
      <w:pPr>
        <w:pStyle w:val="Normal"/>
        <w:jc w:val="center"/>
        <w:rPr>
          <w:rFonts w:ascii="Arial" w:hAnsi="Arial" w:eastAsia="Arial" w:cs="Arial"/>
          <w:b w:val="1"/>
          <w:bCs w:val="1"/>
          <w:sz w:val="22"/>
          <w:szCs w:val="22"/>
        </w:rPr>
      </w:pPr>
      <w:r w:rsidRPr="72D2A45D" w:rsidR="6139FAD8">
        <w:rPr>
          <w:rFonts w:ascii="Arial" w:hAnsi="Arial" w:eastAsia="Arial" w:cs="Arial"/>
          <w:b w:val="1"/>
          <w:bCs w:val="1"/>
          <w:sz w:val="22"/>
          <w:szCs w:val="22"/>
        </w:rPr>
        <w:t>Module Code: LCH</w:t>
      </w:r>
      <w:r w:rsidRPr="72D2A45D" w:rsidR="451327C1">
        <w:rPr>
          <w:rFonts w:ascii="Arial" w:hAnsi="Arial" w:eastAsia="Arial" w:cs="Arial"/>
          <w:b w:val="1"/>
          <w:bCs w:val="1"/>
          <w:sz w:val="22"/>
          <w:szCs w:val="22"/>
        </w:rPr>
        <w:t>S4010</w:t>
      </w:r>
    </w:p>
    <w:p w:rsidR="451327C1" w:rsidP="72D2A45D" w:rsidRDefault="451327C1" w14:paraId="20AFE345" w14:textId="2259AFA8">
      <w:pPr>
        <w:pStyle w:val="Normal"/>
        <w:jc w:val="center"/>
        <w:rPr>
          <w:rFonts w:ascii="Arial" w:hAnsi="Arial" w:eastAsia="Arial" w:cs="Arial"/>
          <w:b w:val="1"/>
          <w:bCs w:val="1"/>
          <w:sz w:val="22"/>
          <w:szCs w:val="22"/>
        </w:rPr>
      </w:pPr>
      <w:r w:rsidRPr="72D2A45D" w:rsidR="451327C1">
        <w:rPr>
          <w:rFonts w:ascii="Arial" w:hAnsi="Arial" w:eastAsia="Arial" w:cs="Arial"/>
          <w:b w:val="1"/>
          <w:bCs w:val="1"/>
          <w:sz w:val="22"/>
          <w:szCs w:val="22"/>
        </w:rPr>
        <w:t>Module Title: Psychology in Health and Social Care</w:t>
      </w:r>
    </w:p>
    <w:p w:rsidR="451327C1" w:rsidP="72D2A45D" w:rsidRDefault="451327C1" w14:paraId="21B5194C" w14:textId="4A0D4C19">
      <w:pPr>
        <w:pStyle w:val="Normal"/>
        <w:jc w:val="center"/>
        <w:rPr>
          <w:rFonts w:ascii="Arial" w:hAnsi="Arial" w:eastAsia="Arial" w:cs="Arial"/>
          <w:b w:val="1"/>
          <w:bCs w:val="1"/>
          <w:sz w:val="22"/>
          <w:szCs w:val="22"/>
        </w:rPr>
      </w:pPr>
      <w:r w:rsidRPr="57B1279F" w:rsidR="78F1F65E">
        <w:rPr>
          <w:rFonts w:ascii="Arial" w:hAnsi="Arial" w:eastAsia="Arial" w:cs="Arial"/>
          <w:b w:val="1"/>
          <w:bCs w:val="1"/>
          <w:sz w:val="22"/>
          <w:szCs w:val="22"/>
        </w:rPr>
        <w:t>Lecturer: Alison Clayton</w:t>
      </w:r>
    </w:p>
    <w:p w:rsidR="57B1279F" w:rsidP="57B1279F" w:rsidRDefault="57B1279F" w14:paraId="0239736B" w14:textId="39F3411D">
      <w:pPr>
        <w:pStyle w:val="Normal"/>
        <w:jc w:val="center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57B1279F" w:rsidP="57B1279F" w:rsidRDefault="57B1279F" w14:paraId="76C967D0" w14:textId="710FF752">
      <w:pPr>
        <w:pStyle w:val="Normal"/>
        <w:jc w:val="center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57B1279F" w:rsidP="57B1279F" w:rsidRDefault="57B1279F" w14:paraId="2919A98D" w14:textId="0FEDFF35">
      <w:pPr>
        <w:pStyle w:val="Normal"/>
        <w:jc w:val="center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57B1279F" w:rsidP="57B1279F" w:rsidRDefault="57B1279F" w14:paraId="18D4CCBC" w14:textId="5D482744">
      <w:pPr>
        <w:pStyle w:val="Normal"/>
        <w:jc w:val="center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57B1279F" w:rsidP="57B1279F" w:rsidRDefault="57B1279F" w14:paraId="19FAFA72" w14:textId="70983785">
      <w:pPr>
        <w:pStyle w:val="Normal"/>
        <w:jc w:val="center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57B1279F" w:rsidP="57B1279F" w:rsidRDefault="57B1279F" w14:paraId="6974EFCA" w14:textId="3847B8D4">
      <w:pPr>
        <w:pStyle w:val="Normal"/>
        <w:jc w:val="center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57B1279F" w:rsidP="57B1279F" w:rsidRDefault="57B1279F" w14:paraId="0DF918FE" w14:textId="24436579">
      <w:pPr>
        <w:pStyle w:val="Normal"/>
        <w:jc w:val="center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57B1279F" w:rsidP="57B1279F" w:rsidRDefault="57B1279F" w14:paraId="4C9F7AF1" w14:textId="267C090A">
      <w:pPr>
        <w:pStyle w:val="Normal"/>
        <w:jc w:val="center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57B1279F" w:rsidP="57B1279F" w:rsidRDefault="57B1279F" w14:paraId="5C2D19DD" w14:textId="1335BD6B">
      <w:pPr>
        <w:pStyle w:val="Normal"/>
        <w:jc w:val="center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57B1279F" w:rsidP="57B1279F" w:rsidRDefault="57B1279F" w14:paraId="6B25C873" w14:textId="77CAD34C">
      <w:pPr>
        <w:pStyle w:val="Normal"/>
        <w:jc w:val="center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57B1279F" w:rsidP="57B1279F" w:rsidRDefault="57B1279F" w14:paraId="3AF0AD42" w14:textId="025EBA9F">
      <w:pPr>
        <w:pStyle w:val="Normal"/>
        <w:jc w:val="center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57B1279F" w:rsidP="57B1279F" w:rsidRDefault="57B1279F" w14:paraId="10F0C71C" w14:textId="39E6BD9C">
      <w:pPr>
        <w:pStyle w:val="Normal"/>
        <w:jc w:val="center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57B1279F" w:rsidP="57B1279F" w:rsidRDefault="57B1279F" w14:paraId="47BAF346" w14:textId="7EC7C7FE">
      <w:pPr>
        <w:pStyle w:val="Normal"/>
        <w:jc w:val="center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57B1279F" w:rsidP="57B1279F" w:rsidRDefault="57B1279F" w14:paraId="54703EC7" w14:textId="0C5F6C97">
      <w:pPr>
        <w:pStyle w:val="Normal"/>
        <w:jc w:val="center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57B1279F" w:rsidP="57B1279F" w:rsidRDefault="57B1279F" w14:paraId="7F0AA57A" w14:textId="1FD870E6">
      <w:pPr>
        <w:pStyle w:val="Normal"/>
        <w:jc w:val="center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57B1279F" w:rsidP="57B1279F" w:rsidRDefault="57B1279F" w14:paraId="55DC6015" w14:textId="2A44B218">
      <w:pPr>
        <w:pStyle w:val="Normal"/>
        <w:jc w:val="center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57B1279F" w:rsidP="57B1279F" w:rsidRDefault="57B1279F" w14:paraId="78F86735" w14:textId="0D154FEA">
      <w:pPr>
        <w:pStyle w:val="Normal"/>
        <w:jc w:val="center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57B1279F" w:rsidP="57B1279F" w:rsidRDefault="57B1279F" w14:paraId="29C39475" w14:textId="6022DA72">
      <w:pPr>
        <w:pStyle w:val="Normal"/>
        <w:jc w:val="center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57B1279F" w:rsidP="57B1279F" w:rsidRDefault="57B1279F" w14:paraId="04A53DE4" w14:textId="65D8F7AE">
      <w:pPr>
        <w:pStyle w:val="Normal"/>
        <w:jc w:val="center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57B1279F" w:rsidP="57B1279F" w:rsidRDefault="57B1279F" w14:paraId="5A269B1A" w14:textId="1BFD4247">
      <w:pPr>
        <w:pStyle w:val="Normal"/>
        <w:jc w:val="center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57B1279F" w:rsidP="57B1279F" w:rsidRDefault="57B1279F" w14:paraId="08945C29" w14:textId="627C6EF2">
      <w:pPr>
        <w:pStyle w:val="Normal"/>
        <w:jc w:val="center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72D2A45D" w:rsidP="72D2A45D" w:rsidRDefault="72D2A45D" w14:paraId="58F95BE0" w14:textId="61F7762C">
      <w:pPr>
        <w:pStyle w:val="Normal"/>
        <w:jc w:val="center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72D2A45D" w:rsidP="72D2A45D" w:rsidRDefault="72D2A45D" w14:paraId="469FD1C3" w14:textId="7B20A046">
      <w:pPr>
        <w:pStyle w:val="Normal"/>
        <w:jc w:val="center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360AA1F3" w:rsidP="72D2A45D" w:rsidRDefault="360AA1F3" w14:paraId="545C71C0" w14:textId="2E92B09F">
      <w:pPr>
        <w:pStyle w:val="Normal"/>
        <w:jc w:val="left"/>
        <w:rPr>
          <w:rFonts w:ascii="Arial" w:hAnsi="Arial" w:eastAsia="Arial" w:cs="Arial"/>
          <w:b w:val="1"/>
          <w:bCs w:val="1"/>
          <w:sz w:val="22"/>
          <w:szCs w:val="22"/>
        </w:rPr>
      </w:pPr>
      <w:r w:rsidRPr="72D2A45D" w:rsidR="360AA1F3">
        <w:rPr>
          <w:rFonts w:ascii="Arial" w:hAnsi="Arial" w:eastAsia="Arial" w:cs="Arial"/>
          <w:b w:val="1"/>
          <w:bCs w:val="1"/>
          <w:sz w:val="22"/>
          <w:szCs w:val="22"/>
        </w:rPr>
        <w:t>Part A: Annotated Bibliography</w:t>
      </w:r>
    </w:p>
    <w:p w:rsidR="360AA1F3" w:rsidP="72D2A45D" w:rsidRDefault="360AA1F3" w14:paraId="04077A87" w14:textId="11B85C47">
      <w:pPr>
        <w:pStyle w:val="Normal"/>
        <w:jc w:val="left"/>
        <w:rPr>
          <w:rFonts w:ascii="Arial" w:hAnsi="Arial" w:eastAsia="Arial" w:cs="Arial"/>
          <w:b w:val="1"/>
          <w:bCs w:val="1"/>
          <w:sz w:val="22"/>
          <w:szCs w:val="22"/>
        </w:rPr>
      </w:pPr>
      <w:r w:rsidRPr="72D2A45D" w:rsidR="360AA1F3">
        <w:rPr>
          <w:rFonts w:ascii="Arial" w:hAnsi="Arial" w:eastAsia="Arial" w:cs="Arial"/>
          <w:b w:val="1"/>
          <w:bCs w:val="1"/>
          <w:sz w:val="22"/>
          <w:szCs w:val="22"/>
        </w:rPr>
        <w:t>Source 1</w:t>
      </w:r>
      <w:r w:rsidRPr="72D2A45D" w:rsidR="6AAF1E18">
        <w:rPr>
          <w:rFonts w:ascii="Arial" w:hAnsi="Arial" w:eastAsia="Arial" w:cs="Arial"/>
          <w:b w:val="1"/>
          <w:bCs w:val="1"/>
          <w:sz w:val="22"/>
          <w:szCs w:val="22"/>
        </w:rPr>
        <w:t>: Erikson’s Psychosocial Theory</w:t>
      </w:r>
    </w:p>
    <w:p w:rsidR="360AA1F3" w:rsidP="72D2A45D" w:rsidRDefault="360AA1F3" w14:paraId="4B05F922" w14:textId="088BBEC9">
      <w:pPr>
        <w:pStyle w:val="Normal"/>
        <w:jc w:val="left"/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</w:pPr>
      <w:r w:rsidRPr="72D2A45D" w:rsidR="360AA1F3">
        <w:rPr>
          <w:rFonts w:ascii="Arial" w:hAnsi="Arial" w:eastAsia="Arial" w:cs="Arial"/>
          <w:b w:val="0"/>
          <w:bCs w:val="0"/>
          <w:sz w:val="22"/>
          <w:szCs w:val="22"/>
        </w:rPr>
        <w:t>Erikson,  E.</w:t>
      </w:r>
      <w:r w:rsidRPr="72D2A45D" w:rsidR="360AA1F3">
        <w:rPr>
          <w:rFonts w:ascii="Arial" w:hAnsi="Arial" w:eastAsia="Arial" w:cs="Arial"/>
          <w:b w:val="0"/>
          <w:bCs w:val="0"/>
          <w:sz w:val="22"/>
          <w:szCs w:val="22"/>
        </w:rPr>
        <w:t xml:space="preserve">  H.  (1950).  </w:t>
      </w:r>
      <w:r w:rsidRPr="72D2A45D" w:rsidR="360AA1F3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>Child</w:t>
      </w:r>
      <w:r w:rsidRPr="72D2A45D" w:rsidR="55B2CBB4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hood and Society. </w:t>
      </w:r>
      <w:r w:rsidRPr="72D2A45D" w:rsidR="55B2CBB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W.  W.  </w:t>
      </w:r>
      <w:r w:rsidRPr="72D2A45D" w:rsidR="55B2CBB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Norton  &amp;</w:t>
      </w:r>
      <w:r w:rsidRPr="72D2A45D" w:rsidR="55B2CBB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 Company. </w:t>
      </w:r>
      <w:hyperlink r:id="R3d614a1c8ac74b21">
        <w:r w:rsidRPr="72D2A45D" w:rsidR="55B2CBB4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z w:val="22"/>
            <w:szCs w:val="22"/>
          </w:rPr>
          <w:t>https://archive.org</w:t>
        </w:r>
        <w:r w:rsidRPr="72D2A45D" w:rsidR="49C3641A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z w:val="22"/>
            <w:szCs w:val="22"/>
          </w:rPr>
          <w:t>/details/childhoodsociety00erik</w:t>
        </w:r>
      </w:hyperlink>
      <w:r w:rsidRPr="72D2A45D" w:rsidR="49C3641A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</w:t>
      </w:r>
    </w:p>
    <w:p w:rsidR="5D02F6EB" w:rsidP="72D2A45D" w:rsidRDefault="5D02F6EB" w14:paraId="012FFA45" w14:textId="5770ABF7">
      <w:pPr>
        <w:pStyle w:val="Normal"/>
        <w:jc w:val="left"/>
        <w:rPr>
          <w:rFonts w:ascii="Arial" w:hAnsi="Arial" w:eastAsia="Arial" w:cs="Arial"/>
          <w:b w:val="1"/>
          <w:bCs w:val="1"/>
          <w:sz w:val="22"/>
          <w:szCs w:val="22"/>
        </w:rPr>
      </w:pPr>
      <w:r w:rsidRPr="57B1279F" w:rsidR="614383D3">
        <w:rPr>
          <w:rFonts w:ascii="Arial" w:hAnsi="Arial" w:eastAsia="Arial" w:cs="Arial"/>
          <w:b w:val="1"/>
          <w:bCs w:val="1"/>
          <w:sz w:val="22"/>
          <w:szCs w:val="22"/>
        </w:rPr>
        <w:t>Summary</w:t>
      </w:r>
      <w:r w:rsidRPr="57B1279F" w:rsidR="1587CA15">
        <w:rPr>
          <w:rFonts w:ascii="Arial" w:hAnsi="Arial" w:eastAsia="Arial" w:cs="Arial"/>
          <w:b w:val="1"/>
          <w:bCs w:val="1"/>
          <w:sz w:val="22"/>
          <w:szCs w:val="22"/>
        </w:rPr>
        <w:t xml:space="preserve">: </w:t>
      </w:r>
      <w:r w:rsidRPr="57B1279F" w:rsidR="75F8E4F9">
        <w:rPr>
          <w:rFonts w:ascii="Arial" w:hAnsi="Arial" w:eastAsia="Arial" w:cs="Arial"/>
          <w:b w:val="0"/>
          <w:bCs w:val="0"/>
          <w:sz w:val="22"/>
          <w:szCs w:val="22"/>
        </w:rPr>
        <w:t>Erikson explains a psychosocial theory with eight stages of development. Each stage has a conflict that people nee</w:t>
      </w:r>
      <w:r w:rsidRPr="57B1279F" w:rsidR="6ADF9E62">
        <w:rPr>
          <w:rFonts w:ascii="Arial" w:hAnsi="Arial" w:eastAsia="Arial" w:cs="Arial"/>
          <w:b w:val="0"/>
          <w:bCs w:val="0"/>
          <w:sz w:val="22"/>
          <w:szCs w:val="22"/>
        </w:rPr>
        <w:t xml:space="preserve">d to resolve, and this affects their personality </w:t>
      </w:r>
      <w:r w:rsidRPr="57B1279F" w:rsidR="1428DF55">
        <w:rPr>
          <w:rFonts w:ascii="Arial" w:hAnsi="Arial" w:eastAsia="Arial" w:cs="Arial"/>
          <w:b w:val="0"/>
          <w:bCs w:val="0"/>
          <w:sz w:val="22"/>
          <w:szCs w:val="22"/>
        </w:rPr>
        <w:t>throughout</w:t>
      </w:r>
      <w:r w:rsidRPr="57B1279F" w:rsidR="6ADF9E62">
        <w:rPr>
          <w:rFonts w:ascii="Arial" w:hAnsi="Arial" w:eastAsia="Arial" w:cs="Arial"/>
          <w:b w:val="0"/>
          <w:bCs w:val="0"/>
          <w:sz w:val="22"/>
          <w:szCs w:val="22"/>
        </w:rPr>
        <w:t xml:space="preserve"> life.</w:t>
      </w:r>
      <w:r w:rsidRPr="57B1279F" w:rsidR="3FEE5D4D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57B1279F" w:rsidR="3FEE5D4D">
        <w:rPr>
          <w:rFonts w:ascii="Arial" w:hAnsi="Arial" w:eastAsia="Arial" w:cs="Arial"/>
          <w:b w:val="0"/>
          <w:bCs w:val="0"/>
          <w:sz w:val="22"/>
          <w:szCs w:val="22"/>
        </w:rPr>
        <w:t>Stage 8 – Ego Integrity</w:t>
      </w:r>
      <w:r w:rsidRPr="57B1279F" w:rsidR="59DCD7FD">
        <w:rPr>
          <w:rFonts w:ascii="Arial" w:hAnsi="Arial" w:eastAsia="Arial" w:cs="Arial"/>
          <w:b w:val="0"/>
          <w:bCs w:val="0"/>
          <w:sz w:val="22"/>
          <w:szCs w:val="22"/>
        </w:rPr>
        <w:t xml:space="preserve"> versus Despair – is related to older adults the most: individuals reflecting their lives in a coheren</w:t>
      </w:r>
      <w:r w:rsidRPr="57B1279F" w:rsidR="748CD1F9">
        <w:rPr>
          <w:rFonts w:ascii="Arial" w:hAnsi="Arial" w:eastAsia="Arial" w:cs="Arial"/>
          <w:b w:val="0"/>
          <w:bCs w:val="0"/>
          <w:sz w:val="22"/>
          <w:szCs w:val="22"/>
        </w:rPr>
        <w:t>t manner achieve integrity, those with regret on their mind feel despair.</w:t>
      </w:r>
    </w:p>
    <w:p w:rsidR="5CD91161" w:rsidP="72D2A45D" w:rsidRDefault="5CD91161" w14:paraId="7915A7A1" w14:textId="23B11BD4">
      <w:pPr>
        <w:pStyle w:val="Normal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57B1279F" w:rsidR="748CD1F9">
        <w:rPr>
          <w:rFonts w:ascii="Arial" w:hAnsi="Arial" w:eastAsia="Arial" w:cs="Arial"/>
          <w:b w:val="1"/>
          <w:bCs w:val="1"/>
          <w:sz w:val="22"/>
          <w:szCs w:val="22"/>
        </w:rPr>
        <w:t>Critical Comment:</w:t>
      </w:r>
      <w:r w:rsidRPr="57B1279F" w:rsidR="748CD1F9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57B1279F" w:rsidR="5E2D5376">
        <w:rPr>
          <w:rFonts w:ascii="Arial" w:hAnsi="Arial" w:eastAsia="Arial" w:cs="Arial"/>
          <w:b w:val="0"/>
          <w:bCs w:val="0"/>
          <w:sz w:val="22"/>
          <w:szCs w:val="22"/>
        </w:rPr>
        <w:t>T</w:t>
      </w:r>
      <w:r w:rsidRPr="57B1279F" w:rsidR="748CD1F9">
        <w:rPr>
          <w:rFonts w:ascii="Arial" w:hAnsi="Arial" w:eastAsia="Arial" w:cs="Arial"/>
          <w:b w:val="0"/>
          <w:bCs w:val="0"/>
          <w:sz w:val="22"/>
          <w:szCs w:val="22"/>
        </w:rPr>
        <w:t>his theoretical source is the basis of life review and memory intervention in residential care.</w:t>
      </w:r>
      <w:r w:rsidRPr="57B1279F" w:rsidR="158C9C2D">
        <w:rPr>
          <w:rFonts w:ascii="Arial" w:hAnsi="Arial" w:eastAsia="Arial" w:cs="Arial"/>
          <w:b w:val="0"/>
          <w:bCs w:val="0"/>
          <w:sz w:val="22"/>
          <w:szCs w:val="22"/>
        </w:rPr>
        <w:t xml:space="preserve"> Understanding Stage 8 helps professionals recognise that withdrawal in older adults may be linked to psyc</w:t>
      </w:r>
      <w:r w:rsidRPr="57B1279F" w:rsidR="2524127A">
        <w:rPr>
          <w:rFonts w:ascii="Arial" w:hAnsi="Arial" w:eastAsia="Arial" w:cs="Arial"/>
          <w:b w:val="0"/>
          <w:bCs w:val="0"/>
          <w:sz w:val="22"/>
          <w:szCs w:val="22"/>
        </w:rPr>
        <w:t>hosocial issues, not just medical symptoms.</w:t>
      </w:r>
      <w:r w:rsidRPr="57B1279F" w:rsidR="5F8E3ECB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57B1279F" w:rsidR="5F8E3ECB">
        <w:rPr>
          <w:rFonts w:ascii="Arial" w:hAnsi="Arial" w:eastAsia="Arial" w:cs="Arial"/>
          <w:b w:val="0"/>
          <w:bCs w:val="0"/>
          <w:sz w:val="22"/>
          <w:szCs w:val="22"/>
        </w:rPr>
        <w:t xml:space="preserve">Its main weakness is that the model is constructed using the observations of clinicians and </w:t>
      </w:r>
      <w:r w:rsidRPr="57B1279F" w:rsidR="5F8E3ECB">
        <w:rPr>
          <w:rFonts w:ascii="Arial" w:hAnsi="Arial" w:eastAsia="Arial" w:cs="Arial"/>
          <w:b w:val="0"/>
          <w:bCs w:val="0"/>
          <w:sz w:val="22"/>
          <w:szCs w:val="22"/>
        </w:rPr>
        <w:t>represents</w:t>
      </w:r>
      <w:r w:rsidRPr="57B1279F" w:rsidR="5F8E3ECB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57B1279F" w:rsidR="73E3C24D">
        <w:rPr>
          <w:rFonts w:ascii="Arial" w:hAnsi="Arial" w:eastAsia="Arial" w:cs="Arial"/>
          <w:b w:val="0"/>
          <w:bCs w:val="0"/>
          <w:sz w:val="22"/>
          <w:szCs w:val="22"/>
        </w:rPr>
        <w:t xml:space="preserve">a Western worldview, which makes the cultural transferability less </w:t>
      </w:r>
      <w:r w:rsidRPr="57B1279F" w:rsidR="73E3C24D">
        <w:rPr>
          <w:rFonts w:ascii="Arial" w:hAnsi="Arial" w:eastAsia="Arial" w:cs="Arial"/>
          <w:b w:val="0"/>
          <w:bCs w:val="0"/>
          <w:sz w:val="22"/>
          <w:szCs w:val="22"/>
        </w:rPr>
        <w:t>feasible</w:t>
      </w:r>
      <w:r w:rsidRPr="57B1279F" w:rsidR="73E3C24D">
        <w:rPr>
          <w:rFonts w:ascii="Arial" w:hAnsi="Arial" w:eastAsia="Arial" w:cs="Arial"/>
          <w:b w:val="0"/>
          <w:bCs w:val="0"/>
          <w:sz w:val="22"/>
          <w:szCs w:val="22"/>
        </w:rPr>
        <w:t xml:space="preserve">. Nonetheless, the framework is still </w:t>
      </w:r>
      <w:r w:rsidRPr="57B1279F" w:rsidR="73E3C24D">
        <w:rPr>
          <w:rFonts w:ascii="Arial" w:hAnsi="Arial" w:eastAsia="Arial" w:cs="Arial"/>
          <w:b w:val="0"/>
          <w:bCs w:val="0"/>
          <w:sz w:val="22"/>
          <w:szCs w:val="22"/>
        </w:rPr>
        <w:t>very powerful</w:t>
      </w:r>
      <w:r w:rsidRPr="57B1279F" w:rsidR="73E3C24D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57B1279F" w:rsidR="36A4C891">
        <w:rPr>
          <w:rFonts w:ascii="Arial" w:hAnsi="Arial" w:eastAsia="Arial" w:cs="Arial"/>
          <w:b w:val="0"/>
          <w:bCs w:val="0"/>
          <w:sz w:val="22"/>
          <w:szCs w:val="22"/>
        </w:rPr>
        <w:t xml:space="preserve">in gerontology practise. </w:t>
      </w:r>
    </w:p>
    <w:p w:rsidR="7139B81D" w:rsidP="72D2A45D" w:rsidRDefault="7139B81D" w14:paraId="59AC6810" w14:textId="1897E435">
      <w:pPr>
        <w:pStyle w:val="Normal"/>
        <w:jc w:val="left"/>
        <w:rPr>
          <w:rFonts w:ascii="Arial" w:hAnsi="Arial" w:eastAsia="Arial" w:cs="Arial"/>
          <w:b w:val="1"/>
          <w:bCs w:val="1"/>
          <w:sz w:val="22"/>
          <w:szCs w:val="22"/>
        </w:rPr>
      </w:pPr>
      <w:r w:rsidRPr="72D2A45D" w:rsidR="7139B81D">
        <w:rPr>
          <w:rFonts w:ascii="Arial" w:hAnsi="Arial" w:eastAsia="Arial" w:cs="Arial"/>
          <w:b w:val="1"/>
          <w:bCs w:val="1"/>
          <w:sz w:val="22"/>
          <w:szCs w:val="22"/>
        </w:rPr>
        <w:t>Source 2 – Erikson’s Psychosocial Theory (recent Empirical)</w:t>
      </w:r>
    </w:p>
    <w:p w:rsidR="67EFC430" w:rsidP="72D2A45D" w:rsidRDefault="67EFC430" w14:paraId="2D2AA0F3" w14:textId="43E40457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  <w:r w:rsidRPr="72D2A45D" w:rsidR="67EFC430">
        <w:rPr>
          <w:rFonts w:ascii="Arial" w:hAnsi="Arial" w:eastAsia="Arial" w:cs="Arial"/>
          <w:b w:val="0"/>
          <w:bCs w:val="0"/>
          <w:sz w:val="22"/>
          <w:szCs w:val="22"/>
        </w:rPr>
        <w:t>Malone, J. C., Liu, S. R., Vaillant, G. E., Rentz, D. M</w:t>
      </w:r>
      <w:r w:rsidRPr="72D2A45D" w:rsidR="5A73A5B6">
        <w:rPr>
          <w:rFonts w:ascii="Arial" w:hAnsi="Arial" w:eastAsia="Arial" w:cs="Arial"/>
          <w:b w:val="0"/>
          <w:bCs w:val="0"/>
          <w:sz w:val="22"/>
          <w:szCs w:val="22"/>
        </w:rPr>
        <w:t xml:space="preserve">. and Waldinger, R. J. (2016) ‘Midlife </w:t>
      </w:r>
      <w:r w:rsidRPr="72D2A45D" w:rsidR="5A73A5B6">
        <w:rPr>
          <w:rFonts w:ascii="Arial" w:hAnsi="Arial" w:eastAsia="Arial" w:cs="Arial"/>
          <w:b w:val="0"/>
          <w:bCs w:val="0"/>
          <w:sz w:val="22"/>
          <w:szCs w:val="22"/>
        </w:rPr>
        <w:t>Eriksonian</w:t>
      </w:r>
      <w:r w:rsidRPr="72D2A45D" w:rsidR="5A73A5B6">
        <w:rPr>
          <w:rFonts w:ascii="Arial" w:hAnsi="Arial" w:eastAsia="Arial" w:cs="Arial"/>
          <w:b w:val="0"/>
          <w:bCs w:val="0"/>
          <w:sz w:val="22"/>
          <w:szCs w:val="22"/>
        </w:rPr>
        <w:t xml:space="preserve"> psychosocial dev</w:t>
      </w:r>
      <w:r w:rsidRPr="72D2A45D" w:rsidR="1F86251D">
        <w:rPr>
          <w:rFonts w:ascii="Arial" w:hAnsi="Arial" w:eastAsia="Arial" w:cs="Arial"/>
          <w:b w:val="0"/>
          <w:bCs w:val="0"/>
          <w:sz w:val="22"/>
          <w:szCs w:val="22"/>
        </w:rPr>
        <w:t xml:space="preserve">elopment: </w:t>
      </w:r>
      <w:r w:rsidRPr="72D2A45D" w:rsidR="1F86251D">
        <w:rPr>
          <w:rFonts w:ascii="Arial" w:hAnsi="Arial" w:eastAsia="Arial" w:cs="Arial"/>
          <w:b w:val="0"/>
          <w:bCs w:val="0"/>
          <w:sz w:val="22"/>
          <w:szCs w:val="22"/>
        </w:rPr>
        <w:t>Setting  the</w:t>
      </w:r>
      <w:r w:rsidRPr="72D2A45D" w:rsidR="1F86251D">
        <w:rPr>
          <w:rFonts w:ascii="Arial" w:hAnsi="Arial" w:eastAsia="Arial" w:cs="Arial"/>
          <w:b w:val="0"/>
          <w:bCs w:val="0"/>
          <w:sz w:val="22"/>
          <w:szCs w:val="22"/>
        </w:rPr>
        <w:t xml:space="preserve">  </w:t>
      </w:r>
      <w:r w:rsidRPr="72D2A45D" w:rsidR="1F86251D">
        <w:rPr>
          <w:rFonts w:ascii="Arial" w:hAnsi="Arial" w:eastAsia="Arial" w:cs="Arial"/>
          <w:b w:val="0"/>
          <w:bCs w:val="0"/>
          <w:sz w:val="22"/>
          <w:szCs w:val="22"/>
        </w:rPr>
        <w:t>stage  for</w:t>
      </w:r>
      <w:r w:rsidRPr="72D2A45D" w:rsidR="1F86251D">
        <w:rPr>
          <w:rFonts w:ascii="Arial" w:hAnsi="Arial" w:eastAsia="Arial" w:cs="Arial"/>
          <w:b w:val="0"/>
          <w:bCs w:val="0"/>
          <w:sz w:val="22"/>
          <w:szCs w:val="22"/>
        </w:rPr>
        <w:t xml:space="preserve">  late-</w:t>
      </w:r>
      <w:r w:rsidRPr="72D2A45D" w:rsidR="1F86251D">
        <w:rPr>
          <w:rFonts w:ascii="Arial" w:hAnsi="Arial" w:eastAsia="Arial" w:cs="Arial"/>
          <w:b w:val="0"/>
          <w:bCs w:val="0"/>
          <w:sz w:val="22"/>
          <w:szCs w:val="22"/>
        </w:rPr>
        <w:t>life  cognitive</w:t>
      </w:r>
      <w:r w:rsidRPr="72D2A45D" w:rsidR="1F86251D">
        <w:rPr>
          <w:rFonts w:ascii="Arial" w:hAnsi="Arial" w:eastAsia="Arial" w:cs="Arial"/>
          <w:b w:val="0"/>
          <w:bCs w:val="0"/>
          <w:sz w:val="22"/>
          <w:szCs w:val="22"/>
        </w:rPr>
        <w:t xml:space="preserve">  </w:t>
      </w:r>
      <w:r w:rsidRPr="72D2A45D" w:rsidR="1F86251D">
        <w:rPr>
          <w:rFonts w:ascii="Arial" w:hAnsi="Arial" w:eastAsia="Arial" w:cs="Arial"/>
          <w:b w:val="0"/>
          <w:bCs w:val="0"/>
          <w:sz w:val="22"/>
          <w:szCs w:val="22"/>
        </w:rPr>
        <w:t>and  emotional</w:t>
      </w:r>
      <w:r w:rsidRPr="72D2A45D" w:rsidR="1F86251D">
        <w:rPr>
          <w:rFonts w:ascii="Arial" w:hAnsi="Arial" w:eastAsia="Arial" w:cs="Arial"/>
          <w:b w:val="0"/>
          <w:bCs w:val="0"/>
          <w:sz w:val="22"/>
          <w:szCs w:val="22"/>
        </w:rPr>
        <w:t xml:space="preserve">  </w:t>
      </w:r>
      <w:r w:rsidRPr="72D2A45D" w:rsidR="1F86251D">
        <w:rPr>
          <w:rFonts w:ascii="Arial" w:hAnsi="Arial" w:eastAsia="Arial" w:cs="Arial"/>
          <w:b w:val="0"/>
          <w:bCs w:val="0"/>
          <w:sz w:val="22"/>
          <w:szCs w:val="22"/>
        </w:rPr>
        <w:t>health’,</w:t>
      </w:r>
      <w:r w:rsidRPr="72D2A45D" w:rsidR="4A301A13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>Developmental</w:t>
      </w:r>
      <w:r w:rsidRPr="72D2A45D" w:rsidR="4A301A13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    </w:t>
      </w:r>
      <w:r w:rsidRPr="72D2A45D" w:rsidR="4A301A13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Psychology,   </w:t>
      </w:r>
      <w:r w:rsidRPr="72D2A45D" w:rsidR="4A301A1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58(6</w:t>
      </w:r>
      <w:r w:rsidRPr="72D2A45D" w:rsidR="4A301A1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),   </w:t>
      </w:r>
      <w:r w:rsidRPr="72D2A45D" w:rsidR="4A301A1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pp.   1009-</w:t>
      </w:r>
      <w:r w:rsidRPr="72D2A45D" w:rsidR="79FE2CDF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1023. </w:t>
      </w:r>
      <w:hyperlink r:id="R877ca2e8482242e4">
        <w:r w:rsidRPr="72D2A45D" w:rsidR="79FE2CDF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z w:val="22"/>
            <w:szCs w:val="22"/>
          </w:rPr>
          <w:t>htt</w:t>
        </w:r>
        <w:r w:rsidRPr="72D2A45D" w:rsidR="0F4C08D1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z w:val="22"/>
            <w:szCs w:val="22"/>
          </w:rPr>
          <w:t>ps://pmc.ncbi.nlm.nih.gov/articles/PMC5398200/pdf</w:t>
        </w:r>
        <w:r w:rsidRPr="72D2A45D" w:rsidR="10974BD7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z w:val="22"/>
            <w:szCs w:val="22"/>
          </w:rPr>
          <w:t>/nihms852901.pdf</w:t>
        </w:r>
      </w:hyperlink>
      <w:r w:rsidRPr="72D2A45D" w:rsidR="10974BD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</w:t>
      </w:r>
    </w:p>
    <w:p w:rsidR="10974BD7" w:rsidP="57B1279F" w:rsidRDefault="10974BD7" w14:paraId="49C2AFAE" w14:textId="715E1C6B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  <w:r w:rsidRPr="57B1279F" w:rsidR="63BC7509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  <w:t>Summary:</w:t>
      </w:r>
      <w:r w:rsidRPr="57B1279F" w:rsidR="668D25E5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  <w:t xml:space="preserve"> </w:t>
      </w:r>
      <w:r w:rsidRPr="57B1279F" w:rsidR="6A3A773A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This long-term Harvard study looked at how resolving psychosocial stages in midlife can affect health later in life. </w:t>
      </w:r>
      <w:r w:rsidRPr="57B1279F" w:rsidR="086AFE2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Malone</w:t>
      </w:r>
      <w:r w:rsidRPr="57B1279F" w:rsidR="6267A64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et al.  discover people who overcame Generativity vs Stagnation (Stage 7) had better cognitive </w:t>
      </w:r>
      <w:r w:rsidRPr="57B1279F" w:rsidR="269EA6C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abilities, lower levels of depression and higher levels of emotional health when they were older adults, which is strong quantitative</w:t>
      </w:r>
      <w:r w:rsidRPr="57B1279F" w:rsidR="4C5B749F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evidence of Erikson’s model. </w:t>
      </w:r>
    </w:p>
    <w:p w:rsidR="6A8F6365" w:rsidP="72D2A45D" w:rsidRDefault="6A8F6365" w14:paraId="4F689A5F" w14:textId="7FFC79AF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  <w:r w:rsidRPr="72D2A45D" w:rsidR="6A8F6365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  <w:t xml:space="preserve">Critical Comment: </w:t>
      </w:r>
      <w:r w:rsidRPr="72D2A45D" w:rsidR="6A8F636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By </w:t>
      </w:r>
      <w:r w:rsidRPr="72D2A45D" w:rsidR="6A8F636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demonstrating</w:t>
      </w:r>
      <w:r w:rsidRPr="72D2A45D" w:rsidR="6A8F636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that resolution at an earlier stage is predictive of well-being </w:t>
      </w:r>
      <w:r w:rsidRPr="72D2A45D" w:rsidR="72D7FD1C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later</w:t>
      </w:r>
      <w:r w:rsidRPr="72D2A45D" w:rsidR="6A8F636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</w:t>
      </w:r>
      <w:r w:rsidRPr="72D2A45D" w:rsidR="30363D4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in </w:t>
      </w:r>
      <w:r w:rsidRPr="72D2A45D" w:rsidR="6A8F636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life</w:t>
      </w:r>
      <w:r w:rsidRPr="72D2A45D" w:rsidR="7FC4CA2F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, this source empowers </w:t>
      </w:r>
      <w:r w:rsidRPr="72D2A45D" w:rsidR="7FC4CA2F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Eriksonian</w:t>
      </w:r>
      <w:r w:rsidRPr="72D2A45D" w:rsidR="7FC4CA2F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practise by supporting the importance of psychosocial histor</w:t>
      </w:r>
      <w:r w:rsidRPr="72D2A45D" w:rsidR="62D7C39E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ies in the assessment of care. One of these limitations is the </w:t>
      </w:r>
      <w:r w:rsidRPr="72D2A45D" w:rsidR="62D7C39E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mainly white</w:t>
      </w:r>
      <w:r w:rsidRPr="72D2A45D" w:rsidR="62D7C39E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and male group that is highly educated, which limits the generalisability to the</w:t>
      </w:r>
      <w:r w:rsidRPr="72D2A45D" w:rsidR="3DD7BAFF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diverse populations in the UK residential care. </w:t>
      </w:r>
    </w:p>
    <w:p w:rsidR="48A0F0A0" w:rsidP="72D2A45D" w:rsidRDefault="48A0F0A0" w14:paraId="2243A0E1" w14:textId="2B5EE641">
      <w:pPr>
        <w:pStyle w:val="Normal"/>
        <w:jc w:val="left"/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</w:pPr>
      <w:r w:rsidRPr="72D2A45D" w:rsidR="48A0F0A0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  <w:t>Source 3: Theory of Planned Behaviour (Seminal)</w:t>
      </w:r>
    </w:p>
    <w:p w:rsidR="48A0F0A0" w:rsidP="72D2A45D" w:rsidRDefault="48A0F0A0" w14:paraId="4F38B7A0" w14:textId="668AB768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  <w:r w:rsidRPr="72D2A45D" w:rsidR="48A0F0A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Ajzen, I. (1991) ‘The theory of planned behaviour’, </w:t>
      </w:r>
      <w:r w:rsidRPr="72D2A45D" w:rsidR="48A0F0A0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>Organisational Behaviour</w:t>
      </w:r>
      <w:r w:rsidRPr="72D2A45D" w:rsidR="7A26858F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 and Human Decision </w:t>
      </w:r>
      <w:r w:rsidRPr="72D2A45D" w:rsidR="7A26858F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>Processes,</w:t>
      </w:r>
      <w:r w:rsidRPr="72D2A45D" w:rsidR="7A26858F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 50</w:t>
      </w:r>
      <w:r w:rsidRPr="72D2A45D" w:rsidR="7A26858F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(2), pp.  179-211. </w:t>
      </w:r>
      <w:hyperlink r:id="R690670817d5344c4">
        <w:r w:rsidRPr="72D2A45D" w:rsidR="7A26858F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z w:val="22"/>
            <w:szCs w:val="22"/>
          </w:rPr>
          <w:t>https://doi</w:t>
        </w:r>
        <w:r w:rsidRPr="72D2A45D" w:rsidR="36EBFDFF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z w:val="22"/>
            <w:szCs w:val="22"/>
          </w:rPr>
          <w:t>.org/10.1016/0749-5978(91)90020-T</w:t>
        </w:r>
      </w:hyperlink>
      <w:r w:rsidRPr="72D2A45D" w:rsidR="36EBFDFF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</w:t>
      </w:r>
    </w:p>
    <w:p w:rsidR="68A6D786" w:rsidP="57B1279F" w:rsidRDefault="68A6D786" w14:paraId="0950E2A2" w14:textId="0B540A0F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  <w:r w:rsidRPr="57B1279F" w:rsidR="4F998059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  <w:t xml:space="preserve">Summary: </w:t>
      </w:r>
      <w:r w:rsidRPr="57B1279F" w:rsidR="4F99805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the background article by Ajzen presents the Theory of Planned Beh</w:t>
      </w:r>
      <w:r w:rsidRPr="57B1279F" w:rsidR="72F916EC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aviour (TPB), such that intention forecasts behaviour, which is supported by three components, which include attitude </w:t>
      </w:r>
      <w:r w:rsidRPr="57B1279F" w:rsidR="145821E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to the behaviour, perceived social pressure (subjective norms), and perceived behavioural cont</w:t>
      </w:r>
      <w:r w:rsidRPr="57B1279F" w:rsidR="3BBDF3D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rol (certainly to do the behaviour). </w:t>
      </w:r>
      <w:r w:rsidRPr="57B1279F" w:rsidR="6C71FEE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The theory also developed from the Theory of Reasoned Action and includes the idea of perceived control, meaning how confident a perso</w:t>
      </w:r>
      <w:r w:rsidRPr="57B1279F" w:rsidR="0E815FD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n feels about doing a behaviour.</w:t>
      </w:r>
    </w:p>
    <w:p w:rsidR="66271113" w:rsidP="72D2A45D" w:rsidRDefault="66271113" w14:paraId="22C30B33" w14:textId="5D0EB574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  <w:r w:rsidRPr="72D2A45D" w:rsidR="66271113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  <w:t xml:space="preserve">Critical Comment: </w:t>
      </w:r>
      <w:r w:rsidRPr="72D2A45D" w:rsidR="6627111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TPB gives care providers a systematic </w:t>
      </w:r>
      <w:r w:rsidRPr="72D2A45D" w:rsidR="5372D98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model for learning the causes of older adults losing interest in health-promoting activities. Specific intervention may be promoted by</w:t>
      </w:r>
      <w:r w:rsidRPr="72D2A45D" w:rsidR="269823C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</w:t>
      </w:r>
      <w:r w:rsidRPr="72D2A45D" w:rsidR="269823C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determining</w:t>
      </w:r>
      <w:r w:rsidRPr="72D2A45D" w:rsidR="269823C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what </w:t>
      </w:r>
      <w:r w:rsidRPr="72D2A45D" w:rsidR="73CC5B9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element</w:t>
      </w:r>
      <w:r w:rsidRPr="72D2A45D" w:rsidR="269823C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, </w:t>
      </w:r>
      <w:r w:rsidRPr="72D2A45D" w:rsidR="244001F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attitude.</w:t>
      </w:r>
      <w:r w:rsidRPr="72D2A45D" w:rsidR="269823C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Norms or perceived control is the chief barrier. The </w:t>
      </w:r>
      <w:r w:rsidRPr="72D2A45D" w:rsidR="52926B8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first weakness is that TPB assumes that it is rationalistic, and this may not be the case with the dementia or depressed residents. </w:t>
      </w:r>
    </w:p>
    <w:p w:rsidR="0091F6E8" w:rsidP="72D2A45D" w:rsidRDefault="0091F6E8" w14:paraId="047F9A2B" w14:textId="7207751E">
      <w:pPr>
        <w:pStyle w:val="Normal"/>
        <w:jc w:val="left"/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</w:pPr>
      <w:r w:rsidRPr="72D2A45D" w:rsidR="0091F6E8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  <w:t>Source 4: Theory of Planned Behaviour (Applied in Nursing Home Setting)</w:t>
      </w:r>
    </w:p>
    <w:p w:rsidR="2288486B" w:rsidP="72D2A45D" w:rsidRDefault="2288486B" w14:paraId="488256FE" w14:textId="3D8EC98A">
      <w:pPr>
        <w:pStyle w:val="Normal"/>
        <w:jc w:val="left"/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</w:pPr>
      <w:r w:rsidRPr="72D2A45D" w:rsidR="2288486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Ghahremani, L., </w:t>
      </w:r>
      <w:r w:rsidRPr="72D2A45D" w:rsidR="2288486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Niknami</w:t>
      </w:r>
      <w:r w:rsidRPr="72D2A45D" w:rsidR="2288486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, S. and Nazari, M. (2012) ‘The predic</w:t>
      </w:r>
      <w:r w:rsidRPr="72D2A45D" w:rsidR="3BD3B46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t</w:t>
      </w:r>
      <w:r w:rsidRPr="72D2A45D" w:rsidR="2288486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ion of phy</w:t>
      </w:r>
      <w:r w:rsidRPr="72D2A45D" w:rsidR="25FADBC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sical activity in</w:t>
      </w:r>
      <w:r w:rsidRPr="72D2A45D" w:rsidR="2054402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tention and behaviour in elderly male residents of a nursing home: a comparison of two behavioural </w:t>
      </w:r>
      <w:r w:rsidRPr="72D2A45D" w:rsidR="2054402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theories</w:t>
      </w:r>
      <w:r w:rsidRPr="72D2A45D" w:rsidR="207669D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’</w:t>
      </w:r>
      <w:r w:rsidRPr="72D2A45D" w:rsidR="207669D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. </w:t>
      </w:r>
      <w:r w:rsidRPr="72D2A45D" w:rsidR="207669D1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>Iranian  Journal</w:t>
      </w:r>
      <w:r w:rsidRPr="72D2A45D" w:rsidR="207669D1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  </w:t>
      </w:r>
      <w:r w:rsidRPr="72D2A45D" w:rsidR="207669D1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>of  Medical</w:t>
      </w:r>
      <w:r w:rsidRPr="72D2A45D" w:rsidR="207669D1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  </w:t>
      </w:r>
      <w:r w:rsidRPr="72D2A45D" w:rsidR="207669D1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Sciences,  </w:t>
      </w:r>
      <w:r w:rsidRPr="72D2A45D" w:rsidR="207669D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37</w:t>
      </w:r>
      <w:r w:rsidRPr="72D2A45D" w:rsidR="207669D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(1).   pp.   23-3</w:t>
      </w:r>
      <w:r w:rsidRPr="72D2A45D" w:rsidR="7052400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1</w:t>
      </w:r>
      <w:r w:rsidRPr="72D2A45D" w:rsidR="7A121ECE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. </w:t>
      </w:r>
      <w:hyperlink r:id="R4c5ac8254f73493f">
        <w:r w:rsidRPr="72D2A45D" w:rsidR="7A121ECE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z w:val="22"/>
            <w:szCs w:val="22"/>
          </w:rPr>
          <w:t>https://pmc.ncbi.nlm.nih.gov/articles/PMC3470291/</w:t>
        </w:r>
      </w:hyperlink>
      <w:r w:rsidRPr="72D2A45D" w:rsidR="7A121ECE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</w:t>
      </w:r>
    </w:p>
    <w:p w:rsidR="320223C5" w:rsidP="57B1279F" w:rsidRDefault="320223C5" w14:paraId="5774BD63" w14:textId="4E9C98FA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  <w:r w:rsidRPr="57B1279F" w:rsidR="547440C9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  <w:t xml:space="preserve">Summary: </w:t>
      </w:r>
      <w:r w:rsidRPr="57B1279F" w:rsidR="547440C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The research is a cross-sectional study that used </w:t>
      </w:r>
      <w:r w:rsidRPr="57B1279F" w:rsidR="3435769C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the Theory of Planned Behaviour (TPB) and self-efficacy, and the aut</w:t>
      </w:r>
      <w:r w:rsidRPr="57B1279F" w:rsidR="24B4780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hors tried to predict physical activity intention and behaviour in a sample of 120 older male residents in Tehran nursing ho</w:t>
      </w:r>
      <w:r w:rsidRPr="57B1279F" w:rsidR="156AE53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mes. </w:t>
      </w:r>
      <w:r w:rsidRPr="57B1279F" w:rsidR="35B123B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The researchers used statistical analysis and found that positive attitudes were the strongest predictor of </w:t>
      </w:r>
      <w:r w:rsidRPr="57B1279F" w:rsidR="3188941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whether residents intend to be physically active </w:t>
      </w:r>
      <w:r w:rsidRPr="57B1279F" w:rsidR="3689C14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a</w:t>
      </w:r>
      <w:r w:rsidRPr="57B1279F" w:rsidR="2E00E7D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nd the significantly stronger predictor of the actual behaviour rather than the perceived behavioural control, but can </w:t>
      </w:r>
      <w:r w:rsidRPr="57B1279F" w:rsidR="037B29E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only bring an incremental 5.6 percentage point of the predicted variance of the </w:t>
      </w:r>
      <w:r w:rsidRPr="57B1279F" w:rsidR="40E3E7B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TPB variables. Research gives a conclusion that an intervention can be </w:t>
      </w:r>
      <w:r w:rsidRPr="57B1279F" w:rsidR="40E3E7B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determined</w:t>
      </w:r>
      <w:r w:rsidRPr="57B1279F" w:rsidR="40E3E7B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based on the attitudinal beliefs and self-</w:t>
      </w:r>
      <w:r w:rsidRPr="57B1279F" w:rsidR="3E18F6A8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efficacy, or both mentioned factors, that are best in promoting the activity among older nursing home residents.</w:t>
      </w:r>
    </w:p>
    <w:p w:rsidR="57741591" w:rsidP="72D2A45D" w:rsidRDefault="57741591" w14:paraId="6CD661C2" w14:textId="2406329D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  <w:r w:rsidRPr="72D2A45D" w:rsidR="57741591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  <w:t xml:space="preserve">Critical Comment: </w:t>
      </w:r>
      <w:r w:rsidRPr="72D2A45D" w:rsidR="5774159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The source can be directly used in the residential care context since it is conducted to test TPB in a </w:t>
      </w:r>
      <w:r w:rsidRPr="72D2A45D" w:rsidR="18B6468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real nursing population, and its results are more ecologically valid compared to community-based research. These finding that self-efficacy</w:t>
      </w:r>
      <w:r w:rsidRPr="72D2A45D" w:rsidR="3AC6674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has a predictive relationship with physical activity behaviour that cannot be explained by TPB alone have evident practical </w:t>
      </w:r>
      <w:r w:rsidRPr="72D2A45D" w:rsidR="094212BF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implications</w:t>
      </w:r>
      <w:r w:rsidRPr="72D2A45D" w:rsidR="3AC6674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: care pro</w:t>
      </w:r>
      <w:r w:rsidRPr="72D2A45D" w:rsidR="1E6B30E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fessionals are advised </w:t>
      </w:r>
      <w:r w:rsidRPr="72D2A45D" w:rsidR="4611FED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to focus not only on the alteration of attitude of residents towards the physical activity, but also on the development</w:t>
      </w:r>
      <w:r w:rsidRPr="72D2A45D" w:rsidR="749DB28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of confidence through the graded activities and peer support. The primary weakness is that the sample is homogeneous and</w:t>
      </w:r>
      <w:r w:rsidRPr="72D2A45D" w:rsidR="7F038B3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the location is solely Iranian, which limits generalisation to the diverse gender and cultural makeup of UK residential care homes. </w:t>
      </w:r>
    </w:p>
    <w:p w:rsidR="3CC8A4F6" w:rsidP="72D2A45D" w:rsidRDefault="3CC8A4F6" w14:paraId="5E1C43C4" w14:textId="6C60A026">
      <w:pPr>
        <w:pStyle w:val="Normal"/>
        <w:jc w:val="left"/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</w:pPr>
      <w:r w:rsidRPr="72D2A45D" w:rsidR="3CC8A4F6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  <w:t>Part B: Short Report</w:t>
      </w:r>
    </w:p>
    <w:p w:rsidR="3CC8A4F6" w:rsidP="72D2A45D" w:rsidRDefault="3CC8A4F6" w14:paraId="51862B5E" w14:textId="10F57AFF">
      <w:pPr>
        <w:pStyle w:val="Normal"/>
        <w:jc w:val="left"/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</w:pPr>
      <w:r w:rsidRPr="72D2A45D" w:rsidR="3CC8A4F6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  <w:t>Introduction</w:t>
      </w:r>
    </w:p>
    <w:p w:rsidR="3CC8A4F6" w:rsidP="57B1279F" w:rsidRDefault="3CC8A4F6" w14:paraId="27572ACA" w14:textId="7B85EEE6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  <w:r w:rsidRPr="57B1279F" w:rsidR="317C67F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The report is written for health and social care practitioners </w:t>
      </w:r>
      <w:r w:rsidRPr="57B1279F" w:rsidR="317C67F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operating</w:t>
      </w:r>
      <w:r w:rsidRPr="57B1279F" w:rsidR="317C67F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in residential care facilities for older adults. The Theory </w:t>
      </w:r>
      <w:r w:rsidRPr="57B1279F" w:rsidR="190D6C3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of Planned Behaviour (TPB) developed by Ajzen (1991) offers an evidence-based model applicable to help residents </w:t>
      </w:r>
      <w:r w:rsidRPr="57B1279F" w:rsidR="14AE557C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participate</w:t>
      </w:r>
      <w:r w:rsidRPr="57B1279F" w:rsidR="14AE557C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in the health-promoting activities. Sedentary behaviour is a highly visible issue is residential care, where old people spend u</w:t>
      </w:r>
      <w:r w:rsidRPr="57B1279F" w:rsidR="651FFF2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p to 85 per cent of their non-sleep periods in sedentary positions with severe implications on mental health (Ba</w:t>
      </w:r>
      <w:r w:rsidRPr="57B1279F" w:rsidR="1A63308C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idya et al., 2024). </w:t>
      </w:r>
      <w:r w:rsidRPr="57B1279F" w:rsidR="7F30216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TPB helps </w:t>
      </w:r>
      <w:r w:rsidRPr="57B1279F" w:rsidR="7F30216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identify</w:t>
      </w:r>
      <w:r w:rsidRPr="57B1279F" w:rsidR="7F30216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attitude, social pressure, and confidence barriers that stop residents from taking part in activities,</w:t>
      </w:r>
      <w:r w:rsidRPr="57B1279F" w:rsidR="4F056EAC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</w:t>
      </w:r>
      <w:r w:rsidRPr="57B1279F" w:rsidR="4F056EAC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The report </w:t>
      </w:r>
      <w:r w:rsidRPr="57B1279F" w:rsidR="718BFC2A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describes</w:t>
      </w:r>
      <w:r w:rsidRPr="57B1279F" w:rsidR="4F056EAC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the application of the theory, provides a case scenario, and </w:t>
      </w:r>
      <w:r w:rsidRPr="57B1279F" w:rsidR="52CA896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discusses one of the professional challenges and a proposed strategy</w:t>
      </w:r>
      <w:r w:rsidRPr="57B1279F" w:rsidR="2138F28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.</w:t>
      </w:r>
    </w:p>
    <w:p w:rsidR="57B1279F" w:rsidP="57B1279F" w:rsidRDefault="57B1279F" w14:paraId="286C031E" w14:textId="1E750B0F">
      <w:pPr>
        <w:pStyle w:val="Normal"/>
        <w:jc w:val="left"/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</w:pPr>
    </w:p>
    <w:p w:rsidR="57B1279F" w:rsidP="57B1279F" w:rsidRDefault="57B1279F" w14:paraId="32BD9570" w14:textId="722B2AA0">
      <w:pPr>
        <w:pStyle w:val="Normal"/>
        <w:jc w:val="left"/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</w:pPr>
    </w:p>
    <w:p w:rsidR="458EA632" w:rsidP="6F2F3358" w:rsidRDefault="458EA632" w14:paraId="63F8BD33" w14:textId="48D06E73">
      <w:pPr>
        <w:pStyle w:val="Normal"/>
        <w:jc w:val="left"/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</w:pPr>
      <w:r w:rsidRPr="6F2F3358" w:rsidR="458EA632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  <w:t>Theory of Planned Behaviour in Residential Care</w:t>
      </w:r>
    </w:p>
    <w:p w:rsidR="458EA632" w:rsidP="6F2F3358" w:rsidRDefault="458EA632" w14:paraId="2E3D1360" w14:textId="39921BB7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  <w:r w:rsidRPr="6F2F3358" w:rsidR="458EA63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According to the Theory of Planned Behaviour</w:t>
      </w:r>
      <w:r w:rsidRPr="6F2F3358" w:rsidR="038C61D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</w:t>
      </w:r>
      <w:r w:rsidRPr="6F2F3358" w:rsidR="458EA63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(Ajzen, 1991),</w:t>
      </w:r>
      <w:r w:rsidRPr="6F2F3358" w:rsidR="7E34FD7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intention affects behaviour on three conditions: attitude (whether the behaviour is seen to be valuable or not), subjective norms (whether a </w:t>
      </w:r>
      <w:r w:rsidRPr="6F2F3358" w:rsidR="73849548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person</w:t>
      </w:r>
      <w:r w:rsidRPr="6F2F3358" w:rsidR="458EA63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</w:t>
      </w:r>
      <w:r w:rsidRPr="6F2F3358" w:rsidR="13C789D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believes she/he is expected to behave in such a way, and behavioural control (whether a person is certain about being able to </w:t>
      </w:r>
      <w:r w:rsidRPr="6F2F3358" w:rsidR="428BFEB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behave in such a way or not). The elderly are likely to isolate themselves in the activity programme under residential care because one or more elements </w:t>
      </w:r>
      <w:r w:rsidRPr="6F2F3358" w:rsidR="6D0580B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will be hampered. A resident may believe that exercise is out of his age </w:t>
      </w:r>
      <w:r w:rsidRPr="6F2F3358" w:rsidR="724CC99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category</w:t>
      </w:r>
      <w:r w:rsidRPr="6F2F3358" w:rsidR="6D0580B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(negative attitude), believe</w:t>
      </w:r>
      <w:r w:rsidRPr="6F2F3358" w:rsidR="650D924A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that </w:t>
      </w:r>
      <w:r w:rsidRPr="6F2F3358" w:rsidR="74423ED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the</w:t>
      </w:r>
      <w:r w:rsidRPr="6F2F3358" w:rsidR="650D924A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family does not care (week norm) </w:t>
      </w:r>
      <w:r w:rsidRPr="6F2F3358" w:rsidR="650D924A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a</w:t>
      </w:r>
      <w:r w:rsidRPr="6F2F3358" w:rsidR="24ACC3CF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n</w:t>
      </w:r>
      <w:r w:rsidRPr="6F2F3358" w:rsidR="650D924A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d</w:t>
      </w:r>
      <w:r w:rsidRPr="6F2F3358" w:rsidR="650D924A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that he physically cannot do it because he is sick (low perceived control).</w:t>
      </w:r>
    </w:p>
    <w:p w:rsidR="09FDEFAC" w:rsidP="57B1279F" w:rsidRDefault="09FDEFAC" w14:paraId="2089436D" w14:textId="6E7F4DF1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  <w:r w:rsidRPr="57B1279F" w:rsidR="3B4316A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C</w:t>
      </w:r>
      <w:r w:rsidRPr="57B1279F" w:rsidR="3846162F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are</w:t>
      </w:r>
      <w:r w:rsidRPr="57B1279F" w:rsidR="485D4DF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</w:t>
      </w:r>
      <w:r w:rsidRPr="57B1279F" w:rsidR="3B4316A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workers can </w:t>
      </w:r>
      <w:r w:rsidRPr="57B1279F" w:rsidR="3B4316A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identify</w:t>
      </w:r>
      <w:r w:rsidRPr="57B1279F" w:rsidR="3B4316A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which part of the theory is causing the problem and create support to help the resident. </w:t>
      </w:r>
      <w:r w:rsidRPr="57B1279F" w:rsidR="485D4DF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According to Ghahremani e</w:t>
      </w:r>
      <w:r w:rsidRPr="57B1279F" w:rsidR="6F69198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t al. (2012), perceived behavioural control is </w:t>
      </w:r>
      <w:r w:rsidRPr="57B1279F" w:rsidR="6F69198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most likely a</w:t>
      </w:r>
      <w:r w:rsidRPr="57B1279F" w:rsidR="6F69198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predictor of activity </w:t>
      </w:r>
      <w:r w:rsidRPr="57B1279F" w:rsidR="3BA414CE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participation among care home populations. Shi et al, (2025) also </w:t>
      </w:r>
      <w:r w:rsidRPr="57B1279F" w:rsidR="3BA414CE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demonstrate</w:t>
      </w:r>
      <w:r w:rsidRPr="57B1279F" w:rsidR="3BA414CE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that the most stable </w:t>
      </w:r>
      <w:r w:rsidRPr="57B1279F" w:rsidR="58CF649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physical activity and wellbeing improvements in long-term care residents are produced by techniques that address self-efficacy – such as </w:t>
      </w:r>
      <w:r w:rsidRPr="57B1279F" w:rsidR="47F6A0F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goal setting</w:t>
      </w:r>
      <w:r w:rsidRPr="57B1279F" w:rsidR="58CF649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, gra</w:t>
      </w:r>
      <w:r w:rsidRPr="57B1279F" w:rsidR="15F76218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ded </w:t>
      </w:r>
      <w:r w:rsidRPr="57B1279F" w:rsidR="15F76218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tasks</w:t>
      </w:r>
      <w:r w:rsidRPr="57B1279F" w:rsidR="15F76218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and social modelling. </w:t>
      </w:r>
    </w:p>
    <w:p w:rsidR="3D54487A" w:rsidP="6F2F3358" w:rsidRDefault="3D54487A" w14:paraId="73137FAF" w14:textId="2F5D8F21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  <w:r w:rsidRPr="6F2F3358" w:rsidR="3D54487A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  <w:t>Case Scenario: Arthur, 79</w:t>
      </w:r>
    </w:p>
    <w:p w:rsidR="3B592ADE" w:rsidP="6F2F3358" w:rsidRDefault="3B592ADE" w14:paraId="7221661C" w14:textId="262496E2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  <w:r w:rsidRPr="6F2F3358" w:rsidR="3B592ADE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Mark</w:t>
      </w:r>
      <w:r w:rsidRPr="6F2F3358" w:rsidR="3D54487A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is a 7</w:t>
      </w:r>
      <w:r w:rsidRPr="6F2F3358" w:rsidR="5437437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6</w:t>
      </w:r>
      <w:r w:rsidRPr="6F2F3358" w:rsidR="3D54487A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-year-old </w:t>
      </w:r>
      <w:r w:rsidRPr="6F2F3358" w:rsidR="7B8263D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patient at a Cardiff care home admitted because of a stroke</w:t>
      </w:r>
      <w:r w:rsidRPr="6F2F3358" w:rsidR="33D547C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. Previously a daily walker and a bowls club member, he has claimed to feel unsteady and embarrassed in all group exercise. His </w:t>
      </w:r>
      <w:r w:rsidRPr="6F2F3358" w:rsidR="0B16F70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TPB disengagement is a manifestation of low perceived </w:t>
      </w:r>
      <w:r w:rsidRPr="6F2F3358" w:rsidR="551C291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behavioural</w:t>
      </w:r>
      <w:r w:rsidRPr="6F2F3358" w:rsidR="0B16F70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control and negative subjective norm; more important</w:t>
      </w:r>
      <w:r w:rsidRPr="6F2F3358" w:rsidR="491D295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ly, he is still </w:t>
      </w:r>
      <w:r w:rsidRPr="6F2F3358" w:rsidR="7A29ACB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positively</w:t>
      </w:r>
      <w:r w:rsidRPr="6F2F3358" w:rsidR="491D295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oriented towards activity in his attitude.</w:t>
      </w:r>
    </w:p>
    <w:p w:rsidR="6FA329B5" w:rsidP="6F2F3358" w:rsidRDefault="6FA329B5" w14:paraId="56EDE9C3" w14:textId="3DFD48D3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  <w:r w:rsidRPr="6F2F3358" w:rsidR="6FA329B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Regarding</w:t>
      </w:r>
      <w:r w:rsidRPr="6F2F3358" w:rsidR="6FA329B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assisted </w:t>
      </w:r>
      <w:r w:rsidRPr="6F2F3358" w:rsidR="3E80A35F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living</w:t>
      </w:r>
      <w:r w:rsidRPr="6F2F3358" w:rsidR="6FA329B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, Webster et al. (2023) have discovered that self-enhancing interventions – confirming the abilities of re</w:t>
      </w:r>
      <w:r w:rsidRPr="6F2F3358" w:rsidR="5C2083A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sidents and redefining ageing stereotypes – helped increase willingness to </w:t>
      </w:r>
      <w:r w:rsidRPr="6F2F3358" w:rsidR="5C2083A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participate</w:t>
      </w:r>
      <w:r w:rsidRPr="6F2F3358" w:rsidR="5C2083A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in physical activity in assisted living </w:t>
      </w:r>
      <w:r w:rsidRPr="6F2F3358" w:rsidR="7E564BC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significantly. Based on this, the care team of Mark</w:t>
      </w:r>
      <w:r w:rsidRPr="6F2F3358" w:rsidR="68FF66E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brought in a one-to-one walking programme that was led by </w:t>
      </w:r>
      <w:r w:rsidRPr="6F2F3358" w:rsidR="3D6E529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physiotherapy</w:t>
      </w:r>
      <w:r w:rsidRPr="6F2F3358" w:rsidR="68FF66E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, then introduced peer support group sessions once again. In e</w:t>
      </w:r>
      <w:r w:rsidRPr="6F2F3358" w:rsidR="3306458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ight weeks, there was an increase in the care records in terms of mood and Mark’s own report of feeling more like himself again. </w:t>
      </w:r>
    </w:p>
    <w:p w:rsidR="2B640541" w:rsidP="6F2F3358" w:rsidRDefault="2B640541" w14:paraId="4AC8BE03" w14:textId="284D900B">
      <w:pPr>
        <w:pStyle w:val="Normal"/>
        <w:jc w:val="left"/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</w:pPr>
      <w:r w:rsidRPr="6F2F3358" w:rsidR="2B640541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  <w:t>Strategic and Professional Challenge</w:t>
      </w:r>
    </w:p>
    <w:p w:rsidR="2B640541" w:rsidP="6F2F3358" w:rsidRDefault="2B640541" w14:paraId="29C39588" w14:textId="42708987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  <w:r w:rsidRPr="6F2F3358" w:rsidR="2B64054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Cognitive impairment is </w:t>
      </w:r>
      <w:r w:rsidRPr="6F2F3358" w:rsidR="2B64054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a serious problem</w:t>
      </w:r>
      <w:r w:rsidRPr="6F2F3358" w:rsidR="2B64054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. TPB assumes that one can</w:t>
      </w:r>
      <w:r w:rsidRPr="6F2F3358" w:rsidR="53A8534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evaluate their attitudes, </w:t>
      </w:r>
      <w:r w:rsidRPr="6F2F3358" w:rsidR="53A8534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norms</w:t>
      </w:r>
      <w:r w:rsidRPr="6F2F3358" w:rsidR="53A8534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and capabilities rationally. This is usually </w:t>
      </w:r>
      <w:r w:rsidRPr="6F2F3358" w:rsidR="53A8534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observed</w:t>
      </w:r>
      <w:r w:rsidRPr="6F2F3358" w:rsidR="53A8534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among the dementia or depressed residents (</w:t>
      </w:r>
      <w:r w:rsidRPr="6F2F3358" w:rsidR="53A8534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A</w:t>
      </w:r>
      <w:r w:rsidRPr="6F2F3358" w:rsidR="7913A1EF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jzen,  1991</w:t>
      </w:r>
      <w:r w:rsidRPr="6F2F3358" w:rsidR="7913A1EF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). As </w:t>
      </w:r>
      <w:r w:rsidRPr="6F2F3358" w:rsidR="7913A1EF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FitzGerald  et al.</w:t>
      </w:r>
      <w:r w:rsidRPr="6F2F3358" w:rsidR="7913A1EF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(2022) </w:t>
      </w:r>
      <w:r w:rsidRPr="6F2F3358" w:rsidR="23EAD6CF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emphasise</w:t>
      </w:r>
      <w:r w:rsidRPr="6F2F3358" w:rsidR="7913A1EF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, the susceptibility of older adults </w:t>
      </w:r>
      <w:r w:rsidRPr="6F2F3358" w:rsidR="75CD4218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to chronic low self-efficacy is the most relevant to residential care individuals, as perceived behavioural control might need a lasting rather than </w:t>
      </w:r>
      <w:r w:rsidRPr="6F2F3358" w:rsidR="75CD4218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a</w:t>
      </w:r>
      <w:r w:rsidRPr="6F2F3358" w:rsidR="75CD4218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on-ti</w:t>
      </w:r>
      <w:r w:rsidRPr="6F2F3358" w:rsidR="409BECA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me intervention. </w:t>
      </w:r>
    </w:p>
    <w:p w:rsidR="409BECAB" w:rsidP="57B1279F" w:rsidRDefault="409BECAB" w14:paraId="24244494" w14:textId="78DCC617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  <w:r w:rsidRPr="57B1279F" w:rsidR="5CB44A3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One helpful approach is to use both verbal questions and non-verbal observations when assessing residents</w:t>
      </w:r>
      <w:r w:rsidRPr="57B1279F" w:rsidR="38A3E5C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: facia</w:t>
      </w:r>
      <w:r w:rsidRPr="57B1279F" w:rsidR="1BFD524C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l expression, body </w:t>
      </w:r>
      <w:r w:rsidRPr="57B1279F" w:rsidR="1BFD524C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language</w:t>
      </w:r>
      <w:r w:rsidRPr="57B1279F" w:rsidR="1BFD524C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and spontaneous engagement, </w:t>
      </w:r>
      <w:r w:rsidRPr="57B1279F" w:rsidR="1EC04C5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to </w:t>
      </w:r>
      <w:r w:rsidRPr="57B1279F" w:rsidR="1EC04C5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determine</w:t>
      </w:r>
      <w:r w:rsidRPr="57B1279F" w:rsidR="1BFD524C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barriers without self-reporting. Baidya</w:t>
      </w:r>
      <w:r w:rsidRPr="57B1279F" w:rsidR="2FA0A8E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et al. (2024) suggest integrating the activity </w:t>
      </w:r>
      <w:r w:rsidRPr="57B1279F" w:rsidR="4144620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facilitation</w:t>
      </w:r>
      <w:r w:rsidRPr="57B1279F" w:rsidR="2FA0A8E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into the daily care process instead of conducting </w:t>
      </w:r>
      <w:r w:rsidRPr="57B1279F" w:rsidR="5E467D6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separate</w:t>
      </w:r>
      <w:r w:rsidRPr="57B1279F" w:rsidR="2FA0A8E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</w:t>
      </w:r>
      <w:r w:rsidRPr="57B1279F" w:rsidR="1D63B72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sessions</w:t>
      </w:r>
      <w:r w:rsidRPr="57B1279F" w:rsidR="2FA0A8E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an</w:t>
      </w:r>
      <w:r w:rsidRPr="57B1279F" w:rsidR="58F351A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d</w:t>
      </w:r>
      <w:r w:rsidRPr="57B1279F" w:rsidR="2FA0A8E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allevia</w:t>
      </w:r>
      <w:r w:rsidRPr="57B1279F" w:rsidR="6FFF89D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ting cognitive and motivational </w:t>
      </w:r>
      <w:r w:rsidRPr="57B1279F" w:rsidR="71D8E45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requirements but</w:t>
      </w:r>
      <w:r w:rsidRPr="57B1279F" w:rsidR="6FFF89D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be </w:t>
      </w:r>
      <w:r w:rsidRPr="57B1279F" w:rsidR="5EE29C6E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consistent with the person-centred principles of SCIE (2023).</w:t>
      </w:r>
    </w:p>
    <w:p w:rsidR="57B1279F" w:rsidP="57B1279F" w:rsidRDefault="57B1279F" w14:paraId="4C583629" w14:textId="20832727">
      <w:pPr>
        <w:pStyle w:val="Normal"/>
        <w:jc w:val="left"/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</w:pPr>
    </w:p>
    <w:p w:rsidR="2A3CE5B5" w:rsidP="6F2F3358" w:rsidRDefault="2A3CE5B5" w14:paraId="4267DEDF" w14:textId="02FC06B3">
      <w:pPr>
        <w:pStyle w:val="Normal"/>
        <w:jc w:val="left"/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</w:pPr>
      <w:r w:rsidRPr="57B1279F" w:rsidR="6A6C17D6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  <w:t xml:space="preserve">Conclusion </w:t>
      </w:r>
    </w:p>
    <w:p w:rsidR="2A3CE5B5" w:rsidP="57B1279F" w:rsidRDefault="2A3CE5B5" w14:paraId="40E0B008" w14:textId="571D007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  <w:r w:rsidRPr="57B1279F" w:rsidR="529A97B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The Theory of Planned Behaviour gives care professionals a clear model to understand why older adults may not take part in a</w:t>
      </w:r>
      <w:r w:rsidRPr="57B1279F" w:rsidR="6153763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ctivities and how they can support them.</w:t>
      </w:r>
      <w:r w:rsidRPr="57B1279F" w:rsidR="4073B22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Theory of Planned Behaviour can help them to do the right things in the right way at the right time </w:t>
      </w:r>
      <w:r w:rsidRPr="57B1279F" w:rsidR="5C8BEE1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to change the situation. The practitioners can provide truly pe</w:t>
      </w:r>
      <w:r w:rsidRPr="57B1279F" w:rsidR="450FE28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rsonalised interventions by recognising the main barrier, either attitude, subjective </w:t>
      </w:r>
      <w:r w:rsidRPr="57B1279F" w:rsidR="450FE28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norms</w:t>
      </w:r>
      <w:r w:rsidRPr="57B1279F" w:rsidR="450FE28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or perceived control</w:t>
      </w:r>
      <w:r w:rsidRPr="57B1279F" w:rsidR="35D5867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. The case of Mark shows that the results of theory-based, focused practise can be measured in well-being. The ability</w:t>
      </w:r>
      <w:r w:rsidRPr="57B1279F" w:rsidR="719F4B28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to alter TPB by applying observational techniques and strategies incorporated in the routine will make it relevant to the full spectrum of care home residents.</w:t>
      </w:r>
    </w:p>
    <w:p w:rsidR="68C6AF7C" w:rsidP="6F2F3358" w:rsidRDefault="68C6AF7C" w14:paraId="03576EC4" w14:textId="1869E3E9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  <w:r w:rsidRPr="6F2F3358" w:rsidR="68C6AF7C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  <w:t>Reference List</w:t>
      </w:r>
    </w:p>
    <w:p w:rsidR="0EF0FE83" w:rsidP="6F2F3358" w:rsidRDefault="0EF0FE83" w14:paraId="2D3EB90F" w14:textId="0C27A7FC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  <w:r w:rsidRPr="6F2F3358" w:rsidR="0EF0FE8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</w:t>
      </w:r>
      <w:r w:rsidRPr="6F2F3358" w:rsidR="7764047C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Ajzen,  I.</w:t>
      </w:r>
      <w:r w:rsidRPr="6F2F3358" w:rsidR="7764047C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(1991)</w:t>
      </w:r>
      <w:r w:rsidRPr="6F2F3358" w:rsidR="52F6128F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‘The theory of planned beh</w:t>
      </w:r>
      <w:r w:rsidRPr="6F2F3358" w:rsidR="40086F3E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aviour’, </w:t>
      </w:r>
      <w:r w:rsidRPr="6F2F3358" w:rsidR="40086F3E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>Organisational Behaviour and Human Decision Processes,</w:t>
      </w:r>
      <w:r w:rsidRPr="6F2F3358" w:rsidR="40086F3E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50(2</w:t>
      </w:r>
      <w:r w:rsidRPr="6F2F3358" w:rsidR="40086F3E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)</w:t>
      </w:r>
      <w:r w:rsidRPr="6F2F3358" w:rsidR="4A74BF6A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,  pp.</w:t>
      </w:r>
      <w:r w:rsidRPr="6F2F3358" w:rsidR="4A74BF6A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 179-211. </w:t>
      </w:r>
      <w:hyperlink r:id="R00be645b74974b68">
        <w:r w:rsidRPr="6F2F3358" w:rsidR="4A74BF6A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z w:val="22"/>
            <w:szCs w:val="22"/>
          </w:rPr>
          <w:t>https://doi.org/10.1016/0749-5978(91)90</w:t>
        </w:r>
        <w:r w:rsidRPr="6F2F3358" w:rsidR="655BD95F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z w:val="22"/>
            <w:szCs w:val="22"/>
          </w:rPr>
          <w:t>020-T</w:t>
        </w:r>
      </w:hyperlink>
      <w:r w:rsidRPr="6F2F3358" w:rsidR="655BD95F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. </w:t>
      </w:r>
    </w:p>
    <w:p w:rsidR="655BD95F" w:rsidP="6F2F3358" w:rsidRDefault="655BD95F" w14:paraId="41A63380" w14:textId="74E02B96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  <w:r w:rsidRPr="6F2F3358" w:rsidR="655BD95F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Baidya,  S.</w:t>
      </w:r>
      <w:r w:rsidRPr="6F2F3358" w:rsidR="655BD95F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, Connolly, C.  J., Peterson, J. M., Baldwin, C., Van den </w:t>
      </w:r>
      <w:r w:rsidRPr="6F2F3358" w:rsidR="655BD95F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Berg,  </w:t>
      </w:r>
      <w:r w:rsidRPr="6F2F3358" w:rsidR="2A493DB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M.</w:t>
      </w:r>
      <w:r w:rsidRPr="6F2F3358" w:rsidR="2A493DB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 E.  L., Harris, I. and </w:t>
      </w:r>
      <w:r w:rsidRPr="6F2F3358" w:rsidR="2A493DB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Lewis,  L.</w:t>
      </w:r>
      <w:r w:rsidRPr="6F2F3358" w:rsidR="2A493DB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 K. (2024</w:t>
      </w:r>
      <w:r w:rsidRPr="6F2F3358" w:rsidR="2A493DB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)  ‘</w:t>
      </w:r>
      <w:r w:rsidRPr="6F2F3358" w:rsidR="2A493DB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Barriers andfacilitators t</w:t>
      </w:r>
      <w:r w:rsidRPr="6F2F3358" w:rsidR="1E5E7348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o physical activity among older adults in residential aged care facilities: a mixed methods systematic review using the social </w:t>
      </w:r>
      <w:r w:rsidRPr="6F2F3358" w:rsidR="1A10BC1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ecological model’, </w:t>
      </w:r>
      <w:r w:rsidRPr="6F2F3358" w:rsidR="1A10BC12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>Journal of Aging and Health,</w:t>
      </w:r>
      <w:r w:rsidRPr="6F2F3358" w:rsidR="1A10BC1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36</w:t>
      </w:r>
      <w:r w:rsidRPr="6F2F3358" w:rsidR="602924EA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(9-10), pp. 687-706 </w:t>
      </w:r>
      <w:hyperlink r:id="R74dceab7c3a14e04">
        <w:r w:rsidRPr="6F2F3358" w:rsidR="602924EA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z w:val="22"/>
            <w:szCs w:val="22"/>
          </w:rPr>
          <w:t>https://doi.org/10.11</w:t>
        </w:r>
        <w:r w:rsidRPr="6F2F3358" w:rsidR="6AABB2C2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z w:val="22"/>
            <w:szCs w:val="22"/>
          </w:rPr>
          <w:t>77/08982643241302209</w:t>
        </w:r>
      </w:hyperlink>
    </w:p>
    <w:p w:rsidR="6AABB2C2" w:rsidP="6F2F3358" w:rsidRDefault="6AABB2C2" w14:paraId="1D14D63F" w14:textId="237BD8F5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  <w:r w:rsidRPr="6F2F3358" w:rsidR="6AABB2C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Erikson,  E.</w:t>
      </w:r>
      <w:r w:rsidRPr="6F2F3358" w:rsidR="6AABB2C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 H.  (1950). </w:t>
      </w:r>
      <w:r w:rsidRPr="6F2F3358" w:rsidR="6AABB2C2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 Childhood and Society.</w:t>
      </w:r>
      <w:r w:rsidRPr="6F2F3358" w:rsidR="6AABB2C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 W.  W.  Norton &amp;</w:t>
      </w:r>
      <w:r w:rsidRPr="6F2F3358" w:rsidR="37EAE68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Company. </w:t>
      </w:r>
      <w:hyperlink r:id="R3ea609166fa24cb5">
        <w:r w:rsidRPr="6F2F3358" w:rsidR="37EAE68D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z w:val="22"/>
            <w:szCs w:val="22"/>
          </w:rPr>
          <w:t>https://archive.org/details/chilhoodsociety00erik</w:t>
        </w:r>
      </w:hyperlink>
    </w:p>
    <w:p w:rsidR="37EAE68D" w:rsidP="6F2F3358" w:rsidRDefault="37EAE68D" w14:paraId="75CDFEB8" w14:textId="3BE64871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  <w:r w:rsidRPr="6F2F3358" w:rsidR="37EAE68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FitzGerald,  J.</w:t>
      </w:r>
      <w:r w:rsidRPr="6F2F3358" w:rsidR="37EAE68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, </w:t>
      </w:r>
      <w:r w:rsidRPr="6F2F3358" w:rsidR="37EAE68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Wells,  Y.</w:t>
      </w:r>
      <w:r w:rsidRPr="6F2F3358" w:rsidR="37EAE68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 D. and </w:t>
      </w:r>
      <w:r w:rsidRPr="6F2F3358" w:rsidR="37EAE68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Ellis,  J.</w:t>
      </w:r>
      <w:r w:rsidRPr="6F2F3358" w:rsidR="37EAE68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 M.  (2022) ‘Psychosocial modifica</w:t>
      </w:r>
      <w:r w:rsidRPr="6F2F3358" w:rsidR="768EB5F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tion of general self-efficacy in older adults: a restricted review’, </w:t>
      </w:r>
      <w:r w:rsidRPr="6F2F3358" w:rsidR="768EB5FD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>Austra</w:t>
      </w:r>
      <w:r w:rsidRPr="6F2F3358" w:rsidR="47B2DDEA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>la</w:t>
      </w:r>
      <w:r w:rsidRPr="6F2F3358" w:rsidR="768EB5FD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sian Journal on </w:t>
      </w:r>
      <w:r w:rsidRPr="6F2F3358" w:rsidR="6B2633C9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Ageing,  </w:t>
      </w:r>
      <w:r w:rsidRPr="6F2F3358" w:rsidR="6B2633C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41</w:t>
      </w:r>
      <w:r w:rsidRPr="6F2F3358" w:rsidR="6B2633C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(3</w:t>
      </w:r>
      <w:r w:rsidRPr="6F2F3358" w:rsidR="6B2633C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),  pp.</w:t>
      </w:r>
      <w:r w:rsidRPr="6F2F3358" w:rsidR="6B2633C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 e210-e226. </w:t>
      </w:r>
      <w:hyperlink r:id="Rf3241e61e73b4796">
        <w:r w:rsidRPr="6F2F3358" w:rsidR="6B2633C9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z w:val="22"/>
            <w:szCs w:val="22"/>
          </w:rPr>
          <w:t>https://doi.org/10.1111/ajag.13052</w:t>
        </w:r>
      </w:hyperlink>
    </w:p>
    <w:p w:rsidR="1FEBC35F" w:rsidP="6F2F3358" w:rsidRDefault="1FEBC35F" w14:paraId="5DACD268" w14:textId="2DFE312B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  <w:r w:rsidRPr="6F2F3358" w:rsidR="1FEBC35F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Ghahremani,  L.</w:t>
      </w:r>
      <w:r w:rsidRPr="6F2F3358" w:rsidR="1FEBC35F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, </w:t>
      </w:r>
      <w:r w:rsidRPr="6F2F3358" w:rsidR="1FEBC35F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Niknami</w:t>
      </w:r>
      <w:r w:rsidRPr="6F2F3358" w:rsidR="1FEBC35F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, S. and Nazari, M. (2012) ‘The prediction of physi</w:t>
      </w:r>
      <w:r w:rsidRPr="6F2F3358" w:rsidR="5546493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cal activity intention and behaviour in elderly male residents of a nursing home: a comparison of two behavioural </w:t>
      </w:r>
      <w:r w:rsidRPr="6F2F3358" w:rsidR="27766A1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theories’, </w:t>
      </w:r>
      <w:r w:rsidRPr="6F2F3358" w:rsidR="27766A15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>Iranian  Journal</w:t>
      </w:r>
      <w:r w:rsidRPr="6F2F3358" w:rsidR="27766A15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  </w:t>
      </w:r>
      <w:r w:rsidRPr="6F2F3358" w:rsidR="27766A15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>of  Medical</w:t>
      </w:r>
      <w:r w:rsidRPr="6F2F3358" w:rsidR="27766A15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  </w:t>
      </w:r>
      <w:r w:rsidRPr="6F2F3358" w:rsidR="27766A15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Sciences,   </w:t>
      </w:r>
      <w:r w:rsidRPr="6F2F3358" w:rsidR="27766A1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37(1</w:t>
      </w:r>
      <w:r w:rsidRPr="6F2F3358" w:rsidR="27766A1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),   </w:t>
      </w:r>
      <w:r w:rsidRPr="6F2F3358" w:rsidR="27766A1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pp.   23</w:t>
      </w:r>
      <w:r w:rsidRPr="6F2F3358" w:rsidR="30ADF54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-32. </w:t>
      </w:r>
      <w:hyperlink r:id="R5e302fc4be314f06">
        <w:r w:rsidRPr="6F2F3358" w:rsidR="30ADF543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z w:val="22"/>
            <w:szCs w:val="22"/>
          </w:rPr>
          <w:t>https://pmc.ncbi.nlm.nih.gov/articles/PMC3470291</w:t>
        </w:r>
        <w:r w:rsidRPr="6F2F3358" w:rsidR="0573F718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z w:val="22"/>
            <w:szCs w:val="22"/>
          </w:rPr>
          <w:t>/</w:t>
        </w:r>
      </w:hyperlink>
    </w:p>
    <w:p w:rsidR="0573F718" w:rsidP="6F2F3358" w:rsidRDefault="0573F718" w14:paraId="092FADCF" w14:textId="28BB4324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  <w:r w:rsidRPr="6F2F3358" w:rsidR="0573F718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Malone, J. C., Liu, S. R., Vaillant, G. E., Rentz, D. M. and W</w:t>
      </w:r>
      <w:r w:rsidRPr="6F2F3358" w:rsidR="4F0F48D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aldinger, R. J. (2022) ‘Midlife </w:t>
      </w:r>
      <w:r w:rsidRPr="6F2F3358" w:rsidR="4F0F48D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E</w:t>
      </w:r>
      <w:r w:rsidRPr="6F2F3358" w:rsidR="0749866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riksonian</w:t>
      </w:r>
      <w:r w:rsidRPr="6F2F3358" w:rsidR="0749866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psychosocial development: Setting </w:t>
      </w:r>
      <w:r w:rsidRPr="6F2F3358" w:rsidR="0749866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the  stage</w:t>
      </w:r>
      <w:r w:rsidRPr="6F2F3358" w:rsidR="0749866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 </w:t>
      </w:r>
      <w:r w:rsidRPr="6F2F3358" w:rsidR="0749866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for  late</w:t>
      </w:r>
      <w:r w:rsidRPr="6F2F3358" w:rsidR="0749866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-</w:t>
      </w:r>
      <w:r w:rsidRPr="6F2F3358" w:rsidR="0749866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life  cognitive</w:t>
      </w:r>
      <w:r w:rsidRPr="6F2F3358" w:rsidR="0749866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 </w:t>
      </w:r>
      <w:r w:rsidRPr="6F2F3358" w:rsidR="0749866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and  emotional</w:t>
      </w:r>
      <w:r w:rsidRPr="6F2F3358" w:rsidR="0749866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 health</w:t>
      </w:r>
      <w:r w:rsidRPr="6F2F3358" w:rsidR="2D5FF2C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’, </w:t>
      </w:r>
      <w:r w:rsidRPr="6F2F3358" w:rsidR="2D5FF2C5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Developmental   </w:t>
      </w:r>
      <w:r w:rsidRPr="6F2F3358" w:rsidR="2D5FF2C5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Psychology,   </w:t>
      </w:r>
      <w:r w:rsidRPr="6F2F3358" w:rsidR="2D5FF2C5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 </w:t>
      </w:r>
      <w:r w:rsidRPr="6F2F3358" w:rsidR="2D5FF2C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58(6</w:t>
      </w:r>
      <w:r w:rsidRPr="6F2F3358" w:rsidR="2D5FF2C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),   </w:t>
      </w:r>
      <w:r w:rsidRPr="6F2F3358" w:rsidR="2D5FF2C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pp.   1009-</w:t>
      </w:r>
      <w:r w:rsidRPr="6F2F3358" w:rsidR="270192AA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1023. </w:t>
      </w:r>
      <w:hyperlink r:id="R8b62432461c04938">
        <w:r w:rsidRPr="6F2F3358" w:rsidR="270192AA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z w:val="22"/>
            <w:szCs w:val="22"/>
          </w:rPr>
          <w:t>Https://doi.org/10.1037/dev0001339</w:t>
        </w:r>
      </w:hyperlink>
    </w:p>
    <w:p w:rsidR="1AA5E090" w:rsidP="6F2F3358" w:rsidRDefault="1AA5E090" w14:paraId="7119D75A" w14:textId="7D5F282A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lang w:val="en-US"/>
        </w:rPr>
      </w:pPr>
      <w:r w:rsidRPr="6F2F3358" w:rsidR="1AA5E09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lang w:val="en-US"/>
        </w:rPr>
        <w:t>Shi,  Y.</w:t>
      </w:r>
      <w:r w:rsidRPr="6F2F3358" w:rsidR="1AA5E09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lang w:val="en-US"/>
        </w:rPr>
        <w:t>,  Xie</w:t>
      </w:r>
      <w:r w:rsidRPr="6F2F3358" w:rsidR="1AA5E09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lang w:val="en-US"/>
        </w:rPr>
        <w:t>,  T.</w:t>
      </w:r>
      <w:r w:rsidRPr="6F2F3358" w:rsidR="1AA5E09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lang w:val="en-US"/>
        </w:rPr>
        <w:t>,  Xie</w:t>
      </w:r>
      <w:r w:rsidRPr="6F2F3358" w:rsidR="1AA5E09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lang w:val="en-US"/>
        </w:rPr>
        <w:t>,  X.</w:t>
      </w:r>
      <w:r w:rsidRPr="6F2F3358" w:rsidR="1AA5E09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lang w:val="en-US"/>
        </w:rPr>
        <w:t>,  Shao</w:t>
      </w:r>
      <w:r w:rsidRPr="6F2F3358" w:rsidR="1AA5E09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lang w:val="en-US"/>
        </w:rPr>
        <w:t>,  L.</w:t>
      </w:r>
      <w:r w:rsidRPr="6F2F3358" w:rsidR="1AA5E09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lang w:val="en-US"/>
        </w:rPr>
        <w:t>,  Lao</w:t>
      </w:r>
      <w:r w:rsidRPr="6F2F3358" w:rsidR="1AA5E09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lang w:val="en-US"/>
        </w:rPr>
        <w:t xml:space="preserve">, </w:t>
      </w:r>
      <w:r w:rsidRPr="6F2F3358" w:rsidR="1AA5E09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lang w:val="en-US"/>
        </w:rPr>
        <w:t>A.</w:t>
      </w:r>
      <w:r w:rsidRPr="6F2F3358" w:rsidR="1AA5E09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lang w:val="en-US"/>
        </w:rPr>
        <w:t xml:space="preserve"> and Zhang, J. (2025) ‘</w:t>
      </w:r>
      <w:r w:rsidRPr="6F2F3358" w:rsidR="58F8285E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lang w:val="en-US"/>
        </w:rPr>
        <w:t>Behaviour</w:t>
      </w:r>
      <w:r w:rsidRPr="6F2F3358" w:rsidR="58F8285E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lang w:val="en-US"/>
        </w:rPr>
        <w:t xml:space="preserve">  change techniques to increase physical activity among older adults living in long-term care fac</w:t>
      </w:r>
      <w:r w:rsidRPr="6F2F3358" w:rsidR="1B5D801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lang w:val="en-US"/>
        </w:rPr>
        <w:t xml:space="preserve">ilities: a systematic review’, </w:t>
      </w:r>
      <w:r w:rsidRPr="6F2F3358" w:rsidR="1B5D8013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  <w:lang w:val="en-US"/>
        </w:rPr>
        <w:t>Health  Psychology</w:t>
      </w:r>
      <w:r w:rsidRPr="6F2F3358" w:rsidR="1B5D8013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  <w:lang w:val="en-US"/>
        </w:rPr>
        <w:t xml:space="preserve">  and  </w:t>
      </w:r>
      <w:r w:rsidRPr="6F2F3358" w:rsidR="1B5D8013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  <w:lang w:val="en-US"/>
        </w:rPr>
        <w:t>Behavi</w:t>
      </w:r>
      <w:r w:rsidRPr="6F2F3358" w:rsidR="282E3B78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  <w:lang w:val="en-US"/>
        </w:rPr>
        <w:t>oural</w:t>
      </w:r>
      <w:r w:rsidRPr="6F2F3358" w:rsidR="282E3B78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  <w:lang w:val="en-US"/>
        </w:rPr>
        <w:t xml:space="preserve">  </w:t>
      </w:r>
      <w:r w:rsidRPr="6F2F3358" w:rsidR="282E3B78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  <w:lang w:val="en-US"/>
        </w:rPr>
        <w:t xml:space="preserve">Medicine, </w:t>
      </w:r>
      <w:r w:rsidRPr="6F2F3358" w:rsidR="282E3B78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lang w:val="en-US"/>
        </w:rPr>
        <w:t xml:space="preserve">  </w:t>
      </w:r>
      <w:r w:rsidRPr="6F2F3358" w:rsidR="282E3B78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lang w:val="en-US"/>
        </w:rPr>
        <w:t>13(1</w:t>
      </w:r>
      <w:r w:rsidRPr="6F2F3358" w:rsidR="282E3B78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lang w:val="en-US"/>
        </w:rPr>
        <w:t>),  article</w:t>
      </w:r>
      <w:r w:rsidRPr="6F2F3358" w:rsidR="282E3B78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lang w:val="en-US"/>
        </w:rPr>
        <w:t xml:space="preserve"> 241593</w:t>
      </w:r>
      <w:r w:rsidRPr="6F2F3358" w:rsidR="68C29FFC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lang w:val="en-US"/>
        </w:rPr>
        <w:t xml:space="preserve">7: </w:t>
      </w:r>
      <w:hyperlink r:id="Rc7847859e54647cb">
        <w:r w:rsidRPr="6F2F3358" w:rsidR="68C29FFC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z w:val="22"/>
            <w:szCs w:val="22"/>
            <w:lang w:val="en-US"/>
          </w:rPr>
          <w:t>https://doi.org/10.1080/21642850.2024.24159</w:t>
        </w:r>
        <w:r w:rsidRPr="6F2F3358" w:rsidR="41261CF3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z w:val="22"/>
            <w:szCs w:val="22"/>
            <w:lang w:val="en-US"/>
          </w:rPr>
          <w:t>37</w:t>
        </w:r>
      </w:hyperlink>
    </w:p>
    <w:p w:rsidR="41261CF3" w:rsidP="6F2F3358" w:rsidRDefault="41261CF3" w14:paraId="325E3BA2" w14:textId="159DEFCC">
      <w:pPr>
        <w:pStyle w:val="Normal"/>
        <w:jc w:val="left"/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  <w:lang w:val="en-US"/>
        </w:rPr>
      </w:pPr>
      <w:r w:rsidRPr="6F2F3358" w:rsidR="41261CF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lang w:val="en-US"/>
        </w:rPr>
        <w:t>Social  Care</w:t>
      </w:r>
      <w:r w:rsidRPr="6F2F3358" w:rsidR="41261CF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lang w:val="en-US"/>
        </w:rPr>
        <w:t xml:space="preserve">  </w:t>
      </w:r>
      <w:r w:rsidRPr="6F2F3358" w:rsidR="41261CF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lang w:val="en-US"/>
        </w:rPr>
        <w:t>Institute  for</w:t>
      </w:r>
      <w:r w:rsidRPr="6F2F3358" w:rsidR="41261CF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lang w:val="en-US"/>
        </w:rPr>
        <w:t xml:space="preserve">  </w:t>
      </w:r>
      <w:r w:rsidRPr="6F2F3358" w:rsidR="41261CF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lang w:val="en-US"/>
        </w:rPr>
        <w:t>Excellence  (</w:t>
      </w:r>
      <w:r w:rsidRPr="6F2F3358" w:rsidR="41261CF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lang w:val="en-US"/>
        </w:rPr>
        <w:t>SCIE)  (</w:t>
      </w:r>
      <w:r w:rsidRPr="6F2F3358" w:rsidR="41261CF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lang w:val="en-US"/>
        </w:rPr>
        <w:t>2023</w:t>
      </w:r>
      <w:r w:rsidRPr="6F2F3358" w:rsidR="41261CF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lang w:val="en-US"/>
        </w:rPr>
        <w:t xml:space="preserve">)  </w:t>
      </w:r>
      <w:r w:rsidRPr="6F2F3358" w:rsidR="18AE7B65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  <w:lang w:val="en-US"/>
        </w:rPr>
        <w:t>Dementia</w:t>
      </w:r>
      <w:r w:rsidRPr="6F2F3358" w:rsidR="18AE7B65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  <w:lang w:val="en-US"/>
        </w:rPr>
        <w:t>-friendly    activity:    guidance   for   care   homes.</w:t>
      </w:r>
    </w:p>
    <w:p w:rsidR="18AE7B65" w:rsidP="6F2F3358" w:rsidRDefault="18AE7B65" w14:paraId="0AEC21DD" w14:textId="309352BA">
      <w:pPr>
        <w:pStyle w:val="Normal"/>
        <w:jc w:val="left"/>
        <w:rPr>
          <w:i w:val="0"/>
          <w:iCs w:val="0"/>
        </w:rPr>
      </w:pPr>
      <w:r w:rsidRPr="6F2F3358" w:rsidR="18AE7B6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lang w:val="en-US"/>
        </w:rPr>
        <w:t xml:space="preserve"> </w:t>
      </w:r>
      <w:hyperlink r:id="R1fabffd8197649d6">
        <w:r w:rsidRPr="6F2F3358" w:rsidR="18AE7B65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z w:val="22"/>
            <w:szCs w:val="22"/>
            <w:lang w:val="en-US"/>
          </w:rPr>
          <w:t>https://</w:t>
        </w:r>
        <w:r w:rsidRPr="6F2F3358" w:rsidR="519C02BE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z w:val="22"/>
            <w:szCs w:val="22"/>
            <w:lang w:val="en-US"/>
          </w:rPr>
          <w:t>www.scie.org.uk/dementia/living-with-dementia/keeping-active/</w:t>
        </w:r>
      </w:hyperlink>
    </w:p>
    <w:p w:rsidR="2BBBD570" w:rsidP="6F2F3358" w:rsidRDefault="2BBBD570" w14:paraId="14198662" w14:textId="069F703D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lang w:val="en-US"/>
        </w:rPr>
      </w:pPr>
      <w:r w:rsidRPr="6F2F3358" w:rsidR="2BBBD57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lang w:val="en-US"/>
        </w:rPr>
        <w:t xml:space="preserve">Webster, K. E., Dent, </w:t>
      </w:r>
      <w:r w:rsidRPr="6F2F3358" w:rsidR="2BBBD57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lang w:val="en-US"/>
        </w:rPr>
        <w:t>E.</w:t>
      </w:r>
      <w:r w:rsidRPr="6F2F3358" w:rsidR="2BBBD57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lang w:val="en-US"/>
        </w:rPr>
        <w:t xml:space="preserve"> and Schwei, R. J. (2023) ‘Physical activity </w:t>
      </w:r>
      <w:r w:rsidRPr="6F2F3358" w:rsidR="2BBBD57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lang w:val="en-US"/>
        </w:rPr>
        <w:t>programmin</w:t>
      </w:r>
      <w:r w:rsidRPr="6F2F3358" w:rsidR="77F883A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lang w:val="en-US"/>
        </w:rPr>
        <w:t>g  for</w:t>
      </w:r>
      <w:r w:rsidRPr="6F2F3358" w:rsidR="77F883A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lang w:val="en-US"/>
        </w:rPr>
        <w:t xml:space="preserve">  </w:t>
      </w:r>
      <w:r w:rsidRPr="6F2F3358" w:rsidR="77F883A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lang w:val="en-US"/>
        </w:rPr>
        <w:t>older  adults</w:t>
      </w:r>
      <w:r w:rsidRPr="6F2F3358" w:rsidR="77F883A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lang w:val="en-US"/>
        </w:rPr>
        <w:t xml:space="preserve">  </w:t>
      </w:r>
      <w:r w:rsidRPr="6F2F3358" w:rsidR="77F883A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lang w:val="en-US"/>
        </w:rPr>
        <w:t>in  assisted</w:t>
      </w:r>
      <w:r w:rsidRPr="6F2F3358" w:rsidR="77F883A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lang w:val="en-US"/>
        </w:rPr>
        <w:t xml:space="preserve">  living:   residents’ perspectives</w:t>
      </w:r>
      <w:r w:rsidRPr="6F2F3358" w:rsidR="77F883A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lang w:val="en-US"/>
        </w:rPr>
        <w:t xml:space="preserve">’,  </w:t>
      </w:r>
      <w:r w:rsidRPr="6F2F3358" w:rsidR="77F883A5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  <w:lang w:val="en-US"/>
        </w:rPr>
        <w:t>Western</w:t>
      </w:r>
      <w:r w:rsidRPr="6F2F3358" w:rsidR="77F883A5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  <w:lang w:val="en-US"/>
        </w:rPr>
        <w:t xml:space="preserve">  </w:t>
      </w:r>
      <w:r w:rsidRPr="6F2F3358" w:rsidR="77F883A5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  <w:lang w:val="en-US"/>
        </w:rPr>
        <w:t>Journal  of</w:t>
      </w:r>
      <w:r w:rsidRPr="6F2F3358" w:rsidR="77F883A5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  <w:lang w:val="en-US"/>
        </w:rPr>
        <w:t xml:space="preserve">  </w:t>
      </w:r>
      <w:r w:rsidRPr="6F2F3358" w:rsidR="77F883A5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  <w:lang w:val="en-US"/>
        </w:rPr>
        <w:t>Nurs</w:t>
      </w:r>
      <w:r w:rsidRPr="6F2F3358" w:rsidR="3BFB4A0A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  <w:lang w:val="en-US"/>
        </w:rPr>
        <w:t>ing  Research</w:t>
      </w:r>
      <w:r w:rsidRPr="6F2F3358" w:rsidR="3BFB4A0A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  <w:lang w:val="en-US"/>
        </w:rPr>
        <w:t>,</w:t>
      </w:r>
      <w:r w:rsidRPr="6F2F3358" w:rsidR="3BFB4A0A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lang w:val="en-US"/>
        </w:rPr>
        <w:t xml:space="preserve">  45</w:t>
      </w:r>
      <w:r w:rsidRPr="6F2F3358" w:rsidR="3BFB4A0A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lang w:val="en-US"/>
        </w:rPr>
        <w:t>(2</w:t>
      </w:r>
      <w:r w:rsidRPr="6F2F3358" w:rsidR="3BFB4A0A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lang w:val="en-US"/>
        </w:rPr>
        <w:t>),  pp.</w:t>
      </w:r>
      <w:r w:rsidRPr="6F2F3358" w:rsidR="3BFB4A0A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lang w:val="en-US"/>
        </w:rPr>
        <w:t xml:space="preserve"> 105-</w:t>
      </w:r>
      <w:r w:rsidRPr="6F2F3358" w:rsidR="7B7233DA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lang w:val="en-US"/>
        </w:rPr>
        <w:t>116.</w:t>
      </w:r>
      <w:r w:rsidRPr="6F2F3358" w:rsidR="3BFB4A0A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lang w:val="en-US"/>
        </w:rPr>
        <w:t xml:space="preserve"> </w:t>
      </w:r>
      <w:hyperlink r:id="Rd8b1bbba953a40c2">
        <w:r w:rsidRPr="6F2F3358" w:rsidR="3BFB4A0A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z w:val="22"/>
            <w:szCs w:val="22"/>
            <w:lang w:val="en-US"/>
          </w:rPr>
          <w:t>https://doi.org/10.1177/</w:t>
        </w:r>
        <w:r w:rsidRPr="6F2F3358" w:rsidR="64B75627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z w:val="22"/>
            <w:szCs w:val="22"/>
            <w:lang w:val="en-US"/>
          </w:rPr>
          <w:t>01939459221107579</w:t>
        </w:r>
      </w:hyperlink>
      <w:r w:rsidRPr="6F2F3358" w:rsidR="64B7562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lang w:val="en-US"/>
        </w:rPr>
        <w:t xml:space="preserve"> </w:t>
      </w:r>
    </w:p>
    <w:p w:rsidR="6F2F3358" w:rsidP="6F2F3358" w:rsidRDefault="6F2F3358" w14:paraId="69DC3E4F" w14:textId="7ECEEC02">
      <w:pPr>
        <w:pStyle w:val="Normal"/>
        <w:jc w:val="left"/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  <w:lang w:val="en-US"/>
        </w:rPr>
      </w:pPr>
    </w:p>
    <w:p w:rsidR="6F2F3358" w:rsidP="6F2F3358" w:rsidRDefault="6F2F3358" w14:paraId="335E9976" w14:textId="735EC6B5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</w:p>
    <w:p w:rsidR="6F2F3358" w:rsidP="6F2F3358" w:rsidRDefault="6F2F3358" w14:paraId="52049F59" w14:textId="24546108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</w:p>
    <w:p w:rsidR="6F2F3358" w:rsidP="6F2F3358" w:rsidRDefault="6F2F3358" w14:paraId="29EFD03A" w14:textId="09B887F6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</w:p>
    <w:p w:rsidR="72D2A45D" w:rsidP="72D2A45D" w:rsidRDefault="72D2A45D" w14:paraId="33564D0E" w14:textId="0D6A7BE5">
      <w:pPr>
        <w:pStyle w:val="Normal"/>
        <w:jc w:val="center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72D2A45D" w:rsidP="72D2A45D" w:rsidRDefault="72D2A45D" w14:paraId="6A82A443" w14:textId="256C3D33">
      <w:pPr>
        <w:jc w:val="center"/>
        <w:rPr>
          <w:rFonts w:ascii="Arial" w:hAnsi="Arial" w:eastAsia="Arial" w:cs="Arial"/>
          <w:b w:val="1"/>
          <w:bCs w:val="1"/>
          <w:sz w:val="22"/>
          <w:szCs w:val="22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6C785E4"/>
    <w:rsid w:val="00690027"/>
    <w:rsid w:val="0091F6E8"/>
    <w:rsid w:val="00F50F6A"/>
    <w:rsid w:val="00FF467C"/>
    <w:rsid w:val="01EAAD99"/>
    <w:rsid w:val="01EDF2B8"/>
    <w:rsid w:val="023A45FD"/>
    <w:rsid w:val="029FF6C5"/>
    <w:rsid w:val="02A12B12"/>
    <w:rsid w:val="037B29EB"/>
    <w:rsid w:val="038C61DB"/>
    <w:rsid w:val="03CFBAED"/>
    <w:rsid w:val="04489CAD"/>
    <w:rsid w:val="045A05D2"/>
    <w:rsid w:val="045BA65A"/>
    <w:rsid w:val="04D29FA4"/>
    <w:rsid w:val="0573F718"/>
    <w:rsid w:val="05C71C50"/>
    <w:rsid w:val="064FAD80"/>
    <w:rsid w:val="068F04FB"/>
    <w:rsid w:val="0691EDE7"/>
    <w:rsid w:val="06B0C30A"/>
    <w:rsid w:val="070D481B"/>
    <w:rsid w:val="0719891D"/>
    <w:rsid w:val="07498667"/>
    <w:rsid w:val="08183C88"/>
    <w:rsid w:val="083ACD00"/>
    <w:rsid w:val="086AFE23"/>
    <w:rsid w:val="0915E8F8"/>
    <w:rsid w:val="094212BF"/>
    <w:rsid w:val="0954347E"/>
    <w:rsid w:val="0971217C"/>
    <w:rsid w:val="09A1F30C"/>
    <w:rsid w:val="09FC85BF"/>
    <w:rsid w:val="09FDEFAC"/>
    <w:rsid w:val="0A1D3826"/>
    <w:rsid w:val="0AE44D57"/>
    <w:rsid w:val="0B021C0F"/>
    <w:rsid w:val="0B16F704"/>
    <w:rsid w:val="0B2A0A74"/>
    <w:rsid w:val="0B525F7E"/>
    <w:rsid w:val="0BB72AF0"/>
    <w:rsid w:val="0BD75306"/>
    <w:rsid w:val="0BF7C3E7"/>
    <w:rsid w:val="0C12ED35"/>
    <w:rsid w:val="0D7982C2"/>
    <w:rsid w:val="0D93D4ED"/>
    <w:rsid w:val="0E5B789B"/>
    <w:rsid w:val="0E815FD1"/>
    <w:rsid w:val="0EF0FE83"/>
    <w:rsid w:val="0F4C08D1"/>
    <w:rsid w:val="0FD0FD5E"/>
    <w:rsid w:val="0FE10EF8"/>
    <w:rsid w:val="107FF14A"/>
    <w:rsid w:val="10974BD7"/>
    <w:rsid w:val="1099C807"/>
    <w:rsid w:val="10DA1A64"/>
    <w:rsid w:val="10F7CB62"/>
    <w:rsid w:val="114EC45D"/>
    <w:rsid w:val="11910D33"/>
    <w:rsid w:val="12095BF8"/>
    <w:rsid w:val="12262A55"/>
    <w:rsid w:val="12976609"/>
    <w:rsid w:val="12D95EC8"/>
    <w:rsid w:val="12F62382"/>
    <w:rsid w:val="130A7207"/>
    <w:rsid w:val="13A1AD53"/>
    <w:rsid w:val="13C789D2"/>
    <w:rsid w:val="1428DF55"/>
    <w:rsid w:val="145821E7"/>
    <w:rsid w:val="14AE557C"/>
    <w:rsid w:val="14CE7EC4"/>
    <w:rsid w:val="14E94AB7"/>
    <w:rsid w:val="15114FBF"/>
    <w:rsid w:val="152DB6F8"/>
    <w:rsid w:val="1548B4CB"/>
    <w:rsid w:val="156AE53B"/>
    <w:rsid w:val="15818684"/>
    <w:rsid w:val="1587CA15"/>
    <w:rsid w:val="158C9C2D"/>
    <w:rsid w:val="159CCA35"/>
    <w:rsid w:val="15F475BA"/>
    <w:rsid w:val="15F76218"/>
    <w:rsid w:val="16210168"/>
    <w:rsid w:val="1628A03F"/>
    <w:rsid w:val="1635F3E2"/>
    <w:rsid w:val="163ECFB4"/>
    <w:rsid w:val="16927A57"/>
    <w:rsid w:val="16C2825D"/>
    <w:rsid w:val="16C785E4"/>
    <w:rsid w:val="17180994"/>
    <w:rsid w:val="174AFCCB"/>
    <w:rsid w:val="17D9BB0B"/>
    <w:rsid w:val="18AE7B65"/>
    <w:rsid w:val="18B64683"/>
    <w:rsid w:val="18E0F748"/>
    <w:rsid w:val="190D6C31"/>
    <w:rsid w:val="19E5E5BA"/>
    <w:rsid w:val="1A10BC12"/>
    <w:rsid w:val="1A4D524A"/>
    <w:rsid w:val="1A63308C"/>
    <w:rsid w:val="1AA5E090"/>
    <w:rsid w:val="1AB804DD"/>
    <w:rsid w:val="1AC6E87C"/>
    <w:rsid w:val="1AEFA411"/>
    <w:rsid w:val="1B5D8013"/>
    <w:rsid w:val="1BFD524C"/>
    <w:rsid w:val="1D0155C5"/>
    <w:rsid w:val="1D068A62"/>
    <w:rsid w:val="1D63B72D"/>
    <w:rsid w:val="1D659A02"/>
    <w:rsid w:val="1DE4600F"/>
    <w:rsid w:val="1E048CD3"/>
    <w:rsid w:val="1E5E7348"/>
    <w:rsid w:val="1E6B30E4"/>
    <w:rsid w:val="1E71042C"/>
    <w:rsid w:val="1EC04C50"/>
    <w:rsid w:val="1F2E7E13"/>
    <w:rsid w:val="1F86251D"/>
    <w:rsid w:val="1FEBC35F"/>
    <w:rsid w:val="202B4F13"/>
    <w:rsid w:val="2054402B"/>
    <w:rsid w:val="205C35A5"/>
    <w:rsid w:val="20694EFB"/>
    <w:rsid w:val="2075A61B"/>
    <w:rsid w:val="207669D1"/>
    <w:rsid w:val="20CDC4F6"/>
    <w:rsid w:val="2138F284"/>
    <w:rsid w:val="218659F1"/>
    <w:rsid w:val="21A9B519"/>
    <w:rsid w:val="21D378C2"/>
    <w:rsid w:val="2214F51D"/>
    <w:rsid w:val="2288486B"/>
    <w:rsid w:val="23AEB1A8"/>
    <w:rsid w:val="23EAD6CF"/>
    <w:rsid w:val="244001F1"/>
    <w:rsid w:val="247B6615"/>
    <w:rsid w:val="247FE7B4"/>
    <w:rsid w:val="24ACC3CF"/>
    <w:rsid w:val="24B47809"/>
    <w:rsid w:val="24DFBC67"/>
    <w:rsid w:val="2524127A"/>
    <w:rsid w:val="25AD76F2"/>
    <w:rsid w:val="25DFF5BE"/>
    <w:rsid w:val="25FADBCB"/>
    <w:rsid w:val="26285B0E"/>
    <w:rsid w:val="267F0030"/>
    <w:rsid w:val="269823CD"/>
    <w:rsid w:val="269EA6CB"/>
    <w:rsid w:val="26E4C699"/>
    <w:rsid w:val="26EE1436"/>
    <w:rsid w:val="270192AA"/>
    <w:rsid w:val="27386C03"/>
    <w:rsid w:val="27766A15"/>
    <w:rsid w:val="282E3B78"/>
    <w:rsid w:val="28A20322"/>
    <w:rsid w:val="295E4CAC"/>
    <w:rsid w:val="2A1C18C9"/>
    <w:rsid w:val="2A3506D6"/>
    <w:rsid w:val="2A3CE5B5"/>
    <w:rsid w:val="2A493DB6"/>
    <w:rsid w:val="2A7D65E0"/>
    <w:rsid w:val="2AC219D8"/>
    <w:rsid w:val="2B2654D7"/>
    <w:rsid w:val="2B640541"/>
    <w:rsid w:val="2B69D492"/>
    <w:rsid w:val="2B7CF4B6"/>
    <w:rsid w:val="2B8A9BB4"/>
    <w:rsid w:val="2B9134C8"/>
    <w:rsid w:val="2BBBD570"/>
    <w:rsid w:val="2C1D096D"/>
    <w:rsid w:val="2C5A1843"/>
    <w:rsid w:val="2C793BD0"/>
    <w:rsid w:val="2D01EB9C"/>
    <w:rsid w:val="2D5FF2C5"/>
    <w:rsid w:val="2D9E7CCC"/>
    <w:rsid w:val="2DA9D32F"/>
    <w:rsid w:val="2E00E7DB"/>
    <w:rsid w:val="2E05E50A"/>
    <w:rsid w:val="2E343ECD"/>
    <w:rsid w:val="2E4F6D3E"/>
    <w:rsid w:val="2F07EA3D"/>
    <w:rsid w:val="2FA0A8E0"/>
    <w:rsid w:val="300018EE"/>
    <w:rsid w:val="301C59EC"/>
    <w:rsid w:val="30363D42"/>
    <w:rsid w:val="3036DE34"/>
    <w:rsid w:val="30ADF543"/>
    <w:rsid w:val="30B1DE52"/>
    <w:rsid w:val="31380336"/>
    <w:rsid w:val="313F9B66"/>
    <w:rsid w:val="317C67F7"/>
    <w:rsid w:val="31889417"/>
    <w:rsid w:val="319B13DB"/>
    <w:rsid w:val="31A34968"/>
    <w:rsid w:val="31D016C5"/>
    <w:rsid w:val="320223C5"/>
    <w:rsid w:val="32861FAE"/>
    <w:rsid w:val="32E2077A"/>
    <w:rsid w:val="33064589"/>
    <w:rsid w:val="335291A9"/>
    <w:rsid w:val="33B90D1A"/>
    <w:rsid w:val="33BA339C"/>
    <w:rsid w:val="33D547C3"/>
    <w:rsid w:val="340636EC"/>
    <w:rsid w:val="3435769C"/>
    <w:rsid w:val="344B5887"/>
    <w:rsid w:val="354E466D"/>
    <w:rsid w:val="356E2490"/>
    <w:rsid w:val="35B123B2"/>
    <w:rsid w:val="35D58677"/>
    <w:rsid w:val="360AA1F3"/>
    <w:rsid w:val="364FDBBB"/>
    <w:rsid w:val="3689C145"/>
    <w:rsid w:val="36A4C891"/>
    <w:rsid w:val="36B22792"/>
    <w:rsid w:val="36EBFDFF"/>
    <w:rsid w:val="3710FCA9"/>
    <w:rsid w:val="37C117B3"/>
    <w:rsid w:val="37C5B8AA"/>
    <w:rsid w:val="37D648F1"/>
    <w:rsid w:val="37EAE68D"/>
    <w:rsid w:val="38045140"/>
    <w:rsid w:val="3846162F"/>
    <w:rsid w:val="3892D18B"/>
    <w:rsid w:val="38A3E5C6"/>
    <w:rsid w:val="38E72096"/>
    <w:rsid w:val="39095CCB"/>
    <w:rsid w:val="3A9E483B"/>
    <w:rsid w:val="3AC66746"/>
    <w:rsid w:val="3B39AECB"/>
    <w:rsid w:val="3B4316A9"/>
    <w:rsid w:val="3B592ADE"/>
    <w:rsid w:val="3B780AC5"/>
    <w:rsid w:val="3BA414CE"/>
    <w:rsid w:val="3BBDF3D6"/>
    <w:rsid w:val="3BD3B463"/>
    <w:rsid w:val="3BFB4A0A"/>
    <w:rsid w:val="3CC04D1F"/>
    <w:rsid w:val="3CC8A4F6"/>
    <w:rsid w:val="3CCD52A2"/>
    <w:rsid w:val="3D0D615A"/>
    <w:rsid w:val="3D1F7820"/>
    <w:rsid w:val="3D2D09FB"/>
    <w:rsid w:val="3D53CE79"/>
    <w:rsid w:val="3D54487A"/>
    <w:rsid w:val="3D6E529D"/>
    <w:rsid w:val="3DB2699A"/>
    <w:rsid w:val="3DC490D0"/>
    <w:rsid w:val="3DC50A0D"/>
    <w:rsid w:val="3DD7BAFF"/>
    <w:rsid w:val="3E18F6A8"/>
    <w:rsid w:val="3E80A35F"/>
    <w:rsid w:val="3EB5C95E"/>
    <w:rsid w:val="3EC3AB1A"/>
    <w:rsid w:val="3F4994DC"/>
    <w:rsid w:val="3F62C5A8"/>
    <w:rsid w:val="3FEE5D4D"/>
    <w:rsid w:val="3FFF5264"/>
    <w:rsid w:val="40086F3E"/>
    <w:rsid w:val="40596457"/>
    <w:rsid w:val="4073B223"/>
    <w:rsid w:val="409BECAB"/>
    <w:rsid w:val="40AA9430"/>
    <w:rsid w:val="40BA5FF2"/>
    <w:rsid w:val="40E3E7BB"/>
    <w:rsid w:val="41261CF3"/>
    <w:rsid w:val="41446201"/>
    <w:rsid w:val="41623EF6"/>
    <w:rsid w:val="417A9D06"/>
    <w:rsid w:val="41BF1B54"/>
    <w:rsid w:val="41C1563C"/>
    <w:rsid w:val="42303C74"/>
    <w:rsid w:val="428BFEB7"/>
    <w:rsid w:val="42E9015C"/>
    <w:rsid w:val="437D6724"/>
    <w:rsid w:val="445A7BA1"/>
    <w:rsid w:val="4473D9AD"/>
    <w:rsid w:val="44CD0EA0"/>
    <w:rsid w:val="450FE281"/>
    <w:rsid w:val="451327C1"/>
    <w:rsid w:val="454F4705"/>
    <w:rsid w:val="458EA632"/>
    <w:rsid w:val="45ACA60E"/>
    <w:rsid w:val="4611FED7"/>
    <w:rsid w:val="46230E77"/>
    <w:rsid w:val="46E569EC"/>
    <w:rsid w:val="47B2DDEA"/>
    <w:rsid w:val="47F6A0FB"/>
    <w:rsid w:val="47FC6B43"/>
    <w:rsid w:val="4831C528"/>
    <w:rsid w:val="485D4DF3"/>
    <w:rsid w:val="4868C351"/>
    <w:rsid w:val="48A0F0A0"/>
    <w:rsid w:val="48F25E74"/>
    <w:rsid w:val="491D2952"/>
    <w:rsid w:val="4955B9BA"/>
    <w:rsid w:val="49C3641A"/>
    <w:rsid w:val="49D62C41"/>
    <w:rsid w:val="4A301A13"/>
    <w:rsid w:val="4A3C73B5"/>
    <w:rsid w:val="4A693C02"/>
    <w:rsid w:val="4A74BF6A"/>
    <w:rsid w:val="4B83394E"/>
    <w:rsid w:val="4B9878A8"/>
    <w:rsid w:val="4C013ACF"/>
    <w:rsid w:val="4C5B749F"/>
    <w:rsid w:val="4C649EAB"/>
    <w:rsid w:val="4C7ECD7D"/>
    <w:rsid w:val="4CA374A2"/>
    <w:rsid w:val="4CCC5183"/>
    <w:rsid w:val="4DDF8F3F"/>
    <w:rsid w:val="4DF1D87D"/>
    <w:rsid w:val="4E37C696"/>
    <w:rsid w:val="4E38619A"/>
    <w:rsid w:val="4EF5E2CA"/>
    <w:rsid w:val="4F056EAC"/>
    <w:rsid w:val="4F0F48D0"/>
    <w:rsid w:val="4F998059"/>
    <w:rsid w:val="5012AA87"/>
    <w:rsid w:val="50884A6B"/>
    <w:rsid w:val="50BFF801"/>
    <w:rsid w:val="50FEDE4A"/>
    <w:rsid w:val="512A37CC"/>
    <w:rsid w:val="513E5623"/>
    <w:rsid w:val="519C02BE"/>
    <w:rsid w:val="51F8D825"/>
    <w:rsid w:val="522B17C8"/>
    <w:rsid w:val="5241331A"/>
    <w:rsid w:val="52839B9E"/>
    <w:rsid w:val="52926B89"/>
    <w:rsid w:val="529A97B6"/>
    <w:rsid w:val="52CA8960"/>
    <w:rsid w:val="52F6128F"/>
    <w:rsid w:val="534B64A3"/>
    <w:rsid w:val="5372D984"/>
    <w:rsid w:val="53830D0F"/>
    <w:rsid w:val="5385DF91"/>
    <w:rsid w:val="53A85342"/>
    <w:rsid w:val="53CBB9CF"/>
    <w:rsid w:val="542C8323"/>
    <w:rsid w:val="54374377"/>
    <w:rsid w:val="5443CEC8"/>
    <w:rsid w:val="544FA8BF"/>
    <w:rsid w:val="547440C9"/>
    <w:rsid w:val="551C2916"/>
    <w:rsid w:val="5546493D"/>
    <w:rsid w:val="55A1A59D"/>
    <w:rsid w:val="55B2CBB4"/>
    <w:rsid w:val="5610922B"/>
    <w:rsid w:val="56404B9C"/>
    <w:rsid w:val="5652666E"/>
    <w:rsid w:val="56AA19F1"/>
    <w:rsid w:val="56AAF846"/>
    <w:rsid w:val="56C38AB2"/>
    <w:rsid w:val="56CB9F98"/>
    <w:rsid w:val="56E3EC88"/>
    <w:rsid w:val="57741591"/>
    <w:rsid w:val="579D52FC"/>
    <w:rsid w:val="57B1279F"/>
    <w:rsid w:val="57D805E3"/>
    <w:rsid w:val="5823211B"/>
    <w:rsid w:val="5846E790"/>
    <w:rsid w:val="5878F631"/>
    <w:rsid w:val="588FEA39"/>
    <w:rsid w:val="58952646"/>
    <w:rsid w:val="58CF6494"/>
    <w:rsid w:val="58F351AB"/>
    <w:rsid w:val="58F8285E"/>
    <w:rsid w:val="5908B0C8"/>
    <w:rsid w:val="591967FF"/>
    <w:rsid w:val="5919C925"/>
    <w:rsid w:val="59AFAE83"/>
    <w:rsid w:val="59BFCC9B"/>
    <w:rsid w:val="59CFC0E0"/>
    <w:rsid w:val="59DCD7FD"/>
    <w:rsid w:val="59FD1E4F"/>
    <w:rsid w:val="5A198CF7"/>
    <w:rsid w:val="5A22DEC1"/>
    <w:rsid w:val="5A3BC463"/>
    <w:rsid w:val="5A4B6697"/>
    <w:rsid w:val="5A73A5B6"/>
    <w:rsid w:val="5B6462F7"/>
    <w:rsid w:val="5BB8F6EC"/>
    <w:rsid w:val="5BF48052"/>
    <w:rsid w:val="5C2083A3"/>
    <w:rsid w:val="5C4682CC"/>
    <w:rsid w:val="5C536B35"/>
    <w:rsid w:val="5C8BEE15"/>
    <w:rsid w:val="5CB44A39"/>
    <w:rsid w:val="5CD91161"/>
    <w:rsid w:val="5D02F6EB"/>
    <w:rsid w:val="5D7D438F"/>
    <w:rsid w:val="5E0614D1"/>
    <w:rsid w:val="5E2D5376"/>
    <w:rsid w:val="5E467D65"/>
    <w:rsid w:val="5EAB6562"/>
    <w:rsid w:val="5EE29C6E"/>
    <w:rsid w:val="5EEB954F"/>
    <w:rsid w:val="5F1657D2"/>
    <w:rsid w:val="5F19A9B7"/>
    <w:rsid w:val="5F4143DC"/>
    <w:rsid w:val="5F8E3ECB"/>
    <w:rsid w:val="6000EA12"/>
    <w:rsid w:val="602924EA"/>
    <w:rsid w:val="60935AE1"/>
    <w:rsid w:val="60A9840E"/>
    <w:rsid w:val="6139FAD8"/>
    <w:rsid w:val="614383D3"/>
    <w:rsid w:val="614A89C1"/>
    <w:rsid w:val="6153763B"/>
    <w:rsid w:val="6156B278"/>
    <w:rsid w:val="61CB6B2E"/>
    <w:rsid w:val="61D1B6B0"/>
    <w:rsid w:val="6267A640"/>
    <w:rsid w:val="62D7C39E"/>
    <w:rsid w:val="63A441D8"/>
    <w:rsid w:val="63BC7509"/>
    <w:rsid w:val="63FE00A9"/>
    <w:rsid w:val="64009619"/>
    <w:rsid w:val="64728758"/>
    <w:rsid w:val="6480AD0F"/>
    <w:rsid w:val="64832DA5"/>
    <w:rsid w:val="64B75627"/>
    <w:rsid w:val="650D924A"/>
    <w:rsid w:val="651FFF2D"/>
    <w:rsid w:val="6536B302"/>
    <w:rsid w:val="655AE110"/>
    <w:rsid w:val="655BD95F"/>
    <w:rsid w:val="65A98F7E"/>
    <w:rsid w:val="66271113"/>
    <w:rsid w:val="6668D6E0"/>
    <w:rsid w:val="6676A13E"/>
    <w:rsid w:val="668D25E5"/>
    <w:rsid w:val="66AB9CE9"/>
    <w:rsid w:val="678BD230"/>
    <w:rsid w:val="67D546C2"/>
    <w:rsid w:val="67EFC430"/>
    <w:rsid w:val="68062FE6"/>
    <w:rsid w:val="6808E4A2"/>
    <w:rsid w:val="681D37FC"/>
    <w:rsid w:val="683F58E2"/>
    <w:rsid w:val="6847C2CF"/>
    <w:rsid w:val="6873B459"/>
    <w:rsid w:val="68A6D786"/>
    <w:rsid w:val="68C29FFC"/>
    <w:rsid w:val="68C6AF7C"/>
    <w:rsid w:val="68FF66E3"/>
    <w:rsid w:val="69770B9F"/>
    <w:rsid w:val="69BD6F49"/>
    <w:rsid w:val="6A095C23"/>
    <w:rsid w:val="6A3A773A"/>
    <w:rsid w:val="6A6C17D6"/>
    <w:rsid w:val="6A8CF7A9"/>
    <w:rsid w:val="6A8F6365"/>
    <w:rsid w:val="6AABB2C2"/>
    <w:rsid w:val="6AAF1E18"/>
    <w:rsid w:val="6ADF9E62"/>
    <w:rsid w:val="6B2633C9"/>
    <w:rsid w:val="6B6E0188"/>
    <w:rsid w:val="6C71FEE7"/>
    <w:rsid w:val="6CCF0DF0"/>
    <w:rsid w:val="6CDFE33A"/>
    <w:rsid w:val="6CFEA673"/>
    <w:rsid w:val="6D0580B2"/>
    <w:rsid w:val="6D65BD39"/>
    <w:rsid w:val="6D86A926"/>
    <w:rsid w:val="6DC6865E"/>
    <w:rsid w:val="6DE349B4"/>
    <w:rsid w:val="6E41601D"/>
    <w:rsid w:val="6EB7F035"/>
    <w:rsid w:val="6EC6668A"/>
    <w:rsid w:val="6EF48055"/>
    <w:rsid w:val="6EFD7E97"/>
    <w:rsid w:val="6F2BCBBA"/>
    <w:rsid w:val="6F2F3358"/>
    <w:rsid w:val="6F691980"/>
    <w:rsid w:val="6FA329B5"/>
    <w:rsid w:val="6FFF2A1F"/>
    <w:rsid w:val="6FFF89DB"/>
    <w:rsid w:val="7052400B"/>
    <w:rsid w:val="70B980E2"/>
    <w:rsid w:val="70F79546"/>
    <w:rsid w:val="7139B81D"/>
    <w:rsid w:val="718BFC2A"/>
    <w:rsid w:val="719F4B28"/>
    <w:rsid w:val="71A3FDE9"/>
    <w:rsid w:val="71D3B497"/>
    <w:rsid w:val="71D8E454"/>
    <w:rsid w:val="71F6669C"/>
    <w:rsid w:val="724CC99D"/>
    <w:rsid w:val="727334B7"/>
    <w:rsid w:val="72D2A45D"/>
    <w:rsid w:val="72D7FD1C"/>
    <w:rsid w:val="72F916EC"/>
    <w:rsid w:val="72FE3334"/>
    <w:rsid w:val="73228C7D"/>
    <w:rsid w:val="733204E0"/>
    <w:rsid w:val="735A098E"/>
    <w:rsid w:val="73630B7F"/>
    <w:rsid w:val="73849548"/>
    <w:rsid w:val="739B288D"/>
    <w:rsid w:val="73CC5B9D"/>
    <w:rsid w:val="73E3C24D"/>
    <w:rsid w:val="74262983"/>
    <w:rsid w:val="743AC556"/>
    <w:rsid w:val="74423EDD"/>
    <w:rsid w:val="746C48AC"/>
    <w:rsid w:val="748CD1F9"/>
    <w:rsid w:val="749DB282"/>
    <w:rsid w:val="74BEEA0F"/>
    <w:rsid w:val="74E05EB2"/>
    <w:rsid w:val="7506D546"/>
    <w:rsid w:val="757904AE"/>
    <w:rsid w:val="75C5AE1F"/>
    <w:rsid w:val="75CD4218"/>
    <w:rsid w:val="75F8E4F9"/>
    <w:rsid w:val="7606EE34"/>
    <w:rsid w:val="768EB5FD"/>
    <w:rsid w:val="76D0BCB7"/>
    <w:rsid w:val="76DD1B73"/>
    <w:rsid w:val="7764047C"/>
    <w:rsid w:val="77F883A5"/>
    <w:rsid w:val="78F1F65E"/>
    <w:rsid w:val="7906F844"/>
    <w:rsid w:val="7913A1EF"/>
    <w:rsid w:val="79853E8A"/>
    <w:rsid w:val="79887EBD"/>
    <w:rsid w:val="79FE2CDF"/>
    <w:rsid w:val="7A121ECE"/>
    <w:rsid w:val="7A26858F"/>
    <w:rsid w:val="7A29ACB9"/>
    <w:rsid w:val="7A4B150A"/>
    <w:rsid w:val="7AFB9E57"/>
    <w:rsid w:val="7B0641DC"/>
    <w:rsid w:val="7B7233DA"/>
    <w:rsid w:val="7B8263D7"/>
    <w:rsid w:val="7C4587B5"/>
    <w:rsid w:val="7C468F41"/>
    <w:rsid w:val="7CEE83A5"/>
    <w:rsid w:val="7CFE060D"/>
    <w:rsid w:val="7D308917"/>
    <w:rsid w:val="7DDA2A78"/>
    <w:rsid w:val="7DF60F45"/>
    <w:rsid w:val="7E34FD7D"/>
    <w:rsid w:val="7E3FF221"/>
    <w:rsid w:val="7E564BC7"/>
    <w:rsid w:val="7E904347"/>
    <w:rsid w:val="7F038B3B"/>
    <w:rsid w:val="7F1F451F"/>
    <w:rsid w:val="7F302166"/>
    <w:rsid w:val="7F3C383C"/>
    <w:rsid w:val="7F4AFE44"/>
    <w:rsid w:val="7F7A9006"/>
    <w:rsid w:val="7FC4CA2F"/>
    <w:rsid w:val="7FD9A64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6C785E4"/>
  <w15:chartTrackingRefBased/>
  <w15:docId w15:val="{A9A8E082-A563-495A-853F-E028140C80C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72D2A45D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archive.org/details/childhoodsociety00erik" TargetMode="External" Id="R3d614a1c8ac74b21" /><Relationship Type="http://schemas.openxmlformats.org/officeDocument/2006/relationships/hyperlink" Target="https://pmc.ncbi.nlm.nih.gov/articles/PMC5398200/pdf/nihms852901.pdf" TargetMode="External" Id="R877ca2e8482242e4" /><Relationship Type="http://schemas.openxmlformats.org/officeDocument/2006/relationships/hyperlink" Target="https://doi.org/10.1016/0749-5978(91)90020-T" TargetMode="External" Id="R690670817d5344c4" /><Relationship Type="http://schemas.openxmlformats.org/officeDocument/2006/relationships/hyperlink" Target="https://pmc.ncbi.nlm.nih.gov/articles/PMC3470291/" TargetMode="External" Id="R4c5ac8254f73493f" /><Relationship Type="http://schemas.openxmlformats.org/officeDocument/2006/relationships/hyperlink" Target="https://doi.org/10.1016/0749-5978(91)90020-T" TargetMode="External" Id="R00be645b74974b68" /><Relationship Type="http://schemas.openxmlformats.org/officeDocument/2006/relationships/hyperlink" Target="https://doi.org/10.1177/08982643241302209" TargetMode="External" Id="R74dceab7c3a14e04" /><Relationship Type="http://schemas.openxmlformats.org/officeDocument/2006/relationships/hyperlink" Target="https://archive.org/details/chilhoodsociety00erik" TargetMode="External" Id="R3ea609166fa24cb5" /><Relationship Type="http://schemas.openxmlformats.org/officeDocument/2006/relationships/hyperlink" Target="https://doi.org/10.1111/ajag.13052" TargetMode="External" Id="Rf3241e61e73b4796" /><Relationship Type="http://schemas.openxmlformats.org/officeDocument/2006/relationships/hyperlink" Target="https://pmc.ncbi.nlm.nih.gov/articles/PMC3470291/" TargetMode="External" Id="R5e302fc4be314f06" /><Relationship Type="http://schemas.openxmlformats.org/officeDocument/2006/relationships/hyperlink" Target="Https://doi.org/10.1037/dev0001339" TargetMode="External" Id="R8b62432461c04938" /><Relationship Type="http://schemas.openxmlformats.org/officeDocument/2006/relationships/hyperlink" Target="https://doi.org/10.1080/21642850.2024.2415937" TargetMode="External" Id="Rc7847859e54647cb" /><Relationship Type="http://schemas.openxmlformats.org/officeDocument/2006/relationships/hyperlink" Target="https://www.scie.org.uk/dementia/living-with-dementia/keeping-active/" TargetMode="External" Id="R1fabffd8197649d6" /><Relationship Type="http://schemas.openxmlformats.org/officeDocument/2006/relationships/hyperlink" Target="https://doi.org/10.1177/01939459221107579" TargetMode="External" Id="Rd8b1bbba953a40c2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rial Nov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Salma Sultan (2431994)</dc:creator>
  <keywords/>
  <dc:description/>
  <lastModifiedBy>Salma Sultan (2431994)</lastModifiedBy>
  <revision>4</revision>
  <dcterms:created xsi:type="dcterms:W3CDTF">2026-03-12T14:06:35.2105805Z</dcterms:created>
  <dcterms:modified xsi:type="dcterms:W3CDTF">2026-03-15T21:33:49.1943226Z</dcterms:modified>
</coreProperties>
</file>