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29D98" w14:textId="77777777" w:rsidR="002E0A42" w:rsidRDefault="005F6144">
      <w:pPr>
        <w:pBdr>
          <w:top w:val="nil"/>
          <w:left w:val="nil"/>
          <w:bottom w:val="nil"/>
          <w:right w:val="nil"/>
          <w:between w:val="nil"/>
        </w:pBdr>
        <w:ind w:left="-180" w:right="-334"/>
        <w:jc w:val="left"/>
        <w:rPr>
          <w:rFonts w:ascii="Georgia" w:eastAsia="Georgia" w:hAnsi="Georgia" w:cs="Georgia"/>
          <w:color w:val="000000"/>
        </w:rPr>
      </w:pPr>
      <w:r>
        <w:rPr>
          <w:rFonts w:ascii="Georgia" w:eastAsia="Georgia" w:hAnsi="Georgia" w:cs="Georgia"/>
          <w:noProof/>
          <w:color w:val="000000"/>
        </w:rPr>
        <w:drawing>
          <wp:inline distT="0" distB="0" distL="0" distR="0" wp14:anchorId="164224F5" wp14:editId="029076FE">
            <wp:extent cx="1909445" cy="636270"/>
            <wp:effectExtent l="19050" t="19050" r="19050" b="19050"/>
            <wp:docPr id="5" name="image2.png" descr="Immagine che contiene testo, Carattere, schermata, logo&#10;&#10;Descrizione generata automaticamente"/>
            <wp:cNvGraphicFramePr/>
            <a:graphic xmlns:a="http://schemas.openxmlformats.org/drawingml/2006/main">
              <a:graphicData uri="http://schemas.openxmlformats.org/drawingml/2006/picture">
                <pic:pic xmlns:pic="http://schemas.openxmlformats.org/drawingml/2006/picture">
                  <pic:nvPicPr>
                    <pic:cNvPr id="0" name="image2.png" descr="Immagine che contiene testo, Carattere, schermata, logo&#10;&#10;Descrizione generata automaticamente"/>
                    <pic:cNvPicPr preferRelativeResize="0"/>
                  </pic:nvPicPr>
                  <pic:blipFill>
                    <a:blip r:embed="rId7"/>
                    <a:srcRect/>
                    <a:stretch>
                      <a:fillRect/>
                    </a:stretch>
                  </pic:blipFill>
                  <pic:spPr>
                    <a:xfrm>
                      <a:off x="0" y="0"/>
                      <a:ext cx="1909445" cy="636270"/>
                    </a:xfrm>
                    <a:prstGeom prst="rect">
                      <a:avLst/>
                    </a:prstGeom>
                    <a:ln w="19050">
                      <a:solidFill>
                        <a:srgbClr val="000000"/>
                      </a:solidFill>
                      <a:prstDash val="solid"/>
                    </a:ln>
                  </pic:spPr>
                </pic:pic>
              </a:graphicData>
            </a:graphic>
          </wp:inline>
        </w:drawing>
      </w:r>
    </w:p>
    <w:p w14:paraId="08D4A6B1" w14:textId="77777777" w:rsidR="002E0A42" w:rsidRDefault="002E0A42">
      <w:pPr>
        <w:pBdr>
          <w:top w:val="nil"/>
          <w:left w:val="nil"/>
          <w:bottom w:val="nil"/>
          <w:right w:val="nil"/>
          <w:between w:val="nil"/>
        </w:pBdr>
        <w:ind w:left="-180" w:right="-334"/>
        <w:jc w:val="left"/>
        <w:rPr>
          <w:rFonts w:ascii="Georgia" w:eastAsia="Georgia" w:hAnsi="Georgia" w:cs="Georgia"/>
          <w:color w:val="000000"/>
        </w:rPr>
      </w:pPr>
    </w:p>
    <w:p w14:paraId="610B78F0" w14:textId="77777777" w:rsidR="002E0A42" w:rsidRDefault="002E0A42">
      <w:pPr>
        <w:pBdr>
          <w:top w:val="nil"/>
          <w:left w:val="nil"/>
          <w:bottom w:val="nil"/>
          <w:right w:val="nil"/>
          <w:between w:val="nil"/>
        </w:pBdr>
        <w:ind w:left="-180" w:right="-334"/>
        <w:jc w:val="left"/>
        <w:rPr>
          <w:rFonts w:ascii="Georgia" w:eastAsia="Georgia" w:hAnsi="Georgia" w:cs="Georgia"/>
          <w:color w:val="000000"/>
        </w:rPr>
      </w:pPr>
    </w:p>
    <w:p w14:paraId="102B8893" w14:textId="77777777" w:rsidR="002E0A42" w:rsidRDefault="005F6144">
      <w:pPr>
        <w:pBdr>
          <w:top w:val="nil"/>
          <w:left w:val="nil"/>
          <w:bottom w:val="nil"/>
          <w:right w:val="nil"/>
          <w:between w:val="nil"/>
        </w:pBdr>
        <w:ind w:left="-180" w:right="-334"/>
        <w:jc w:val="center"/>
        <w:rPr>
          <w:rFonts w:ascii="Arial" w:eastAsia="Arial" w:hAnsi="Arial" w:cs="Arial"/>
          <w:b/>
          <w:color w:val="000000"/>
          <w:sz w:val="28"/>
          <w:szCs w:val="28"/>
        </w:rPr>
      </w:pPr>
      <w:r>
        <w:rPr>
          <w:rFonts w:ascii="Arial" w:eastAsia="Arial" w:hAnsi="Arial" w:cs="Arial"/>
          <w:b/>
          <w:color w:val="000000"/>
          <w:sz w:val="28"/>
          <w:szCs w:val="28"/>
        </w:rPr>
        <w:t xml:space="preserve">Postgraduate/Distance Learning </w:t>
      </w:r>
    </w:p>
    <w:p w14:paraId="71232CC4" w14:textId="77777777" w:rsidR="002E0A42" w:rsidRDefault="005F6144">
      <w:pPr>
        <w:pBdr>
          <w:top w:val="nil"/>
          <w:left w:val="nil"/>
          <w:bottom w:val="nil"/>
          <w:right w:val="nil"/>
          <w:between w:val="nil"/>
        </w:pBdr>
        <w:ind w:left="-180" w:right="-334"/>
        <w:jc w:val="center"/>
        <w:rPr>
          <w:rFonts w:ascii="Arial" w:eastAsia="Arial" w:hAnsi="Arial" w:cs="Arial"/>
          <w:b/>
          <w:color w:val="000000"/>
          <w:sz w:val="28"/>
          <w:szCs w:val="28"/>
        </w:rPr>
      </w:pPr>
      <w:r>
        <w:rPr>
          <w:rFonts w:ascii="Arial" w:eastAsia="Arial" w:hAnsi="Arial" w:cs="Arial"/>
          <w:b/>
          <w:color w:val="000000"/>
          <w:sz w:val="28"/>
          <w:szCs w:val="28"/>
        </w:rPr>
        <w:t>Assignment coversheet &amp; feedback form</w:t>
      </w:r>
    </w:p>
    <w:p w14:paraId="6D795256" w14:textId="77777777" w:rsidR="002E0A42" w:rsidRDefault="002E0A42">
      <w:pPr>
        <w:rPr>
          <w:rFonts w:ascii="Arial" w:eastAsia="Arial" w:hAnsi="Arial" w:cs="Arial"/>
          <w:sz w:val="28"/>
          <w:szCs w:val="28"/>
        </w:rPr>
      </w:pPr>
    </w:p>
    <w:p w14:paraId="6258A640" w14:textId="77777777" w:rsidR="002E0A42" w:rsidRDefault="005F6144">
      <w:pPr>
        <w:pStyle w:val="Titolo3"/>
      </w:pPr>
      <w:r>
        <w:t>THIS SHEET MUST BE THE FIRST PAGE OF THE ASSIGNMENT YOU ARE SUBMITTING  (DO NOT SEND AS A SEPARATE FILE)</w:t>
      </w:r>
    </w:p>
    <w:p w14:paraId="7DEECC93" w14:textId="77777777" w:rsidR="002E0A42" w:rsidRDefault="002E0A42">
      <w:pPr>
        <w:pStyle w:val="Titolo3"/>
      </w:pPr>
    </w:p>
    <w:tbl>
      <w:tblPr>
        <w:tblStyle w:val="a"/>
        <w:tblW w:w="88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28"/>
        <w:gridCol w:w="283"/>
        <w:gridCol w:w="1557"/>
        <w:gridCol w:w="286"/>
        <w:gridCol w:w="1802"/>
      </w:tblGrid>
      <w:tr w:rsidR="002E0A42" w14:paraId="08080568" w14:textId="77777777">
        <w:trPr>
          <w:trHeight w:val="614"/>
        </w:trPr>
        <w:tc>
          <w:tcPr>
            <w:tcW w:w="8856" w:type="dxa"/>
            <w:gridSpan w:val="5"/>
          </w:tcPr>
          <w:p w14:paraId="4D2B0FC0"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b/>
                <w:color w:val="000000"/>
                <w:sz w:val="22"/>
                <w:szCs w:val="22"/>
              </w:rPr>
              <w:t>For completion by the student</w:t>
            </w:r>
            <w:r>
              <w:rPr>
                <w:rFonts w:ascii="Arial" w:eastAsia="Arial" w:hAnsi="Arial" w:cs="Arial"/>
                <w:color w:val="000000"/>
                <w:sz w:val="22"/>
                <w:szCs w:val="22"/>
              </w:rPr>
              <w:t>:</w:t>
            </w:r>
          </w:p>
        </w:tc>
      </w:tr>
      <w:tr w:rsidR="002E0A42" w14:paraId="26322C09" w14:textId="77777777">
        <w:trPr>
          <w:trHeight w:val="718"/>
        </w:trPr>
        <w:tc>
          <w:tcPr>
            <w:tcW w:w="8856" w:type="dxa"/>
            <w:gridSpan w:val="5"/>
          </w:tcPr>
          <w:p w14:paraId="36C4134A"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Student Name: Francesca Croce</w:t>
            </w:r>
          </w:p>
          <w:p w14:paraId="1B24D3AE" w14:textId="77777777" w:rsidR="002E0A42" w:rsidRDefault="002E0A42">
            <w:pPr>
              <w:pBdr>
                <w:top w:val="nil"/>
                <w:left w:val="nil"/>
                <w:bottom w:val="nil"/>
                <w:right w:val="nil"/>
                <w:between w:val="nil"/>
              </w:pBdr>
              <w:ind w:right="34"/>
              <w:jc w:val="left"/>
              <w:rPr>
                <w:rFonts w:ascii="Arial" w:eastAsia="Arial" w:hAnsi="Arial" w:cs="Arial"/>
                <w:color w:val="000000"/>
                <w:sz w:val="22"/>
                <w:szCs w:val="22"/>
              </w:rPr>
            </w:pPr>
          </w:p>
          <w:p w14:paraId="6ED96CDC"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Student </w:t>
            </w:r>
            <w:r>
              <w:rPr>
                <w:rFonts w:ascii="Arial" w:eastAsia="Arial" w:hAnsi="Arial" w:cs="Arial"/>
                <w:b/>
                <w:color w:val="000000"/>
                <w:sz w:val="22"/>
                <w:szCs w:val="22"/>
                <w:u w:val="single"/>
              </w:rPr>
              <w:t>University</w:t>
            </w:r>
            <w:r>
              <w:rPr>
                <w:rFonts w:ascii="Arial" w:eastAsia="Arial" w:hAnsi="Arial" w:cs="Arial"/>
                <w:color w:val="000000"/>
                <w:sz w:val="22"/>
                <w:szCs w:val="22"/>
                <w:u w:val="single"/>
              </w:rPr>
              <w:t xml:space="preserve"> </w:t>
            </w:r>
            <w:r>
              <w:rPr>
                <w:rFonts w:ascii="Arial" w:eastAsia="Arial" w:hAnsi="Arial" w:cs="Arial"/>
                <w:color w:val="000000"/>
                <w:sz w:val="22"/>
                <w:szCs w:val="22"/>
              </w:rPr>
              <w:t>Email: 2317231@student.uwtsd.ac.uk</w:t>
            </w:r>
          </w:p>
        </w:tc>
      </w:tr>
      <w:tr w:rsidR="002E0A42" w14:paraId="06C0EB11" w14:textId="77777777">
        <w:trPr>
          <w:trHeight w:val="849"/>
        </w:trPr>
        <w:tc>
          <w:tcPr>
            <w:tcW w:w="4928" w:type="dxa"/>
            <w:vAlign w:val="center"/>
          </w:tcPr>
          <w:p w14:paraId="6DD00F56"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Module code: </w:t>
            </w:r>
          </w:p>
          <w:p w14:paraId="61E94DAD"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                             HPCA7016</w:t>
            </w:r>
          </w:p>
          <w:p w14:paraId="4E55D45E"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Module title: </w:t>
            </w:r>
          </w:p>
          <w:p w14:paraId="4DC0F0EA"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 Researching Contemporary Cosmologies</w:t>
            </w:r>
          </w:p>
        </w:tc>
        <w:tc>
          <w:tcPr>
            <w:tcW w:w="2126" w:type="dxa"/>
            <w:gridSpan w:val="3"/>
            <w:vAlign w:val="center"/>
          </w:tcPr>
          <w:p w14:paraId="7DE727E2" w14:textId="77777777" w:rsidR="002E0A42" w:rsidRDefault="005F6144">
            <w:pPr>
              <w:pBdr>
                <w:top w:val="nil"/>
                <w:left w:val="nil"/>
                <w:bottom w:val="nil"/>
                <w:right w:val="nil"/>
                <w:between w:val="nil"/>
              </w:pBdr>
              <w:ind w:right="34" w:firstLine="0"/>
              <w:jc w:val="center"/>
              <w:rPr>
                <w:rFonts w:ascii="Arial" w:eastAsia="Arial" w:hAnsi="Arial" w:cs="Arial"/>
                <w:color w:val="000000"/>
                <w:sz w:val="22"/>
                <w:szCs w:val="22"/>
              </w:rPr>
            </w:pPr>
            <w:r>
              <w:rPr>
                <w:rFonts w:ascii="Arial" w:eastAsia="Arial" w:hAnsi="Arial" w:cs="Arial"/>
                <w:color w:val="000000"/>
                <w:sz w:val="22"/>
                <w:szCs w:val="22"/>
              </w:rPr>
              <w:t>Student ID number:</w:t>
            </w:r>
          </w:p>
          <w:p w14:paraId="27F1F201"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2317231</w:t>
            </w:r>
          </w:p>
        </w:tc>
        <w:tc>
          <w:tcPr>
            <w:tcW w:w="1802" w:type="dxa"/>
          </w:tcPr>
          <w:p w14:paraId="07DDCF3B" w14:textId="77777777" w:rsidR="002E0A42" w:rsidRDefault="005F6144">
            <w:pPr>
              <w:pBdr>
                <w:top w:val="nil"/>
                <w:left w:val="nil"/>
                <w:bottom w:val="nil"/>
                <w:right w:val="nil"/>
                <w:between w:val="nil"/>
              </w:pBdr>
              <w:ind w:right="34" w:firstLine="0"/>
              <w:jc w:val="center"/>
              <w:rPr>
                <w:rFonts w:ascii="Arial" w:eastAsia="Arial" w:hAnsi="Arial" w:cs="Arial"/>
                <w:color w:val="000000"/>
                <w:sz w:val="22"/>
                <w:szCs w:val="22"/>
              </w:rPr>
            </w:pPr>
            <w:r>
              <w:rPr>
                <w:rFonts w:ascii="Arial" w:eastAsia="Arial" w:hAnsi="Arial" w:cs="Arial"/>
                <w:color w:val="000000"/>
                <w:sz w:val="22"/>
                <w:szCs w:val="22"/>
              </w:rPr>
              <w:t>Educational support needs:</w:t>
            </w:r>
          </w:p>
          <w:p w14:paraId="6363CD1E" w14:textId="77777777" w:rsidR="002E0A42" w:rsidRDefault="005F6144">
            <w:pPr>
              <w:pBdr>
                <w:top w:val="nil"/>
                <w:left w:val="nil"/>
                <w:bottom w:val="nil"/>
                <w:right w:val="nil"/>
                <w:between w:val="nil"/>
              </w:pBdr>
              <w:ind w:right="34" w:firstLine="0"/>
              <w:jc w:val="center"/>
              <w:rPr>
                <w:rFonts w:ascii="Arial" w:eastAsia="Arial" w:hAnsi="Arial" w:cs="Arial"/>
                <w:color w:val="000000"/>
                <w:sz w:val="22"/>
                <w:szCs w:val="22"/>
              </w:rPr>
            </w:pPr>
            <w:r>
              <w:rPr>
                <w:rFonts w:ascii="Arial" w:eastAsia="Arial" w:hAnsi="Arial" w:cs="Arial"/>
                <w:color w:val="000000"/>
                <w:sz w:val="22"/>
                <w:szCs w:val="22"/>
              </w:rPr>
              <w:t>No</w:t>
            </w:r>
          </w:p>
        </w:tc>
      </w:tr>
      <w:tr w:rsidR="002E0A42" w14:paraId="5A5F435A" w14:textId="77777777">
        <w:trPr>
          <w:trHeight w:val="1139"/>
        </w:trPr>
        <w:tc>
          <w:tcPr>
            <w:tcW w:w="8856" w:type="dxa"/>
            <w:gridSpan w:val="5"/>
          </w:tcPr>
          <w:p w14:paraId="3206A59F" w14:textId="77777777" w:rsidR="002E0A42" w:rsidRDefault="005F6144">
            <w:pPr>
              <w:rPr>
                <w:rFonts w:ascii="Arial" w:eastAsia="Arial" w:hAnsi="Arial" w:cs="Arial"/>
                <w:sz w:val="22"/>
                <w:szCs w:val="22"/>
              </w:rPr>
            </w:pPr>
            <w:r>
              <w:rPr>
                <w:rFonts w:ascii="Arial" w:eastAsia="Arial" w:hAnsi="Arial" w:cs="Arial"/>
                <w:sz w:val="22"/>
                <w:szCs w:val="22"/>
              </w:rPr>
              <w:t xml:space="preserve">Assignment title: </w:t>
            </w:r>
          </w:p>
          <w:p w14:paraId="440C9250" w14:textId="77777777" w:rsidR="002E0A42" w:rsidRDefault="005F6144">
            <w:pPr>
              <w:pBdr>
                <w:top w:val="nil"/>
                <w:left w:val="nil"/>
                <w:bottom w:val="nil"/>
                <w:right w:val="nil"/>
                <w:between w:val="nil"/>
              </w:pBdr>
              <w:jc w:val="left"/>
              <w:rPr>
                <w:rFonts w:ascii="Calibri" w:hAnsi="Calibri"/>
                <w:b/>
                <w:color w:val="000000"/>
                <w:sz w:val="24"/>
                <w:szCs w:val="24"/>
              </w:rPr>
            </w:pPr>
            <w:r>
              <w:rPr>
                <w:rFonts w:ascii="Calibri" w:hAnsi="Calibri"/>
                <w:b/>
                <w:color w:val="000000"/>
                <w:sz w:val="24"/>
                <w:szCs w:val="24"/>
              </w:rPr>
              <w:t>A Critical Comparison of Two Secondary Sources</w:t>
            </w:r>
          </w:p>
          <w:p w14:paraId="3155E0D4" w14:textId="77777777" w:rsidR="002E0A42" w:rsidRDefault="005F6144">
            <w:pPr>
              <w:pBdr>
                <w:top w:val="nil"/>
                <w:left w:val="nil"/>
                <w:bottom w:val="nil"/>
                <w:right w:val="nil"/>
                <w:between w:val="nil"/>
              </w:pBdr>
              <w:ind w:right="34"/>
              <w:jc w:val="left"/>
              <w:rPr>
                <w:rFonts w:ascii="Calibri" w:hAnsi="Calibri"/>
                <w:b/>
                <w:color w:val="000000"/>
                <w:sz w:val="24"/>
                <w:szCs w:val="24"/>
              </w:rPr>
            </w:pPr>
            <w:r>
              <w:rPr>
                <w:rFonts w:ascii="Arial" w:eastAsia="Arial" w:hAnsi="Arial" w:cs="Arial"/>
                <w:color w:val="000000"/>
                <w:sz w:val="22"/>
                <w:szCs w:val="22"/>
              </w:rPr>
              <w:t>Assignment due date: 17 March 2025</w:t>
            </w:r>
          </w:p>
          <w:p w14:paraId="469EEFB8" w14:textId="77777777" w:rsidR="002E0A42" w:rsidRDefault="002E0A42">
            <w:pPr>
              <w:pBdr>
                <w:top w:val="nil"/>
                <w:left w:val="nil"/>
                <w:bottom w:val="nil"/>
                <w:right w:val="nil"/>
                <w:between w:val="nil"/>
              </w:pBdr>
              <w:ind w:right="34"/>
              <w:jc w:val="left"/>
              <w:rPr>
                <w:rFonts w:ascii="Arial" w:eastAsia="Arial" w:hAnsi="Arial" w:cs="Arial"/>
                <w:color w:val="000000"/>
                <w:sz w:val="22"/>
                <w:szCs w:val="22"/>
              </w:rPr>
            </w:pPr>
          </w:p>
        </w:tc>
      </w:tr>
      <w:tr w:rsidR="002E0A42" w14:paraId="26AD04EC" w14:textId="77777777">
        <w:trPr>
          <w:trHeight w:val="978"/>
        </w:trPr>
        <w:tc>
          <w:tcPr>
            <w:tcW w:w="8856" w:type="dxa"/>
            <w:gridSpan w:val="5"/>
            <w:tcBorders>
              <w:bottom w:val="single" w:sz="4" w:space="0" w:color="000000"/>
            </w:tcBorders>
          </w:tcPr>
          <w:p w14:paraId="13A7C7EA" w14:textId="77777777" w:rsidR="002E0A42" w:rsidRDefault="005F6144">
            <w:pPr>
              <w:rPr>
                <w:rFonts w:ascii="Arial" w:eastAsia="Arial" w:hAnsi="Arial" w:cs="Arial"/>
                <w:sz w:val="22"/>
                <w:szCs w:val="22"/>
              </w:rPr>
            </w:pPr>
            <w:r>
              <w:rPr>
                <w:rFonts w:ascii="Arial" w:eastAsia="Arial" w:hAnsi="Arial" w:cs="Arial"/>
                <w:sz w:val="22"/>
                <w:szCs w:val="22"/>
              </w:rPr>
              <w:t>This assignment is for the       1</w:t>
            </w:r>
            <w:r>
              <w:rPr>
                <w:rFonts w:ascii="Arial" w:eastAsia="Arial" w:hAnsi="Arial" w:cs="Arial"/>
                <w:sz w:val="22"/>
                <w:szCs w:val="22"/>
                <w:vertAlign w:val="superscript"/>
              </w:rPr>
              <w:t xml:space="preserve">st </w:t>
            </w:r>
            <w:bookmarkStart w:id="0" w:name="bookmark=id.gjdgxs" w:colFirst="0" w:colLast="0"/>
            <w:bookmarkEnd w:id="0"/>
            <w:r>
              <w:rPr>
                <w:rFonts w:ascii="Arial" w:eastAsia="Arial" w:hAnsi="Arial" w:cs="Arial"/>
                <w:sz w:val="22"/>
                <w:szCs w:val="22"/>
              </w:rPr>
              <w:t>☐    2</w:t>
            </w:r>
            <w:r>
              <w:rPr>
                <w:rFonts w:ascii="Arial" w:eastAsia="Arial" w:hAnsi="Arial" w:cs="Arial"/>
                <w:sz w:val="22"/>
                <w:szCs w:val="22"/>
                <w:vertAlign w:val="superscript"/>
              </w:rPr>
              <w:t>nd</w:t>
            </w:r>
            <w:r>
              <w:rPr>
                <w:rFonts w:ascii="Arial" w:eastAsia="Arial" w:hAnsi="Arial" w:cs="Arial"/>
                <w:sz w:val="22"/>
                <w:szCs w:val="22"/>
              </w:rPr>
              <w:t xml:space="preserve">  </w:t>
            </w:r>
            <w:bookmarkStart w:id="1" w:name="bookmark=id.30j0zll" w:colFirst="0" w:colLast="0"/>
            <w:bookmarkEnd w:id="1"/>
            <w:r>
              <w:rPr>
                <w:rFonts w:ascii="Arial" w:eastAsia="Arial" w:hAnsi="Arial" w:cs="Arial"/>
                <w:sz w:val="22"/>
                <w:szCs w:val="22"/>
              </w:rPr>
              <w:t>☐     3</w:t>
            </w:r>
            <w:r>
              <w:rPr>
                <w:rFonts w:ascii="Arial" w:eastAsia="Arial" w:hAnsi="Arial" w:cs="Arial"/>
                <w:sz w:val="22"/>
                <w:szCs w:val="22"/>
                <w:vertAlign w:val="superscript"/>
              </w:rPr>
              <w:t>rd</w:t>
            </w:r>
            <w:r>
              <w:rPr>
                <w:rFonts w:ascii="Arial" w:eastAsia="Arial" w:hAnsi="Arial" w:cs="Arial"/>
                <w:sz w:val="22"/>
                <w:szCs w:val="22"/>
              </w:rPr>
              <w:t xml:space="preserve">  </w:t>
            </w:r>
            <w:bookmarkStart w:id="2" w:name="bookmark=id.1fob9te" w:colFirst="0" w:colLast="0"/>
            <w:bookmarkEnd w:id="2"/>
            <w:r>
              <w:rPr>
                <w:rFonts w:ascii="Arial" w:eastAsia="Arial" w:hAnsi="Arial" w:cs="Arial"/>
                <w:sz w:val="22"/>
                <w:szCs w:val="22"/>
              </w:rPr>
              <w:t>☐      4</w:t>
            </w:r>
            <w:r>
              <w:rPr>
                <w:rFonts w:ascii="Arial" w:eastAsia="Arial" w:hAnsi="Arial" w:cs="Arial"/>
                <w:sz w:val="22"/>
                <w:szCs w:val="22"/>
                <w:vertAlign w:val="superscript"/>
              </w:rPr>
              <w:t>th</w:t>
            </w:r>
            <w:r>
              <w:rPr>
                <w:rFonts w:ascii="Arial" w:eastAsia="Arial" w:hAnsi="Arial" w:cs="Arial"/>
                <w:sz w:val="22"/>
                <w:szCs w:val="22"/>
              </w:rPr>
              <w:t xml:space="preserve"> </w:t>
            </w:r>
            <w:bookmarkStart w:id="3" w:name="bookmark=id.3znysh7" w:colFirst="0" w:colLast="0"/>
            <w:bookmarkEnd w:id="3"/>
            <w:r>
              <w:rPr>
                <w:rFonts w:ascii="Arial" w:eastAsia="Arial" w:hAnsi="Arial" w:cs="Arial"/>
                <w:sz w:val="22"/>
                <w:szCs w:val="22"/>
              </w:rPr>
              <w:t>☒      5</w:t>
            </w:r>
            <w:r>
              <w:rPr>
                <w:rFonts w:ascii="Arial" w:eastAsia="Arial" w:hAnsi="Arial" w:cs="Arial"/>
                <w:sz w:val="22"/>
                <w:szCs w:val="22"/>
                <w:vertAlign w:val="superscript"/>
              </w:rPr>
              <w:t>th</w:t>
            </w:r>
            <w:r>
              <w:rPr>
                <w:rFonts w:ascii="Arial" w:eastAsia="Arial" w:hAnsi="Arial" w:cs="Arial"/>
                <w:sz w:val="22"/>
                <w:szCs w:val="22"/>
              </w:rPr>
              <w:t xml:space="preserve"> </w:t>
            </w:r>
            <w:bookmarkStart w:id="4" w:name="bookmark=id.2et92p0" w:colFirst="0" w:colLast="0"/>
            <w:bookmarkEnd w:id="4"/>
            <w:r>
              <w:rPr>
                <w:rFonts w:ascii="Arial" w:eastAsia="Arial" w:hAnsi="Arial" w:cs="Arial"/>
                <w:sz w:val="22"/>
                <w:szCs w:val="22"/>
              </w:rPr>
              <w:t>☐      6</w:t>
            </w:r>
            <w:r>
              <w:rPr>
                <w:rFonts w:ascii="Arial" w:eastAsia="Arial" w:hAnsi="Arial" w:cs="Arial"/>
                <w:sz w:val="22"/>
                <w:szCs w:val="22"/>
                <w:vertAlign w:val="superscript"/>
              </w:rPr>
              <w:t>th</w:t>
            </w:r>
            <w:r>
              <w:rPr>
                <w:rFonts w:ascii="Arial" w:eastAsia="Arial" w:hAnsi="Arial" w:cs="Arial"/>
                <w:sz w:val="22"/>
                <w:szCs w:val="22"/>
              </w:rPr>
              <w:t xml:space="preserve"> </w:t>
            </w:r>
            <w:bookmarkStart w:id="5" w:name="bookmark=id.tyjcwt" w:colFirst="0" w:colLast="0"/>
            <w:bookmarkEnd w:id="5"/>
            <w:r>
              <w:rPr>
                <w:rFonts w:ascii="Arial" w:eastAsia="Arial" w:hAnsi="Arial" w:cs="Arial"/>
                <w:sz w:val="22"/>
                <w:szCs w:val="22"/>
              </w:rPr>
              <w:t>☐</w:t>
            </w:r>
            <w:r>
              <w:rPr>
                <w:rFonts w:ascii="Arial" w:eastAsia="Arial" w:hAnsi="Arial" w:cs="Arial"/>
                <w:b/>
                <w:sz w:val="22"/>
                <w:szCs w:val="22"/>
              </w:rPr>
              <w:t xml:space="preserve">           </w:t>
            </w:r>
            <w:r>
              <w:rPr>
                <w:rFonts w:ascii="Arial" w:eastAsia="Arial" w:hAnsi="Arial" w:cs="Arial"/>
                <w:sz w:val="22"/>
                <w:szCs w:val="22"/>
              </w:rPr>
              <w:t>module of the degree</w:t>
            </w:r>
          </w:p>
        </w:tc>
      </w:tr>
      <w:tr w:rsidR="002E0A42" w14:paraId="304A584B" w14:textId="77777777">
        <w:trPr>
          <w:trHeight w:val="978"/>
        </w:trPr>
        <w:tc>
          <w:tcPr>
            <w:tcW w:w="8856" w:type="dxa"/>
            <w:gridSpan w:val="5"/>
            <w:shd w:val="clear" w:color="auto" w:fill="D9D9D9"/>
          </w:tcPr>
          <w:p w14:paraId="56A28BF4"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I confirm that this is my original work and that I have adhered to the University policy on plagiarism.</w:t>
            </w:r>
          </w:p>
          <w:p w14:paraId="34DFEEA7"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noProof/>
              </w:rPr>
              <w:drawing>
                <wp:anchor distT="0" distB="0" distL="114300" distR="114300" simplePos="0" relativeHeight="251658240" behindDoc="0" locked="0" layoutInCell="1" hidden="0" allowOverlap="1" wp14:anchorId="7B319349" wp14:editId="37EC4D63">
                  <wp:simplePos x="0" y="0"/>
                  <wp:positionH relativeFrom="column">
                    <wp:posOffset>523800</wp:posOffset>
                  </wp:positionH>
                  <wp:positionV relativeFrom="paragraph">
                    <wp:posOffset>149225</wp:posOffset>
                  </wp:positionV>
                  <wp:extent cx="1334135" cy="305435"/>
                  <wp:effectExtent l="0" t="0" r="0" b="0"/>
                  <wp:wrapNone/>
                  <wp:docPr id="4" name="image1.jpg" descr="Immagine che contiene calligrafia, Carattere, tipografia, handwritten&#10;&#10;Descrizione generata automaticamente"/>
                  <wp:cNvGraphicFramePr/>
                  <a:graphic xmlns:a="http://schemas.openxmlformats.org/drawingml/2006/main">
                    <a:graphicData uri="http://schemas.openxmlformats.org/drawingml/2006/picture">
                      <pic:pic xmlns:pic="http://schemas.openxmlformats.org/drawingml/2006/picture">
                        <pic:nvPicPr>
                          <pic:cNvPr id="0" name="image1.jpg" descr="Immagine che contiene calligrafia, Carattere, tipografia, handwritten&#10;&#10;Descrizione generata automaticamente"/>
                          <pic:cNvPicPr preferRelativeResize="0"/>
                        </pic:nvPicPr>
                        <pic:blipFill>
                          <a:blip r:embed="rId8"/>
                          <a:srcRect/>
                          <a:stretch>
                            <a:fillRect/>
                          </a:stretch>
                        </pic:blipFill>
                        <pic:spPr>
                          <a:xfrm>
                            <a:off x="0" y="0"/>
                            <a:ext cx="1334135" cy="305435"/>
                          </a:xfrm>
                          <a:prstGeom prst="rect">
                            <a:avLst/>
                          </a:prstGeom>
                          <a:ln/>
                        </pic:spPr>
                      </pic:pic>
                    </a:graphicData>
                  </a:graphic>
                </wp:anchor>
              </w:drawing>
            </w:r>
          </w:p>
          <w:p w14:paraId="0DD33C6F" w14:textId="77777777" w:rsidR="002E0A42" w:rsidRDefault="002E0A42">
            <w:pPr>
              <w:pBdr>
                <w:top w:val="nil"/>
                <w:left w:val="nil"/>
                <w:bottom w:val="nil"/>
                <w:right w:val="nil"/>
                <w:between w:val="nil"/>
              </w:pBdr>
              <w:ind w:right="34"/>
              <w:jc w:val="left"/>
              <w:rPr>
                <w:rFonts w:ascii="Arial" w:eastAsia="Arial" w:hAnsi="Arial" w:cs="Arial"/>
                <w:color w:val="000000"/>
                <w:sz w:val="22"/>
                <w:szCs w:val="22"/>
              </w:rPr>
            </w:pPr>
          </w:p>
          <w:p w14:paraId="7BC237E7"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Signed </w:t>
            </w:r>
          </w:p>
          <w:p w14:paraId="64E780FE" w14:textId="77777777" w:rsidR="002E0A42" w:rsidRDefault="005F6144">
            <w:pPr>
              <w:pBdr>
                <w:top w:val="nil"/>
                <w:left w:val="nil"/>
                <w:bottom w:val="nil"/>
                <w:right w:val="nil"/>
                <w:between w:val="nil"/>
              </w:pBdr>
              <w:ind w:right="34"/>
              <w:jc w:val="left"/>
              <w:rPr>
                <w:rFonts w:ascii="Calibri" w:hAnsi="Calibri"/>
                <w:b/>
                <w:color w:val="000000"/>
                <w:sz w:val="44"/>
                <w:szCs w:val="44"/>
              </w:rPr>
            </w:pPr>
            <w:r>
              <w:rPr>
                <w:rFonts w:ascii="Calibri" w:hAnsi="Calibri"/>
                <w:b/>
                <w:color w:val="000000"/>
                <w:sz w:val="24"/>
                <w:szCs w:val="24"/>
              </w:rPr>
              <w:t xml:space="preserve">Email submission:if you are submitting this form via email, please tick this box </w:t>
            </w:r>
            <w:r>
              <w:rPr>
                <w:rFonts w:ascii="Arial" w:eastAsia="Arial" w:hAnsi="Arial" w:cs="Arial"/>
                <w:color w:val="000000"/>
                <w:sz w:val="22"/>
                <w:szCs w:val="22"/>
              </w:rPr>
              <w:t xml:space="preserve">☒ </w:t>
            </w:r>
          </w:p>
          <w:p w14:paraId="204C75A7"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Calibri" w:hAnsi="Calibri"/>
                <w:b/>
                <w:color w:val="000000"/>
                <w:sz w:val="24"/>
                <w:szCs w:val="24"/>
              </w:rPr>
              <w:t>(as a substitute for your signature) to confirm that you agree to the above declaration.</w:t>
            </w:r>
          </w:p>
        </w:tc>
      </w:tr>
      <w:tr w:rsidR="002E0A42" w14:paraId="08813488" w14:textId="77777777">
        <w:trPr>
          <w:trHeight w:val="3972"/>
        </w:trPr>
        <w:tc>
          <w:tcPr>
            <w:tcW w:w="8856" w:type="dxa"/>
            <w:gridSpan w:val="5"/>
          </w:tcPr>
          <w:p w14:paraId="2F29F9CF" w14:textId="77777777" w:rsidR="002E0A42" w:rsidRDefault="002E0A42">
            <w:pPr>
              <w:rPr>
                <w:rFonts w:ascii="Arial" w:eastAsia="Arial" w:hAnsi="Arial" w:cs="Arial"/>
                <w:b/>
              </w:rPr>
            </w:pPr>
          </w:p>
          <w:p w14:paraId="78613564" w14:textId="77777777" w:rsidR="002E0A42" w:rsidRDefault="005F6144">
            <w:pPr>
              <w:rPr>
                <w:rFonts w:ascii="Arial" w:eastAsia="Arial" w:hAnsi="Arial" w:cs="Arial"/>
              </w:rPr>
            </w:pPr>
            <w:r>
              <w:rPr>
                <w:rFonts w:ascii="Arial" w:eastAsia="Arial" w:hAnsi="Arial" w:cs="Arial"/>
                <w:b/>
              </w:rPr>
              <w:t>Assignment Mark</w:t>
            </w:r>
          </w:p>
          <w:tbl>
            <w:tblPr>
              <w:tblStyle w:val="a0"/>
              <w:tblW w:w="86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2E0A42" w14:paraId="5E2844D5" w14:textId="77777777">
              <w:tc>
                <w:tcPr>
                  <w:tcW w:w="6970" w:type="dxa"/>
                </w:tcPr>
                <w:p w14:paraId="444A2A33" w14:textId="77777777" w:rsidR="002E0A42" w:rsidRDefault="002E0A42">
                  <w:pPr>
                    <w:rPr>
                      <w:rFonts w:ascii="Arial" w:eastAsia="Arial" w:hAnsi="Arial" w:cs="Arial"/>
                      <w:sz w:val="20"/>
                      <w:szCs w:val="20"/>
                    </w:rPr>
                  </w:pPr>
                </w:p>
                <w:p w14:paraId="6C41BD84" w14:textId="77777777" w:rsidR="002E0A42" w:rsidRDefault="005F6144">
                  <w:pPr>
                    <w:rPr>
                      <w:rFonts w:ascii="Arial" w:eastAsia="Arial" w:hAnsi="Arial" w:cs="Arial"/>
                      <w:sz w:val="20"/>
                      <w:szCs w:val="20"/>
                    </w:rPr>
                  </w:pPr>
                  <w:r>
                    <w:rPr>
                      <w:rFonts w:ascii="Arial" w:eastAsia="Arial" w:hAnsi="Arial" w:cs="Arial"/>
                      <w:sz w:val="20"/>
                      <w:szCs w:val="20"/>
                    </w:rPr>
                    <w:t>1</w:t>
                  </w:r>
                  <w:r>
                    <w:rPr>
                      <w:rFonts w:ascii="Arial" w:eastAsia="Arial" w:hAnsi="Arial" w:cs="Arial"/>
                      <w:sz w:val="20"/>
                      <w:szCs w:val="20"/>
                      <w:vertAlign w:val="superscript"/>
                    </w:rPr>
                    <w:t>st</w:t>
                  </w:r>
                  <w:r>
                    <w:rPr>
                      <w:rFonts w:ascii="Arial" w:eastAsia="Arial" w:hAnsi="Arial" w:cs="Arial"/>
                      <w:sz w:val="20"/>
                      <w:szCs w:val="20"/>
                    </w:rPr>
                    <w:t xml:space="preserve"> Marker’s Provisional mark</w:t>
                  </w:r>
                </w:p>
              </w:tc>
              <w:tc>
                <w:tcPr>
                  <w:tcW w:w="1660" w:type="dxa"/>
                </w:tcPr>
                <w:p w14:paraId="31106CBC" w14:textId="77777777" w:rsidR="002E0A42" w:rsidRDefault="002E0A42">
                  <w:pPr>
                    <w:rPr>
                      <w:rFonts w:ascii="Arial" w:eastAsia="Arial" w:hAnsi="Arial" w:cs="Arial"/>
                      <w:sz w:val="20"/>
                      <w:szCs w:val="20"/>
                    </w:rPr>
                  </w:pPr>
                </w:p>
              </w:tc>
            </w:tr>
            <w:tr w:rsidR="002E0A42" w14:paraId="3E4CAB8E" w14:textId="77777777">
              <w:tc>
                <w:tcPr>
                  <w:tcW w:w="6970" w:type="dxa"/>
                </w:tcPr>
                <w:p w14:paraId="49E585BB" w14:textId="77777777" w:rsidR="002E0A42" w:rsidRDefault="002E0A42">
                  <w:pPr>
                    <w:rPr>
                      <w:rFonts w:ascii="Arial" w:eastAsia="Arial" w:hAnsi="Arial" w:cs="Arial"/>
                      <w:sz w:val="20"/>
                      <w:szCs w:val="20"/>
                    </w:rPr>
                  </w:pPr>
                </w:p>
                <w:p w14:paraId="0548356C" w14:textId="77777777" w:rsidR="002E0A42" w:rsidRDefault="005F6144">
                  <w:pPr>
                    <w:rPr>
                      <w:rFonts w:ascii="Arial" w:eastAsia="Arial" w:hAnsi="Arial" w:cs="Arial"/>
                      <w:sz w:val="20"/>
                      <w:szCs w:val="20"/>
                    </w:rPr>
                  </w:pPr>
                  <w:r>
                    <w:rPr>
                      <w:rFonts w:ascii="Arial" w:eastAsia="Arial" w:hAnsi="Arial" w:cs="Arial"/>
                      <w:sz w:val="20"/>
                      <w:szCs w:val="20"/>
                    </w:rPr>
                    <w:t>2</w:t>
                  </w:r>
                  <w:r>
                    <w:rPr>
                      <w:rFonts w:ascii="Arial" w:eastAsia="Arial" w:hAnsi="Arial" w:cs="Arial"/>
                      <w:sz w:val="20"/>
                      <w:szCs w:val="20"/>
                      <w:vertAlign w:val="superscript"/>
                    </w:rPr>
                    <w:t>nd</w:t>
                  </w:r>
                  <w:r>
                    <w:rPr>
                      <w:rFonts w:ascii="Arial" w:eastAsia="Arial" w:hAnsi="Arial" w:cs="Arial"/>
                      <w:sz w:val="20"/>
                      <w:szCs w:val="20"/>
                    </w:rPr>
                    <w:t xml:space="preserve"> Marker’s/Moderator’s provisional mark</w:t>
                  </w:r>
                </w:p>
              </w:tc>
              <w:tc>
                <w:tcPr>
                  <w:tcW w:w="1660" w:type="dxa"/>
                </w:tcPr>
                <w:p w14:paraId="3E362595" w14:textId="77777777" w:rsidR="002E0A42" w:rsidRDefault="002E0A42">
                  <w:pPr>
                    <w:rPr>
                      <w:rFonts w:ascii="Arial" w:eastAsia="Arial" w:hAnsi="Arial" w:cs="Arial"/>
                      <w:sz w:val="20"/>
                      <w:szCs w:val="20"/>
                    </w:rPr>
                  </w:pPr>
                </w:p>
              </w:tc>
            </w:tr>
            <w:tr w:rsidR="002E0A42" w14:paraId="45653528" w14:textId="77777777">
              <w:tc>
                <w:tcPr>
                  <w:tcW w:w="6970" w:type="dxa"/>
                </w:tcPr>
                <w:p w14:paraId="1E5E4C0B" w14:textId="77777777" w:rsidR="002E0A42" w:rsidRDefault="002E0A42">
                  <w:pPr>
                    <w:rPr>
                      <w:rFonts w:ascii="Arial" w:eastAsia="Arial" w:hAnsi="Arial" w:cs="Arial"/>
                      <w:sz w:val="20"/>
                      <w:szCs w:val="20"/>
                    </w:rPr>
                  </w:pPr>
                </w:p>
                <w:p w14:paraId="2297F33A" w14:textId="77777777" w:rsidR="002E0A42" w:rsidRDefault="005F6144">
                  <w:pPr>
                    <w:rPr>
                      <w:rFonts w:ascii="Arial" w:eastAsia="Arial" w:hAnsi="Arial" w:cs="Arial"/>
                      <w:sz w:val="20"/>
                      <w:szCs w:val="20"/>
                    </w:rPr>
                  </w:pPr>
                  <w:r>
                    <w:rPr>
                      <w:rFonts w:ascii="Arial" w:eastAsia="Arial" w:hAnsi="Arial" w:cs="Arial"/>
                      <w:sz w:val="20"/>
                      <w:szCs w:val="20"/>
                    </w:rPr>
                    <w:t>External Examiner’s mark (if relevant)</w:t>
                  </w:r>
                </w:p>
              </w:tc>
              <w:tc>
                <w:tcPr>
                  <w:tcW w:w="1660" w:type="dxa"/>
                </w:tcPr>
                <w:p w14:paraId="3A5AB882" w14:textId="77777777" w:rsidR="002E0A42" w:rsidRDefault="002E0A42">
                  <w:pPr>
                    <w:rPr>
                      <w:rFonts w:ascii="Arial" w:eastAsia="Arial" w:hAnsi="Arial" w:cs="Arial"/>
                      <w:sz w:val="20"/>
                      <w:szCs w:val="20"/>
                    </w:rPr>
                  </w:pPr>
                </w:p>
              </w:tc>
            </w:tr>
            <w:tr w:rsidR="002E0A42" w14:paraId="66D163A3" w14:textId="77777777">
              <w:tc>
                <w:tcPr>
                  <w:tcW w:w="6970" w:type="dxa"/>
                </w:tcPr>
                <w:p w14:paraId="56B528E1" w14:textId="77777777" w:rsidR="002E0A42" w:rsidRDefault="002E0A42">
                  <w:pPr>
                    <w:rPr>
                      <w:rFonts w:ascii="Arial" w:eastAsia="Arial" w:hAnsi="Arial" w:cs="Arial"/>
                      <w:sz w:val="20"/>
                      <w:szCs w:val="20"/>
                    </w:rPr>
                  </w:pPr>
                </w:p>
                <w:p w14:paraId="7EEE2869" w14:textId="77777777" w:rsidR="002E0A42" w:rsidRDefault="005F6144">
                  <w:pPr>
                    <w:rPr>
                      <w:rFonts w:ascii="Arial" w:eastAsia="Arial" w:hAnsi="Arial" w:cs="Arial"/>
                      <w:b/>
                      <w:sz w:val="20"/>
                      <w:szCs w:val="20"/>
                    </w:rPr>
                  </w:pPr>
                  <w:r>
                    <w:rPr>
                      <w:rFonts w:ascii="Arial" w:eastAsia="Arial" w:hAnsi="Arial" w:cs="Arial"/>
                      <w:b/>
                      <w:sz w:val="20"/>
                      <w:szCs w:val="20"/>
                    </w:rPr>
                    <w:t>Final Mark</w:t>
                  </w:r>
                </w:p>
                <w:p w14:paraId="11913AD6" w14:textId="77777777" w:rsidR="002E0A42" w:rsidRDefault="002E0A42">
                  <w:pPr>
                    <w:rPr>
                      <w:rFonts w:ascii="Arial" w:eastAsia="Arial" w:hAnsi="Arial" w:cs="Arial"/>
                      <w:sz w:val="20"/>
                      <w:szCs w:val="20"/>
                    </w:rPr>
                  </w:pPr>
                </w:p>
              </w:tc>
              <w:tc>
                <w:tcPr>
                  <w:tcW w:w="1660" w:type="dxa"/>
                </w:tcPr>
                <w:p w14:paraId="0B8ACC6F" w14:textId="77777777" w:rsidR="002E0A42" w:rsidRDefault="002E0A42">
                  <w:pPr>
                    <w:rPr>
                      <w:rFonts w:ascii="Arial" w:eastAsia="Arial" w:hAnsi="Arial" w:cs="Arial"/>
                      <w:sz w:val="20"/>
                      <w:szCs w:val="20"/>
                    </w:rPr>
                  </w:pPr>
                </w:p>
              </w:tc>
            </w:tr>
          </w:tbl>
          <w:p w14:paraId="09E84F97" w14:textId="77777777" w:rsidR="002E0A42" w:rsidRDefault="002E0A42">
            <w:pPr>
              <w:pBdr>
                <w:top w:val="nil"/>
                <w:left w:val="nil"/>
                <w:bottom w:val="nil"/>
                <w:right w:val="nil"/>
                <w:between w:val="nil"/>
              </w:pBdr>
              <w:ind w:left="142" w:right="34"/>
              <w:jc w:val="left"/>
              <w:rPr>
                <w:rFonts w:ascii="Arial" w:eastAsia="Arial" w:hAnsi="Arial" w:cs="Arial"/>
                <w:b/>
                <w:color w:val="000000"/>
                <w:sz w:val="22"/>
                <w:szCs w:val="22"/>
              </w:rPr>
            </w:pPr>
          </w:p>
          <w:p w14:paraId="3042127F" w14:textId="77777777" w:rsidR="002E0A42" w:rsidRDefault="005F6144">
            <w:pPr>
              <w:pBdr>
                <w:top w:val="nil"/>
                <w:left w:val="nil"/>
                <w:bottom w:val="nil"/>
                <w:right w:val="nil"/>
                <w:between w:val="nil"/>
              </w:pBdr>
              <w:ind w:left="142" w:right="34"/>
              <w:jc w:val="left"/>
              <w:rPr>
                <w:rFonts w:ascii="Arial" w:eastAsia="Arial" w:hAnsi="Arial" w:cs="Arial"/>
                <w:color w:val="000000"/>
                <w:sz w:val="22"/>
                <w:szCs w:val="22"/>
              </w:rPr>
            </w:pPr>
            <w:r>
              <w:rPr>
                <w:rFonts w:ascii="Arial" w:eastAsia="Arial" w:hAnsi="Arial" w:cs="Arial"/>
                <w:b/>
                <w:color w:val="000000"/>
                <w:sz w:val="22"/>
                <w:szCs w:val="22"/>
              </w:rPr>
              <w:t>NB.</w:t>
            </w:r>
            <w:r>
              <w:rPr>
                <w:rFonts w:ascii="Arial" w:eastAsia="Arial" w:hAnsi="Arial" w:cs="Arial"/>
                <w:color w:val="000000"/>
                <w:sz w:val="22"/>
                <w:szCs w:val="22"/>
              </w:rPr>
              <w:t xml:space="preserve">  All marks are provisional until confirmed by the Final Examination Board.</w:t>
            </w:r>
          </w:p>
          <w:p w14:paraId="71CC6647"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497CB152"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4FAB769F"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7FF297CF"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18B6EF8A"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3D10470B" w14:textId="77777777" w:rsidR="002E0A42" w:rsidRDefault="005F6144">
            <w:pPr>
              <w:pBdr>
                <w:top w:val="nil"/>
                <w:left w:val="nil"/>
                <w:bottom w:val="nil"/>
                <w:right w:val="nil"/>
                <w:between w:val="nil"/>
              </w:pBdr>
              <w:jc w:val="left"/>
              <w:rPr>
                <w:rFonts w:ascii="Arial" w:eastAsia="Arial" w:hAnsi="Arial" w:cs="Arial"/>
                <w:b/>
                <w:color w:val="000000"/>
                <w:sz w:val="22"/>
                <w:szCs w:val="22"/>
              </w:rPr>
            </w:pPr>
            <w:r>
              <w:rPr>
                <w:rFonts w:ascii="Arial" w:eastAsia="Arial" w:hAnsi="Arial" w:cs="Arial"/>
                <w:b/>
                <w:color w:val="000000"/>
                <w:sz w:val="22"/>
                <w:szCs w:val="22"/>
              </w:rPr>
              <w:t>For completion by Marker 1 :</w:t>
            </w:r>
          </w:p>
          <w:p w14:paraId="34823688" w14:textId="77777777" w:rsidR="002E0A42" w:rsidRDefault="005F6144">
            <w:pPr>
              <w:pBdr>
                <w:top w:val="nil"/>
                <w:left w:val="nil"/>
                <w:bottom w:val="nil"/>
                <w:right w:val="nil"/>
                <w:between w:val="nil"/>
              </w:pBdr>
              <w:jc w:val="left"/>
              <w:rPr>
                <w:rFonts w:ascii="Arial" w:eastAsia="Arial" w:hAnsi="Arial" w:cs="Arial"/>
                <w:color w:val="000000"/>
                <w:sz w:val="22"/>
                <w:szCs w:val="22"/>
              </w:rPr>
            </w:pPr>
            <w:r>
              <w:rPr>
                <w:rFonts w:ascii="Arial" w:eastAsia="Arial" w:hAnsi="Arial" w:cs="Arial"/>
                <w:color w:val="000000"/>
                <w:sz w:val="22"/>
                <w:szCs w:val="22"/>
              </w:rPr>
              <w:t>Comments:</w:t>
            </w:r>
          </w:p>
          <w:p w14:paraId="0272C877" w14:textId="77777777" w:rsidR="002E0A42" w:rsidRDefault="002E0A42">
            <w:pPr>
              <w:pBdr>
                <w:top w:val="nil"/>
                <w:left w:val="nil"/>
                <w:bottom w:val="nil"/>
                <w:right w:val="nil"/>
                <w:between w:val="nil"/>
              </w:pBdr>
              <w:jc w:val="left"/>
              <w:rPr>
                <w:rFonts w:ascii="Arial" w:eastAsia="Arial" w:hAnsi="Arial" w:cs="Arial"/>
                <w:color w:val="000000"/>
                <w:sz w:val="22"/>
                <w:szCs w:val="22"/>
              </w:rPr>
            </w:pPr>
          </w:p>
        </w:tc>
      </w:tr>
      <w:tr w:rsidR="002E0A42" w14:paraId="3B95ADC3" w14:textId="77777777">
        <w:trPr>
          <w:trHeight w:val="492"/>
        </w:trPr>
        <w:tc>
          <w:tcPr>
            <w:tcW w:w="6768" w:type="dxa"/>
            <w:gridSpan w:val="3"/>
          </w:tcPr>
          <w:p w14:paraId="5FC8FAD5" w14:textId="77777777" w:rsidR="002E0A42" w:rsidRDefault="005F6144">
            <w:pPr>
              <w:pBdr>
                <w:top w:val="nil"/>
                <w:left w:val="nil"/>
                <w:bottom w:val="nil"/>
                <w:right w:val="nil"/>
                <w:between w:val="nil"/>
              </w:pBdr>
              <w:ind w:left="142" w:right="34"/>
              <w:jc w:val="left"/>
              <w:rPr>
                <w:rFonts w:ascii="Arial" w:eastAsia="Arial" w:hAnsi="Arial" w:cs="Arial"/>
                <w:color w:val="000000"/>
                <w:sz w:val="22"/>
                <w:szCs w:val="22"/>
              </w:rPr>
            </w:pPr>
            <w:r>
              <w:rPr>
                <w:rFonts w:ascii="Arial" w:eastAsia="Arial" w:hAnsi="Arial" w:cs="Arial"/>
                <w:color w:val="000000"/>
                <w:sz w:val="22"/>
                <w:szCs w:val="22"/>
              </w:rPr>
              <w:t>Marker’s signature:</w:t>
            </w:r>
          </w:p>
        </w:tc>
        <w:tc>
          <w:tcPr>
            <w:tcW w:w="2088" w:type="dxa"/>
            <w:gridSpan w:val="2"/>
          </w:tcPr>
          <w:p w14:paraId="3C4B9B68" w14:textId="77777777" w:rsidR="002E0A42" w:rsidRDefault="005F6144">
            <w:pPr>
              <w:pBdr>
                <w:top w:val="nil"/>
                <w:left w:val="nil"/>
                <w:bottom w:val="nil"/>
                <w:right w:val="nil"/>
                <w:between w:val="nil"/>
              </w:pBdr>
              <w:ind w:left="142" w:right="34"/>
              <w:jc w:val="left"/>
              <w:rPr>
                <w:rFonts w:ascii="Arial" w:eastAsia="Arial" w:hAnsi="Arial" w:cs="Arial"/>
                <w:color w:val="000000"/>
                <w:sz w:val="22"/>
                <w:szCs w:val="22"/>
              </w:rPr>
            </w:pPr>
            <w:r>
              <w:rPr>
                <w:rFonts w:ascii="Arial" w:eastAsia="Arial" w:hAnsi="Arial" w:cs="Arial"/>
                <w:color w:val="000000"/>
                <w:sz w:val="22"/>
                <w:szCs w:val="22"/>
              </w:rPr>
              <w:t>Date:</w:t>
            </w:r>
          </w:p>
        </w:tc>
      </w:tr>
      <w:tr w:rsidR="002E0A42" w14:paraId="3281B834" w14:textId="77777777">
        <w:tc>
          <w:tcPr>
            <w:tcW w:w="8856" w:type="dxa"/>
            <w:gridSpan w:val="5"/>
          </w:tcPr>
          <w:p w14:paraId="7837E887" w14:textId="77777777" w:rsidR="002E0A42" w:rsidRDefault="002E0A42">
            <w:pPr>
              <w:pBdr>
                <w:top w:val="nil"/>
                <w:left w:val="nil"/>
                <w:bottom w:val="nil"/>
                <w:right w:val="nil"/>
                <w:between w:val="nil"/>
              </w:pBdr>
              <w:ind w:right="-334"/>
              <w:jc w:val="left"/>
              <w:rPr>
                <w:rFonts w:ascii="Arial" w:eastAsia="Arial" w:hAnsi="Arial" w:cs="Arial"/>
                <w:i/>
                <w:color w:val="000000"/>
                <w:sz w:val="22"/>
                <w:szCs w:val="22"/>
              </w:rPr>
            </w:pPr>
          </w:p>
          <w:p w14:paraId="13E08951" w14:textId="77777777" w:rsidR="002E0A42" w:rsidRDefault="005F6144">
            <w:pPr>
              <w:pBdr>
                <w:top w:val="nil"/>
                <w:left w:val="nil"/>
                <w:bottom w:val="nil"/>
                <w:right w:val="nil"/>
                <w:between w:val="nil"/>
              </w:pBdr>
              <w:ind w:right="-334"/>
              <w:jc w:val="left"/>
              <w:rPr>
                <w:rFonts w:ascii="Arial" w:eastAsia="Arial" w:hAnsi="Arial" w:cs="Arial"/>
                <w:b/>
                <w:color w:val="000000"/>
                <w:sz w:val="22"/>
                <w:szCs w:val="22"/>
              </w:rPr>
            </w:pPr>
            <w:r>
              <w:rPr>
                <w:rFonts w:ascii="Arial" w:eastAsia="Arial" w:hAnsi="Arial" w:cs="Arial"/>
                <w:b/>
                <w:color w:val="000000"/>
                <w:sz w:val="22"/>
                <w:szCs w:val="22"/>
              </w:rPr>
              <w:t>For completion by Marker 2/Moderator:</w:t>
            </w:r>
          </w:p>
          <w:p w14:paraId="2800AF16" w14:textId="77777777" w:rsidR="002E0A42" w:rsidRDefault="002E0A42">
            <w:pPr>
              <w:pBdr>
                <w:top w:val="nil"/>
                <w:left w:val="nil"/>
                <w:bottom w:val="nil"/>
                <w:right w:val="nil"/>
                <w:between w:val="nil"/>
              </w:pBdr>
              <w:ind w:right="-334"/>
              <w:jc w:val="left"/>
              <w:rPr>
                <w:rFonts w:ascii="Arial" w:eastAsia="Arial" w:hAnsi="Arial" w:cs="Arial"/>
                <w:b/>
                <w:color w:val="000000"/>
                <w:sz w:val="22"/>
                <w:szCs w:val="22"/>
              </w:rPr>
            </w:pPr>
          </w:p>
          <w:p w14:paraId="3D499D7C" w14:textId="77777777" w:rsidR="002E0A42" w:rsidRDefault="005F6144">
            <w:pPr>
              <w:pBdr>
                <w:top w:val="nil"/>
                <w:left w:val="nil"/>
                <w:bottom w:val="nil"/>
                <w:right w:val="nil"/>
                <w:between w:val="nil"/>
              </w:pBdr>
              <w:ind w:right="-334"/>
              <w:jc w:val="left"/>
              <w:rPr>
                <w:rFonts w:ascii="Arial" w:eastAsia="Arial" w:hAnsi="Arial" w:cs="Arial"/>
                <w:color w:val="000000"/>
                <w:sz w:val="22"/>
                <w:szCs w:val="22"/>
              </w:rPr>
            </w:pPr>
            <w:r>
              <w:rPr>
                <w:rFonts w:ascii="Arial" w:eastAsia="Arial" w:hAnsi="Arial" w:cs="Arial"/>
                <w:color w:val="000000"/>
                <w:sz w:val="22"/>
                <w:szCs w:val="22"/>
              </w:rPr>
              <w:t>Comments:</w:t>
            </w:r>
          </w:p>
          <w:p w14:paraId="4C2B6441"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37B1F305"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40C4E5C0"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5CAED5E8"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3A511959"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54462CAB"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232C84F3"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7DF5162C"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3E608328"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17946209"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tc>
      </w:tr>
      <w:tr w:rsidR="002E0A42" w14:paraId="00DCB494" w14:textId="77777777">
        <w:trPr>
          <w:trHeight w:val="720"/>
        </w:trPr>
        <w:tc>
          <w:tcPr>
            <w:tcW w:w="5211" w:type="dxa"/>
            <w:gridSpan w:val="2"/>
          </w:tcPr>
          <w:p w14:paraId="358480ED" w14:textId="77777777" w:rsidR="002E0A42" w:rsidRDefault="005F6144">
            <w:pPr>
              <w:pBdr>
                <w:top w:val="nil"/>
                <w:left w:val="nil"/>
                <w:bottom w:val="nil"/>
                <w:right w:val="nil"/>
                <w:between w:val="nil"/>
              </w:pBdr>
              <w:ind w:right="-334"/>
              <w:jc w:val="left"/>
              <w:rPr>
                <w:rFonts w:ascii="Arial" w:eastAsia="Arial" w:hAnsi="Arial" w:cs="Arial"/>
                <w:color w:val="000000"/>
                <w:sz w:val="22"/>
                <w:szCs w:val="22"/>
              </w:rPr>
            </w:pPr>
            <w:r>
              <w:rPr>
                <w:rFonts w:ascii="Arial" w:eastAsia="Arial" w:hAnsi="Arial" w:cs="Arial"/>
                <w:color w:val="000000"/>
                <w:sz w:val="22"/>
                <w:szCs w:val="22"/>
              </w:rPr>
              <w:lastRenderedPageBreak/>
              <w:t>Marker’s Signature:</w:t>
            </w:r>
          </w:p>
        </w:tc>
        <w:tc>
          <w:tcPr>
            <w:tcW w:w="3645" w:type="dxa"/>
            <w:gridSpan w:val="3"/>
          </w:tcPr>
          <w:p w14:paraId="3752DC5D" w14:textId="77777777" w:rsidR="002E0A42" w:rsidRDefault="005F6144">
            <w:pPr>
              <w:pBdr>
                <w:top w:val="nil"/>
                <w:left w:val="nil"/>
                <w:bottom w:val="nil"/>
                <w:right w:val="nil"/>
                <w:between w:val="nil"/>
              </w:pBdr>
              <w:ind w:right="-334"/>
              <w:jc w:val="left"/>
              <w:rPr>
                <w:rFonts w:ascii="Arial" w:eastAsia="Arial" w:hAnsi="Arial" w:cs="Arial"/>
                <w:color w:val="000000"/>
                <w:sz w:val="22"/>
                <w:szCs w:val="22"/>
              </w:rPr>
            </w:pPr>
            <w:r>
              <w:rPr>
                <w:rFonts w:ascii="Arial" w:eastAsia="Arial" w:hAnsi="Arial" w:cs="Arial"/>
                <w:color w:val="000000"/>
                <w:sz w:val="22"/>
                <w:szCs w:val="22"/>
              </w:rPr>
              <w:t>Date:</w:t>
            </w:r>
          </w:p>
        </w:tc>
      </w:tr>
      <w:tr w:rsidR="002E0A42" w14:paraId="216DD69F" w14:textId="77777777">
        <w:trPr>
          <w:trHeight w:val="720"/>
        </w:trPr>
        <w:tc>
          <w:tcPr>
            <w:tcW w:w="8856" w:type="dxa"/>
            <w:gridSpan w:val="5"/>
          </w:tcPr>
          <w:p w14:paraId="2E084E9C" w14:textId="77777777" w:rsidR="002E0A42" w:rsidRDefault="005F6144">
            <w:pPr>
              <w:rPr>
                <w:rFonts w:ascii="Arial" w:eastAsia="Arial" w:hAnsi="Arial" w:cs="Arial"/>
                <w:b/>
                <w:sz w:val="22"/>
                <w:szCs w:val="22"/>
              </w:rPr>
            </w:pPr>
            <w:r>
              <w:rPr>
                <w:rFonts w:ascii="Arial" w:eastAsia="Arial" w:hAnsi="Arial" w:cs="Arial"/>
                <w:b/>
                <w:sz w:val="22"/>
                <w:szCs w:val="22"/>
              </w:rPr>
              <w:t>External Examiner’s comments (if relevant)</w:t>
            </w:r>
          </w:p>
          <w:p w14:paraId="0FBC7D09"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4D157063"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4A856B4E"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7B726FB1"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7033C9C4"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0DD056C6"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0C9D9312"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141FC24E"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tc>
      </w:tr>
      <w:tr w:rsidR="002E0A42" w14:paraId="286EFD33" w14:textId="77777777">
        <w:trPr>
          <w:trHeight w:val="720"/>
        </w:trPr>
        <w:tc>
          <w:tcPr>
            <w:tcW w:w="5211" w:type="dxa"/>
            <w:gridSpan w:val="2"/>
          </w:tcPr>
          <w:p w14:paraId="0DCF52A7" w14:textId="77777777" w:rsidR="002E0A42" w:rsidRDefault="005F6144">
            <w:pPr>
              <w:rPr>
                <w:rFonts w:ascii="Arial" w:eastAsia="Arial" w:hAnsi="Arial" w:cs="Arial"/>
                <w:sz w:val="22"/>
                <w:szCs w:val="22"/>
              </w:rPr>
            </w:pPr>
            <w:r>
              <w:rPr>
                <w:rFonts w:ascii="Arial" w:eastAsia="Arial" w:hAnsi="Arial" w:cs="Arial"/>
                <w:sz w:val="22"/>
                <w:szCs w:val="22"/>
              </w:rPr>
              <w:t>External Examiner’s Signature:</w:t>
            </w:r>
          </w:p>
        </w:tc>
        <w:tc>
          <w:tcPr>
            <w:tcW w:w="3645" w:type="dxa"/>
            <w:gridSpan w:val="3"/>
          </w:tcPr>
          <w:p w14:paraId="65A28FAE" w14:textId="77777777" w:rsidR="002E0A42" w:rsidRDefault="005F6144">
            <w:pPr>
              <w:rPr>
                <w:rFonts w:ascii="Arial" w:eastAsia="Arial" w:hAnsi="Arial" w:cs="Arial"/>
                <w:sz w:val="22"/>
                <w:szCs w:val="22"/>
              </w:rPr>
            </w:pPr>
            <w:r>
              <w:rPr>
                <w:rFonts w:ascii="Arial" w:eastAsia="Arial" w:hAnsi="Arial" w:cs="Arial"/>
                <w:sz w:val="22"/>
                <w:szCs w:val="22"/>
              </w:rPr>
              <w:t>Date:</w:t>
            </w:r>
          </w:p>
        </w:tc>
      </w:tr>
    </w:tbl>
    <w:p w14:paraId="44F45216" w14:textId="77777777" w:rsidR="002E0A42" w:rsidRDefault="002E0A42">
      <w:pPr>
        <w:pBdr>
          <w:top w:val="nil"/>
          <w:left w:val="nil"/>
          <w:bottom w:val="nil"/>
          <w:right w:val="nil"/>
          <w:between w:val="nil"/>
        </w:pBdr>
        <w:ind w:right="-334"/>
        <w:jc w:val="left"/>
        <w:rPr>
          <w:rFonts w:ascii="Trebuchet MS" w:eastAsia="Trebuchet MS" w:hAnsi="Trebuchet MS" w:cs="Trebuchet MS"/>
          <w:color w:val="000000"/>
          <w:sz w:val="24"/>
          <w:szCs w:val="24"/>
        </w:rPr>
      </w:pPr>
    </w:p>
    <w:p w14:paraId="6BFDF78C" w14:textId="77777777" w:rsidR="002E0A42" w:rsidRDefault="005F6144">
      <w:pPr>
        <w:rPr>
          <w:b/>
        </w:rPr>
      </w:pPr>
      <w:r>
        <w:br w:type="page"/>
      </w:r>
    </w:p>
    <w:p w14:paraId="090EA2BC" w14:textId="77777777" w:rsidR="002E0A42" w:rsidRDefault="005F6144">
      <w:pPr>
        <w:pBdr>
          <w:top w:val="nil"/>
          <w:left w:val="nil"/>
          <w:bottom w:val="nil"/>
          <w:right w:val="nil"/>
          <w:between w:val="nil"/>
        </w:pBdr>
        <w:ind w:right="34"/>
        <w:jc w:val="left"/>
        <w:rPr>
          <w:rFonts w:ascii="Calibri" w:hAnsi="Calibri"/>
          <w:color w:val="000000"/>
          <w:sz w:val="22"/>
          <w:szCs w:val="22"/>
        </w:rPr>
      </w:pPr>
      <w:r>
        <w:rPr>
          <w:rFonts w:ascii="Calibri" w:hAnsi="Calibri"/>
          <w:color w:val="000000"/>
          <w:sz w:val="22"/>
          <w:szCs w:val="22"/>
        </w:rPr>
        <w:lastRenderedPageBreak/>
        <w:t>HPCA7016</w:t>
      </w:r>
    </w:p>
    <w:p w14:paraId="1185B6EE" w14:textId="77777777" w:rsidR="002E0A42" w:rsidRDefault="002E0A42">
      <w:pPr>
        <w:pBdr>
          <w:top w:val="nil"/>
          <w:left w:val="nil"/>
          <w:bottom w:val="nil"/>
          <w:right w:val="nil"/>
          <w:between w:val="nil"/>
        </w:pBdr>
        <w:ind w:left="720" w:firstLine="0"/>
        <w:jc w:val="left"/>
        <w:rPr>
          <w:rFonts w:ascii="Calibri" w:hAnsi="Calibri"/>
          <w:b/>
          <w:color w:val="000000"/>
          <w:sz w:val="24"/>
          <w:szCs w:val="24"/>
        </w:rPr>
      </w:pPr>
    </w:p>
    <w:p w14:paraId="51C77784" w14:textId="77777777" w:rsidR="002E0A42" w:rsidRDefault="005F6144">
      <w:pPr>
        <w:rPr>
          <w:rFonts w:ascii="Calibri" w:hAnsi="Calibri"/>
          <w:b/>
          <w:sz w:val="24"/>
          <w:szCs w:val="24"/>
        </w:rPr>
      </w:pPr>
      <w:r>
        <w:rPr>
          <w:rFonts w:ascii="Calibri" w:hAnsi="Calibri"/>
          <w:b/>
          <w:sz w:val="24"/>
          <w:szCs w:val="24"/>
        </w:rPr>
        <w:t xml:space="preserve">A Critical Comparison of Two Secondary Sources. </w:t>
      </w:r>
    </w:p>
    <w:p w14:paraId="6C40DF7D" w14:textId="6E8FEEBF" w:rsidR="002E0A42" w:rsidRDefault="005F6144">
      <w:pPr>
        <w:rPr>
          <w:sz w:val="20"/>
          <w:szCs w:val="20"/>
        </w:rPr>
      </w:pPr>
      <w:r>
        <w:rPr>
          <w:sz w:val="20"/>
          <w:szCs w:val="20"/>
        </w:rPr>
        <w:t>Word Count:  (2</w:t>
      </w:r>
      <w:r w:rsidR="00C21706">
        <w:rPr>
          <w:sz w:val="20"/>
          <w:szCs w:val="20"/>
        </w:rPr>
        <w:t>7</w:t>
      </w:r>
      <w:r w:rsidR="00705957">
        <w:rPr>
          <w:sz w:val="20"/>
          <w:szCs w:val="20"/>
        </w:rPr>
        <w:t>1</w:t>
      </w:r>
      <w:r w:rsidR="002C2108">
        <w:rPr>
          <w:sz w:val="20"/>
          <w:szCs w:val="20"/>
        </w:rPr>
        <w:t>2</w:t>
      </w:r>
      <w:r w:rsidR="00705957">
        <w:rPr>
          <w:sz w:val="20"/>
          <w:szCs w:val="20"/>
        </w:rPr>
        <w:t>)</w:t>
      </w:r>
    </w:p>
    <w:p w14:paraId="0FCAA4C4" w14:textId="77777777" w:rsidR="002E0A42" w:rsidRDefault="002E0A42">
      <w:pPr>
        <w:ind w:firstLine="0"/>
        <w:rPr>
          <w:sz w:val="22"/>
          <w:szCs w:val="22"/>
        </w:rPr>
      </w:pPr>
    </w:p>
    <w:p w14:paraId="406BB8EC" w14:textId="77777777" w:rsidR="001036D3" w:rsidRDefault="001036D3"/>
    <w:p w14:paraId="07BAC663" w14:textId="77777777" w:rsidR="001036D3" w:rsidRDefault="001036D3"/>
    <w:p w14:paraId="3BCEEA23" w14:textId="77777777" w:rsidR="001036D3" w:rsidRDefault="001036D3"/>
    <w:p w14:paraId="6C1FAB79" w14:textId="0BF902BB" w:rsidR="002E0A42" w:rsidRDefault="005F6144">
      <w:r>
        <w:t xml:space="preserve">This essay compares and contrasts T.L. Brink’s study ‘Inconsistency of Belief among Roman Catholic Girls: Concerning Religion, Astrology, Reincarnation’, published in </w:t>
      </w:r>
      <w:r>
        <w:rPr>
          <w:i/>
        </w:rPr>
        <w:t>The Review of Religious Research</w:t>
      </w:r>
      <w:r>
        <w:t xml:space="preserve"> in 1978,</w:t>
      </w:r>
      <w:r>
        <w:rPr>
          <w:vertAlign w:val="superscript"/>
        </w:rPr>
        <w:footnoteReference w:id="1"/>
      </w:r>
      <w:r>
        <w:t xml:space="preserve"> with Tony Walter and Helen J. Waterhouse’s research ‘A Very Private Belief: Reincarnation in Contemporary England’, published in </w:t>
      </w:r>
      <w:r>
        <w:rPr>
          <w:i/>
        </w:rPr>
        <w:t>Sociology of Religion</w:t>
      </w:r>
      <w:r>
        <w:t xml:space="preserve"> in 1999.</w:t>
      </w:r>
      <w:r>
        <w:rPr>
          <w:vertAlign w:val="superscript"/>
        </w:rPr>
        <w:footnoteReference w:id="2"/>
      </w:r>
      <w:r>
        <w:t xml:space="preserve"> While both papers investigate the relationship between institutional religion, private religiosity and belief in reincarnation in contemporary England, the former inquires the coexistence of Catholic faith with the belief in astrology and/or reincarnation within a group of Catholic high school female students, and the latter explores the meaning of reincarnation and the role of the privatisation of XX century’s belief.</w:t>
      </w:r>
    </w:p>
    <w:p w14:paraId="16022A9C" w14:textId="7DD37A09" w:rsidR="002E0A42" w:rsidRDefault="005F6144">
      <w:r>
        <w:t xml:space="preserve">I shall first introduce the authors of the papers, the context in which the research was conducted and a summary of the main arguments proposed in the studies, along with their findings. Subsequently, I shall present an evaluation of the papers’ methodological approach and style, </w:t>
      </w:r>
      <w:r w:rsidR="008C32D6">
        <w:t>and their use of sources and findings to support their conclusions.</w:t>
      </w:r>
    </w:p>
    <w:p w14:paraId="6C295AA4" w14:textId="77777777" w:rsidR="002E0A42" w:rsidRDefault="002E0A42">
      <w:pPr>
        <w:rPr>
          <w:i/>
        </w:rPr>
      </w:pPr>
    </w:p>
    <w:p w14:paraId="098739B8" w14:textId="3E0E6EFD" w:rsidR="002E0A42" w:rsidRDefault="005F6144">
      <w:pPr>
        <w:ind w:left="708" w:firstLine="708"/>
        <w:rPr>
          <w:b/>
        </w:rPr>
      </w:pPr>
      <w:r>
        <w:rPr>
          <w:i/>
        </w:rPr>
        <w:t>T.L Brink and inconsistent beliefs</w:t>
      </w:r>
    </w:p>
    <w:p w14:paraId="23BE104D" w14:textId="77777777" w:rsidR="002E0A42" w:rsidRDefault="005F6144">
      <w:r>
        <w:t>Dr. Brink is a retired</w:t>
      </w:r>
      <w:r>
        <w:rPr>
          <w:vertAlign w:val="superscript"/>
        </w:rPr>
        <w:footnoteReference w:id="3"/>
      </w:r>
      <w:r>
        <w:t xml:space="preserve"> social scientist, previously Professor of Psychology at Crafton Hills College after having been appointed to several faculties amongst which Stanford University School of Medicine.</w:t>
      </w:r>
      <w:r>
        <w:rPr>
          <w:vertAlign w:val="superscript"/>
        </w:rPr>
        <w:footnoteReference w:id="4"/>
      </w:r>
      <w:r>
        <w:t xml:space="preserve"> His research interests concern ‘clinical assessment and treatment of mental disorders in later life, religious phenomena, cancer attitudes, consumer behavior, qualitative research methods, and Big Data Analytics using Bayesian Sequential Statistics’.</w:t>
      </w:r>
      <w:r>
        <w:rPr>
          <w:vertAlign w:val="superscript"/>
        </w:rPr>
        <w:footnoteReference w:id="5"/>
      </w:r>
      <w:r>
        <w:t xml:space="preserve"> </w:t>
      </w:r>
    </w:p>
    <w:p w14:paraId="4D842640" w14:textId="77777777" w:rsidR="002E0A42" w:rsidRDefault="005F6144">
      <w:r>
        <w:lastRenderedPageBreak/>
        <w:t>His article was published in 1978, while Brink was earning his Ph.D. in Psychology and Religion (1978, University of Chicago);</w:t>
      </w:r>
      <w:r>
        <w:rPr>
          <w:vertAlign w:val="superscript"/>
        </w:rPr>
        <w:footnoteReference w:id="6"/>
      </w:r>
      <w:r>
        <w:t xml:space="preserve"> it appeared in the </w:t>
      </w:r>
      <w:r>
        <w:rPr>
          <w:i/>
        </w:rPr>
        <w:t>Review of Religious Research</w:t>
      </w:r>
      <w:r>
        <w:t>, a peer-reviewed academic journal aimed at reporting empirical research dealing with religion and spirituality through an interdisciplinary approach ranging from sociology and psychology to political science and economics.</w:t>
      </w:r>
      <w:r>
        <w:rPr>
          <w:vertAlign w:val="superscript"/>
        </w:rPr>
        <w:footnoteReference w:id="7"/>
      </w:r>
      <w:r>
        <w:t xml:space="preserve"> </w:t>
      </w:r>
    </w:p>
    <w:p w14:paraId="61BC3BA4" w14:textId="77777777" w:rsidR="002E0A42" w:rsidRDefault="005F6144">
      <w:r>
        <w:t>His research hypothesis relies on the concept of cognitive consistency, a term that, as the American social psychologist Theodor Newcomb explains, refers to a group of psychological theories that emerged independently in the 1950s and 1960s, all sharing the idea that each individual ‘behaves in a way that maximizes the internal consistency of his cognitive system’.</w:t>
      </w:r>
      <w:r>
        <w:rPr>
          <w:vertAlign w:val="superscript"/>
        </w:rPr>
        <w:footnoteReference w:id="8"/>
      </w:r>
      <w:r>
        <w:t xml:space="preserve"> Within this theoretical framework, Brink attempts to verify whether a simultaneous belief in astrology, in reincarnation and in Roman Catholic religion could be maintained in spite of the “logical incompatibility”</w:t>
      </w:r>
      <w:r>
        <w:rPr>
          <w:vertAlign w:val="superscript"/>
        </w:rPr>
        <w:footnoteReference w:id="9"/>
      </w:r>
      <w:r>
        <w:t xml:space="preserve"> of their principles. His survey involved specifically 227 junior and senior school students attending a Catholic girls school on the northwest side of Chicago, most of which had Italian or Polish origins. </w:t>
      </w:r>
    </w:p>
    <w:p w14:paraId="03B569C9" w14:textId="25EBB50B" w:rsidR="001036D3" w:rsidRPr="001036D3" w:rsidRDefault="005F6144" w:rsidP="001036D3">
      <w:r>
        <w:t>Dr. Brink bases his study on the assumption that such different systems of belief are mutually incompatible: the presence of a providential God allowing human beings freedom of choice exclude both the existence of astral predestination and the possibility of karmic reincarnation. As reported in the article, in June 1976 Brink proceeds by delivering a questionnaire during a class of religion; a table attached to the paper</w:t>
      </w:r>
      <w:r>
        <w:rPr>
          <w:vertAlign w:val="superscript"/>
        </w:rPr>
        <w:footnoteReference w:id="10"/>
      </w:r>
      <w:r>
        <w:t xml:space="preserve"> indicates that a list of statements about God and the personal relationship with the Catholic religion, together with explicit declaration of a belief in astrology and/or in reincarnation were provided to the students. According to the results, not only ‘the hypothesis was not confirmed’,</w:t>
      </w:r>
      <w:r>
        <w:rPr>
          <w:vertAlign w:val="superscript"/>
        </w:rPr>
        <w:footnoteReference w:id="11"/>
      </w:r>
      <w:r>
        <w:t xml:space="preserve"> as Brink attests, but the students who expressed belief in astrology and/or in reincarnation did not manifest a significant discrepancy in their adherence to the Catholic doctrine than those who are strictly Catholic in their belief. Moreover, which Brink finds even more striking,</w:t>
      </w:r>
      <w:r>
        <w:rPr>
          <w:vertAlign w:val="superscript"/>
        </w:rPr>
        <w:footnoteReference w:id="12"/>
      </w:r>
      <w:r>
        <w:t xml:space="preserve"> several students expressed a belief in both astrology and reincarnation, without rejecting their Catholic religion. Following Erik Erikson’s thought as expressed in </w:t>
      </w:r>
      <w:r>
        <w:rPr>
          <w:i/>
        </w:rPr>
        <w:t>Childhood and Marginality</w:t>
      </w:r>
      <w:r>
        <w:t xml:space="preserve"> (1950)</w:t>
      </w:r>
      <w:r>
        <w:rPr>
          <w:vertAlign w:val="superscript"/>
        </w:rPr>
        <w:footnoteReference w:id="13"/>
      </w:r>
      <w:r>
        <w:t xml:space="preserve"> or </w:t>
      </w:r>
      <w:r>
        <w:rPr>
          <w:i/>
        </w:rPr>
        <w:t>Identity and the Life Cycle</w:t>
      </w:r>
      <w:r>
        <w:t xml:space="preserve"> (1959)</w:t>
      </w:r>
      <w:r>
        <w:rPr>
          <w:vertAlign w:val="superscript"/>
        </w:rPr>
        <w:footnoteReference w:id="14"/>
      </w:r>
      <w:r>
        <w:t>, Brink resorts to the ‘confusion and uncertainty’</w:t>
      </w:r>
      <w:r>
        <w:rPr>
          <w:vertAlign w:val="superscript"/>
        </w:rPr>
        <w:footnoteReference w:id="15"/>
      </w:r>
      <w:r>
        <w:t xml:space="preserve"> of adolescence as a plausible explanation for the coexistence of incompatible systems </w:t>
      </w:r>
      <w:r>
        <w:lastRenderedPageBreak/>
        <w:t>of belief, and encourages further studies which could shed light on the factors related to ‘belief inconsistency’</w:t>
      </w:r>
      <w:r>
        <w:rPr>
          <w:vertAlign w:val="superscript"/>
        </w:rPr>
        <w:footnoteReference w:id="16"/>
      </w:r>
      <w:r>
        <w:t xml:space="preserve"> during that life stage. In his attempt to individuate the possible roots for this outcome, Brink takes into account the fragmentation</w:t>
      </w:r>
      <w:r>
        <w:rPr>
          <w:vertAlign w:val="superscript"/>
        </w:rPr>
        <w:footnoteReference w:id="17"/>
      </w:r>
      <w:r>
        <w:t xml:space="preserve"> of American culture at that period – quoting from the introductory paragraph of Robert Bellah’s ‘Christianity and Symbolic Realism’ (1970)</w:t>
      </w:r>
      <w:r>
        <w:rPr>
          <w:vertAlign w:val="superscript"/>
        </w:rPr>
        <w:footnoteReference w:id="18"/>
      </w:r>
      <w:r>
        <w:t xml:space="preserve"> – and the development of the counterculture movement amongst young people, which introduces alternative and foreign spiritual paths and doctrines. In particular, Robert Wuthnow’s study ‘Astrology and marginality’ (1976)</w:t>
      </w:r>
      <w:r>
        <w:rPr>
          <w:vertAlign w:val="superscript"/>
        </w:rPr>
        <w:footnoteReference w:id="19"/>
      </w:r>
      <w:r>
        <w:t xml:space="preserve"> provides Brink with a further evidence not only of a correlation between interest in astrology and the diffusion of the counterculture, but especially between astrology and the socially ‘marginal and deprived’, ‘the less educated, blacks, and women—all of whom have been recognized as relatively deprived of the power, prestige, wealth, and other rewards which society offers’.</w:t>
      </w:r>
      <w:r>
        <w:rPr>
          <w:vertAlign w:val="superscript"/>
        </w:rPr>
        <w:footnoteReference w:id="20"/>
      </w:r>
      <w:r>
        <w:t xml:space="preserve"> Nevertheless, Wuthnow’s hypothesis that astrology may serve as a substitute for a more conventional religion is not confirmed by Brink’s study, since the students who believe in astrology and/or reincarnation seem not to have abandoned their commitment to the Catholic faith.</w:t>
      </w:r>
      <w:r>
        <w:rPr>
          <w:vertAlign w:val="superscript"/>
        </w:rPr>
        <w:footnoteReference w:id="21"/>
      </w:r>
      <w:r>
        <w:t xml:space="preserve"> Brinks concludes his paper with a reflection on the function of belief as a protection for the ego’s inability to cope with fearful situations. By the same token, Brink proposes that beliefs which ‘could not fit together in the structure of the same logical system’</w:t>
      </w:r>
      <w:r>
        <w:rPr>
          <w:vertAlign w:val="superscript"/>
        </w:rPr>
        <w:footnoteReference w:id="22"/>
      </w:r>
      <w:r>
        <w:t xml:space="preserve"> might support an individual ‘as different means to the same end’,</w:t>
      </w:r>
      <w:r>
        <w:rPr>
          <w:vertAlign w:val="superscript"/>
        </w:rPr>
        <w:footnoteReference w:id="23"/>
      </w:r>
      <w:r>
        <w:t xml:space="preserve"> and this, in his view, could be particularly evident in the attempt of teen-agers to cope with the typical uncertainty of their age. </w:t>
      </w:r>
    </w:p>
    <w:p w14:paraId="010B8B9F" w14:textId="77777777" w:rsidR="001036D3" w:rsidRDefault="001036D3">
      <w:pPr>
        <w:ind w:left="708" w:firstLine="708"/>
        <w:rPr>
          <w:i/>
        </w:rPr>
      </w:pPr>
    </w:p>
    <w:p w14:paraId="0DDF5E81" w14:textId="61A7E510" w:rsidR="002E0A42" w:rsidRDefault="005F6144">
      <w:pPr>
        <w:ind w:left="708" w:firstLine="708"/>
        <w:rPr>
          <w:i/>
        </w:rPr>
      </w:pPr>
      <w:r>
        <w:rPr>
          <w:i/>
        </w:rPr>
        <w:t>Walter and Waterhouse’s private belief in reincarnation</w:t>
      </w:r>
    </w:p>
    <w:p w14:paraId="4D393B9A" w14:textId="0119ECB7" w:rsidR="002E0A42" w:rsidRDefault="005F6144">
      <w:r>
        <w:t>Tony Walter is a sociologist and historian of Economics,</w:t>
      </w:r>
      <w:r>
        <w:rPr>
          <w:vertAlign w:val="superscript"/>
        </w:rPr>
        <w:footnoteReference w:id="24"/>
      </w:r>
      <w:r>
        <w:t xml:space="preserve"> now Emeritus Professor of Death Studies at the University of Bath.</w:t>
      </w:r>
      <w:r>
        <w:rPr>
          <w:vertAlign w:val="superscript"/>
        </w:rPr>
        <w:footnoteReference w:id="25"/>
      </w:r>
      <w:r>
        <w:t xml:space="preserve"> His research interests concern the concepts of death and reincarnation within the history of religion and of spirituality.</w:t>
      </w:r>
      <w:r>
        <w:rPr>
          <w:vertAlign w:val="superscript"/>
        </w:rPr>
        <w:footnoteReference w:id="26"/>
      </w:r>
      <w:r>
        <w:t xml:space="preserve"> Freelance scholar for several years until 1994, he wrote books on various topics including ‘the treatment of young offenders, religion and society, landscape, unemployment, social security, basic income, and the concept of need’</w:t>
      </w:r>
      <w:r>
        <w:rPr>
          <w:vertAlign w:val="superscript"/>
        </w:rPr>
        <w:footnoteReference w:id="27"/>
      </w:r>
      <w:r>
        <w:t xml:space="preserve"> before focusing his sociological research on  the human relationship with death and mourning, discussed in publications such as </w:t>
      </w:r>
      <w:r>
        <w:rPr>
          <w:i/>
        </w:rPr>
        <w:t>What Death Means Now</w:t>
      </w:r>
      <w:r>
        <w:t xml:space="preserve"> (2017)</w:t>
      </w:r>
      <w:r>
        <w:rPr>
          <w:vertAlign w:val="superscript"/>
        </w:rPr>
        <w:footnoteReference w:id="28"/>
      </w:r>
      <w:r>
        <w:t xml:space="preserve"> and </w:t>
      </w:r>
      <w:r>
        <w:rPr>
          <w:i/>
        </w:rPr>
        <w:t>Death in the Modern World</w:t>
      </w:r>
      <w:r>
        <w:t xml:space="preserve"> </w:t>
      </w:r>
      <w:r>
        <w:lastRenderedPageBreak/>
        <w:t>(2020). Dr Helen Waterhouse is a historian of Religion and expert of Buddhism, in particular of the development of</w:t>
      </w:r>
      <w:r w:rsidR="00791ED8">
        <w:t xml:space="preserve"> </w:t>
      </w:r>
      <w:r>
        <w:t>British Buddhism.</w:t>
      </w:r>
      <w:r>
        <w:rPr>
          <w:vertAlign w:val="superscript"/>
        </w:rPr>
        <w:footnoteReference w:id="29"/>
      </w:r>
      <w:r>
        <w:t xml:space="preserve"> Besides the article in analysis, they published together other studies about belief in reincarnation in 2001 and 2003.</w:t>
      </w:r>
      <w:r>
        <w:rPr>
          <w:vertAlign w:val="superscript"/>
        </w:rPr>
        <w:footnoteReference w:id="30"/>
      </w:r>
    </w:p>
    <w:p w14:paraId="27B05A63" w14:textId="09E5AB61" w:rsidR="002E0A42" w:rsidRDefault="005F6144">
      <w:r>
        <w:t xml:space="preserve">Published in the academic journal </w:t>
      </w:r>
      <w:r>
        <w:rPr>
          <w:i/>
        </w:rPr>
        <w:t>Sociology of Religion</w:t>
      </w:r>
      <w:r>
        <w:t xml:space="preserve"> – the official journal of the Association for the Sociology of Religion, aimed at ‘advancing scholarship in the sociological study of religion’</w:t>
      </w:r>
      <w:r>
        <w:rPr>
          <w:vertAlign w:val="superscript"/>
        </w:rPr>
        <w:footnoteReference w:id="31"/>
      </w:r>
      <w:r>
        <w:t xml:space="preserve"> – the article presents the results of a survey conducted on a small-scale in 1997. Four different groups of people had been interviewed by Waterhouse: a first group of adults, recorded individually in their homes, and three group interviews involving schoolchildren from the age of 11 up to 18 years old.</w:t>
      </w:r>
      <w:r>
        <w:rPr>
          <w:vertAlign w:val="superscript"/>
        </w:rPr>
        <w:footnoteReference w:id="32"/>
      </w:r>
    </w:p>
    <w:p w14:paraId="213828CC" w14:textId="730C01D3" w:rsidR="004533CB" w:rsidRDefault="00FE51F3" w:rsidP="004533CB">
      <w:r>
        <w:t>Despite the sample is defined by the researchers as ‘typical of reincarnationists’,</w:t>
      </w:r>
      <w:r>
        <w:rPr>
          <w:rStyle w:val="Rimandonotaapidipagina"/>
        </w:rPr>
        <w:footnoteReference w:id="33"/>
      </w:r>
      <w:r>
        <w:t xml:space="preserve"> also over-representing higher social classes as well as older age groups, Walter and Waterhouse highlight that, rather than presenting a representative sample, their aim is to ‘discover the range of meanings given to the idea of reincarnation’,</w:t>
      </w:r>
      <w:r>
        <w:rPr>
          <w:rStyle w:val="Rimandonotaapidipagina"/>
        </w:rPr>
        <w:footnoteReference w:id="34"/>
      </w:r>
      <w:r>
        <w:t xml:space="preserve"> and, as it is also expressed clearly in the introduction, their research question deals precisely with the concept of reincarnation for those who believe in it, the reasons for their attraction to it, and the impact that this belief has on their lives.</w:t>
      </w:r>
      <w:r>
        <w:rPr>
          <w:rStyle w:val="Rimandonotaapidipagina"/>
        </w:rPr>
        <w:footnoteReference w:id="35"/>
      </w:r>
      <w:r w:rsidR="004533CB">
        <w:t xml:space="preserve"> Moreover, they mention that further analyses on the data can be found in a series of articles published individually by the two authors.</w:t>
      </w:r>
      <w:r w:rsidR="004533CB">
        <w:rPr>
          <w:rStyle w:val="Rimandonotaapidipagina"/>
        </w:rPr>
        <w:footnoteReference w:id="36"/>
      </w:r>
    </w:p>
    <w:p w14:paraId="5F7B7F75" w14:textId="32007F0D" w:rsidR="002E0A42" w:rsidRDefault="004533CB" w:rsidP="004533CB">
      <w:r>
        <w:t>After presenting existing data related to the question</w:t>
      </w:r>
      <w:r w:rsidR="005F6144">
        <w:t xml:space="preserve">, the scholars </w:t>
      </w:r>
      <w:r>
        <w:t xml:space="preserve">build their theoretical framework </w:t>
      </w:r>
      <w:r w:rsidR="005F6144">
        <w:t>report</w:t>
      </w:r>
      <w:r>
        <w:t>ing</w:t>
      </w:r>
      <w:r w:rsidR="005F6144">
        <w:t xml:space="preserve"> the arguments of Berger</w:t>
      </w:r>
      <w:r w:rsidR="001036D3">
        <w:rPr>
          <w:rStyle w:val="Rimandonotaapidipagina"/>
        </w:rPr>
        <w:footnoteReference w:id="37"/>
      </w:r>
      <w:r w:rsidR="005F6144">
        <w:t xml:space="preserve"> and Davie</w:t>
      </w:r>
      <w:r w:rsidR="001036D3">
        <w:rPr>
          <w:rStyle w:val="Rimandonotaapidipagina"/>
        </w:rPr>
        <w:footnoteReference w:id="38"/>
      </w:r>
      <w:r w:rsidR="001036D3">
        <w:t xml:space="preserve"> </w:t>
      </w:r>
      <w:r w:rsidR="005F6144">
        <w:t>about religion in the contemporary era. The former, writing in 1969, maintains that religion, by shifting entirely to the private sphere of life, went through a process of ‘“individualization”’ which entailed not only a legitim</w:t>
      </w:r>
      <w:r w:rsidR="006D2D0A">
        <w:t>a</w:t>
      </w:r>
      <w:r w:rsidR="005F6144">
        <w:t>tion for the individuals to choose the preferred system of belief, but also the desegregation of the ‘binding quality’ typical of the religious community.</w:t>
      </w:r>
      <w:r w:rsidR="001036D3">
        <w:rPr>
          <w:rStyle w:val="Rimandonotaapidipagina"/>
        </w:rPr>
        <w:footnoteReference w:id="39"/>
      </w:r>
      <w:r w:rsidR="005F6144">
        <w:t xml:space="preserve"> The latter, who writes </w:t>
      </w:r>
      <w:r w:rsidR="005F6144">
        <w:lastRenderedPageBreak/>
        <w:t>in the 90s, argues that such a privatisation of religion not only reduced the number of people going to church</w:t>
      </w:r>
      <w:r w:rsidR="006E61E8">
        <w:t>,</w:t>
      </w:r>
      <w:r w:rsidR="006E61E8">
        <w:rPr>
          <w:rStyle w:val="Rimandonotaapidipagina"/>
        </w:rPr>
        <w:footnoteReference w:id="40"/>
      </w:r>
      <w:r w:rsidR="005F6144">
        <w:t xml:space="preserve"> such that the mass is attended mainly for rites of passage</w:t>
      </w:r>
      <w:r w:rsidR="006E61E8">
        <w:t>,</w:t>
      </w:r>
      <w:r w:rsidR="006E61E8">
        <w:rPr>
          <w:rStyle w:val="Rimandonotaapidipagina"/>
        </w:rPr>
        <w:footnoteReference w:id="41"/>
      </w:r>
      <w:r w:rsidR="006E61E8">
        <w:t xml:space="preserve"> </w:t>
      </w:r>
      <w:r w:rsidR="005F6144">
        <w:t>but both the sense of belonging to a congregation and the need to follow orthodoxy disappeared, limiting the influence of the church on moral values.</w:t>
      </w:r>
      <w:r w:rsidR="001036D3">
        <w:rPr>
          <w:rStyle w:val="Rimandonotaapidipagina"/>
        </w:rPr>
        <w:footnoteReference w:id="42"/>
      </w:r>
      <w:r w:rsidR="006E61E8">
        <w:t xml:space="preserve"> </w:t>
      </w:r>
      <w:r w:rsidR="005F6144">
        <w:t>Hence, Walter and Waterhouse aim at investigating the extent to which the ‘private belief par excellence’,</w:t>
      </w:r>
      <w:r w:rsidR="006E61E8">
        <w:rPr>
          <w:rStyle w:val="Rimandonotaapidipagina"/>
        </w:rPr>
        <w:footnoteReference w:id="43"/>
      </w:r>
      <w:r w:rsidR="005F6144">
        <w:t xml:space="preserve"> namely reincarnation, can coexist with such forms of unorthodox Catholic beliefs, as well as orthodox believers, and if it has an impact on the individuals’ behaviours and morality. In order to interpret their data, the two researchers firstly investigated the nature of belief, its sources and contents, and the effects it has on human behaviour.</w:t>
      </w:r>
    </w:p>
    <w:p w14:paraId="00B32CCA" w14:textId="682A5E47" w:rsidR="00301329" w:rsidRDefault="005F6144" w:rsidP="0033789E">
      <w:pPr>
        <w:ind w:firstLine="0"/>
      </w:pPr>
      <w:r>
        <w:t>While assessing the belief in reincarnation was generally perceived as difficult to capture when the issue was constricted within the boundaries of closed questions, individuating the sources of the interviewees’ belief allowed the researchers to individuate three main factors–namely, ‘intellectual / non experiential’ reflections and questions, frequently involving justice and suffering; ‘second-hand experiences’, encountered through books or television, of people claiming to have precognitions or memories of past lives; and ‘first-hand experiences’, described by Walter and Waterhouse as ‘fleeting and insubstantial’, far from the spectacular stories that can be found in popular books.</w:t>
      </w:r>
      <w:r w:rsidR="00F06D53">
        <w:rPr>
          <w:rStyle w:val="Rimandonotaapidipagina"/>
        </w:rPr>
        <w:footnoteReference w:id="44"/>
      </w:r>
      <w:r>
        <w:t xml:space="preserve"> As for the content of belief, many interviewees mentioned the notion of karma, mostly referring to the idea of self-determination and the payoff for our actions, which is ‘compatible with the western notions of self-determination and progress’, comment the researchers,</w:t>
      </w:r>
      <w:r w:rsidR="00F06D53">
        <w:rPr>
          <w:rStyle w:val="Rimandonotaapidipagina"/>
        </w:rPr>
        <w:footnoteReference w:id="45"/>
      </w:r>
      <w:r w:rsidR="00F06D53">
        <w:t xml:space="preserve"> </w:t>
      </w:r>
      <w:r>
        <w:t>together with the concept of purgatory. However, Walter and Waterhouse highlight that, despite some interpreting such an interest in imagining the return into a corporeal life after death as a sign of a materialistic love for one’s own body - they refer to Giddens as an example of this view - they observed that it is, in fact, the opposite: for most of the people they interviewed, the body is described as ‘“just an overcoat”’ for the far more significant spirit, and reincarnation is perceived as a way to ‘confirm or amplify their sense of self’—a self understood in the modern framework as solid and individual, rather than in deconstructive postmodernism, in detached Buddhism or in a tribal framework.</w:t>
      </w:r>
      <w:r w:rsidR="00F06D53">
        <w:rPr>
          <w:rStyle w:val="Rimandonotaapidipagina"/>
        </w:rPr>
        <w:footnoteReference w:id="46"/>
      </w:r>
    </w:p>
    <w:p w14:paraId="3F8ECC18" w14:textId="77777777" w:rsidR="002F45C5" w:rsidRDefault="002F45C5" w:rsidP="00C50FE2">
      <w:pPr>
        <w:ind w:firstLine="0"/>
      </w:pPr>
    </w:p>
    <w:p w14:paraId="1A902EDD" w14:textId="77777777" w:rsidR="002E0A42" w:rsidRPr="009A2920" w:rsidRDefault="005F6144" w:rsidP="008C32D6">
      <w:pPr>
        <w:ind w:left="720" w:firstLine="720"/>
      </w:pPr>
      <w:r w:rsidRPr="009A2920">
        <w:rPr>
          <w:i/>
        </w:rPr>
        <w:t>Analysis</w:t>
      </w:r>
    </w:p>
    <w:p w14:paraId="196494A0" w14:textId="29410E55" w:rsidR="00301329" w:rsidRPr="00476B5F" w:rsidRDefault="00301329" w:rsidP="00301329">
      <w:pPr>
        <w:rPr>
          <w:sz w:val="22"/>
          <w:szCs w:val="22"/>
        </w:rPr>
      </w:pPr>
      <w:r w:rsidRPr="00301329">
        <w:rPr>
          <w:sz w:val="22"/>
          <w:szCs w:val="22"/>
        </w:rPr>
        <w:t xml:space="preserve">In order to compare the papers, I shall consider the following parameters: </w:t>
      </w:r>
      <w:r w:rsidRPr="00476B5F">
        <w:rPr>
          <w:sz w:val="22"/>
          <w:szCs w:val="22"/>
        </w:rPr>
        <w:t xml:space="preserve">clearly expressed </w:t>
      </w:r>
      <w:r w:rsidRPr="00301329">
        <w:rPr>
          <w:sz w:val="22"/>
          <w:szCs w:val="22"/>
        </w:rPr>
        <w:t>research question</w:t>
      </w:r>
      <w:r w:rsidR="009A2920">
        <w:rPr>
          <w:sz w:val="22"/>
          <w:szCs w:val="22"/>
        </w:rPr>
        <w:t>s</w:t>
      </w:r>
      <w:r w:rsidRPr="00476B5F">
        <w:rPr>
          <w:sz w:val="22"/>
          <w:szCs w:val="22"/>
        </w:rPr>
        <w:t xml:space="preserve">; the writing style and the way in which arguments are presented; </w:t>
      </w:r>
      <w:r w:rsidR="001654E7" w:rsidRPr="00476B5F">
        <w:rPr>
          <w:sz w:val="22"/>
          <w:szCs w:val="22"/>
        </w:rPr>
        <w:t>the methodology: the approach, the</w:t>
      </w:r>
      <w:r w:rsidR="009A2920">
        <w:rPr>
          <w:sz w:val="22"/>
          <w:szCs w:val="22"/>
        </w:rPr>
        <w:t xml:space="preserve"> </w:t>
      </w:r>
      <w:r w:rsidR="001654E7" w:rsidRPr="00476B5F">
        <w:rPr>
          <w:sz w:val="22"/>
          <w:szCs w:val="22"/>
        </w:rPr>
        <w:t>theoretical framework and use of the primary sources, the use of data to support evidence for the</w:t>
      </w:r>
      <w:r w:rsidR="009A2920">
        <w:rPr>
          <w:sz w:val="22"/>
          <w:szCs w:val="22"/>
        </w:rPr>
        <w:t xml:space="preserve"> </w:t>
      </w:r>
      <w:r w:rsidR="001654E7" w:rsidRPr="00476B5F">
        <w:rPr>
          <w:sz w:val="22"/>
          <w:szCs w:val="22"/>
        </w:rPr>
        <w:t>conclusions</w:t>
      </w:r>
      <w:r w:rsidRPr="00476B5F">
        <w:rPr>
          <w:sz w:val="22"/>
          <w:szCs w:val="22"/>
        </w:rPr>
        <w:t>.</w:t>
      </w:r>
    </w:p>
    <w:p w14:paraId="2117CA04" w14:textId="3FCF8F0C" w:rsidR="00301329" w:rsidRDefault="00301329" w:rsidP="00FC4971">
      <w:pPr>
        <w:rPr>
          <w:sz w:val="22"/>
          <w:szCs w:val="22"/>
        </w:rPr>
      </w:pPr>
      <w:r>
        <w:rPr>
          <w:sz w:val="22"/>
          <w:szCs w:val="22"/>
        </w:rPr>
        <w:lastRenderedPageBreak/>
        <w:t xml:space="preserve">In his paper, Brink does not present explicitly a clear research question. </w:t>
      </w:r>
      <w:r w:rsidR="00FC4971">
        <w:rPr>
          <w:sz w:val="22"/>
          <w:szCs w:val="22"/>
        </w:rPr>
        <w:t>Though, i</w:t>
      </w:r>
      <w:r>
        <w:rPr>
          <w:sz w:val="22"/>
          <w:szCs w:val="22"/>
        </w:rPr>
        <w:t xml:space="preserve">t can be inferred that his purpose is to verify </w:t>
      </w:r>
      <w:r w:rsidR="00FC4971">
        <w:rPr>
          <w:sz w:val="22"/>
          <w:szCs w:val="22"/>
        </w:rPr>
        <w:t>the</w:t>
      </w:r>
      <w:r>
        <w:rPr>
          <w:sz w:val="22"/>
          <w:szCs w:val="22"/>
        </w:rPr>
        <w:t xml:space="preserve"> </w:t>
      </w:r>
      <w:r w:rsidR="009A2920">
        <w:rPr>
          <w:sz w:val="22"/>
          <w:szCs w:val="22"/>
        </w:rPr>
        <w:t xml:space="preserve">validity of the cognitive consistency </w:t>
      </w:r>
      <w:r>
        <w:rPr>
          <w:sz w:val="22"/>
          <w:szCs w:val="22"/>
        </w:rPr>
        <w:t>theory</w:t>
      </w:r>
      <w:r w:rsidR="009A2920">
        <w:rPr>
          <w:sz w:val="22"/>
          <w:szCs w:val="22"/>
        </w:rPr>
        <w:t>, according to which</w:t>
      </w:r>
      <w:r>
        <w:rPr>
          <w:sz w:val="22"/>
          <w:szCs w:val="22"/>
        </w:rPr>
        <w:t xml:space="preserve"> </w:t>
      </w:r>
      <w:r w:rsidR="009A2920">
        <w:rPr>
          <w:sz w:val="22"/>
          <w:szCs w:val="22"/>
        </w:rPr>
        <w:t xml:space="preserve">human beings aim at preserving consistent behaviours, and therefore they should necessarily tend to be consistent also with their </w:t>
      </w:r>
      <w:r>
        <w:rPr>
          <w:sz w:val="22"/>
          <w:szCs w:val="22"/>
        </w:rPr>
        <w:t>system</w:t>
      </w:r>
      <w:r w:rsidR="009A2920">
        <w:rPr>
          <w:sz w:val="22"/>
          <w:szCs w:val="22"/>
        </w:rPr>
        <w:t>s</w:t>
      </w:r>
      <w:r>
        <w:rPr>
          <w:sz w:val="22"/>
          <w:szCs w:val="22"/>
        </w:rPr>
        <w:t xml:space="preserve"> of belief</w:t>
      </w:r>
      <w:r w:rsidR="009A2920">
        <w:rPr>
          <w:sz w:val="22"/>
          <w:szCs w:val="22"/>
        </w:rPr>
        <w:t>.</w:t>
      </w:r>
      <w:r w:rsidR="00FC4971">
        <w:rPr>
          <w:sz w:val="22"/>
          <w:szCs w:val="22"/>
        </w:rPr>
        <w:t xml:space="preserve"> </w:t>
      </w:r>
      <w:r w:rsidR="009A2920">
        <w:rPr>
          <w:sz w:val="22"/>
          <w:szCs w:val="22"/>
        </w:rPr>
        <w:t>All this</w:t>
      </w:r>
      <w:r w:rsidR="00FC4971">
        <w:rPr>
          <w:sz w:val="22"/>
          <w:szCs w:val="22"/>
        </w:rPr>
        <w:t xml:space="preserve">, he admits, ‘was </w:t>
      </w:r>
      <w:r w:rsidR="00FC4971">
        <w:rPr>
          <w:i/>
          <w:iCs/>
          <w:sz w:val="22"/>
          <w:szCs w:val="22"/>
        </w:rPr>
        <w:t>not</w:t>
      </w:r>
      <w:r w:rsidR="00FC4971">
        <w:rPr>
          <w:sz w:val="22"/>
          <w:szCs w:val="22"/>
        </w:rPr>
        <w:t xml:space="preserve"> confirmed’.</w:t>
      </w:r>
      <w:r w:rsidR="00FC4971">
        <w:rPr>
          <w:rStyle w:val="Rimandonotaapidipagina"/>
          <w:sz w:val="22"/>
          <w:szCs w:val="22"/>
        </w:rPr>
        <w:footnoteReference w:id="47"/>
      </w:r>
      <w:r w:rsidR="00FC4971">
        <w:rPr>
          <w:sz w:val="22"/>
          <w:szCs w:val="22"/>
        </w:rPr>
        <w:t xml:space="preserve"> Conversely, </w:t>
      </w:r>
      <w:r w:rsidR="009A2920">
        <w:rPr>
          <w:sz w:val="22"/>
          <w:szCs w:val="22"/>
        </w:rPr>
        <w:t xml:space="preserve">in their very systematic approach, </w:t>
      </w:r>
      <w:r w:rsidR="00FC4971">
        <w:rPr>
          <w:sz w:val="22"/>
          <w:szCs w:val="22"/>
        </w:rPr>
        <w:t xml:space="preserve">Walter and Waterhouse express multiple times, in a clear and direct manner, what </w:t>
      </w:r>
      <w:r w:rsidR="009A2920">
        <w:rPr>
          <w:sz w:val="22"/>
          <w:szCs w:val="22"/>
        </w:rPr>
        <w:t xml:space="preserve">is </w:t>
      </w:r>
      <w:r w:rsidR="00FC4971">
        <w:rPr>
          <w:sz w:val="22"/>
          <w:szCs w:val="22"/>
        </w:rPr>
        <w:t>the purpose of the</w:t>
      </w:r>
      <w:r w:rsidR="003718CA">
        <w:rPr>
          <w:sz w:val="22"/>
          <w:szCs w:val="22"/>
        </w:rPr>
        <w:t>i</w:t>
      </w:r>
      <w:r w:rsidR="00FC4971">
        <w:rPr>
          <w:sz w:val="22"/>
          <w:szCs w:val="22"/>
        </w:rPr>
        <w:t>r research, and what are the questions they want to investigate.</w:t>
      </w:r>
      <w:r w:rsidR="00DF7D37">
        <w:rPr>
          <w:rStyle w:val="Rimandonotaapidipagina"/>
          <w:sz w:val="22"/>
          <w:szCs w:val="22"/>
        </w:rPr>
        <w:footnoteReference w:id="48"/>
      </w:r>
    </w:p>
    <w:p w14:paraId="11816B63" w14:textId="68BDE80C" w:rsidR="00B234D0" w:rsidRDefault="00FC4971" w:rsidP="00300B30">
      <w:pPr>
        <w:rPr>
          <w:sz w:val="22"/>
          <w:szCs w:val="22"/>
        </w:rPr>
      </w:pPr>
      <w:r>
        <w:rPr>
          <w:sz w:val="22"/>
          <w:szCs w:val="22"/>
        </w:rPr>
        <w:t>Both papers are stylistically well written, clearly structured and expressed with appropriate language. Walter and Waterhouse’s paper is more precise in describing the process of their research, their rationale, their use of data</w:t>
      </w:r>
      <w:r w:rsidR="00506633">
        <w:rPr>
          <w:sz w:val="22"/>
          <w:szCs w:val="22"/>
        </w:rPr>
        <w:t xml:space="preserve">, the phases of their </w:t>
      </w:r>
      <w:r w:rsidR="0033789E">
        <w:rPr>
          <w:sz w:val="22"/>
          <w:szCs w:val="22"/>
        </w:rPr>
        <w:t>inductive</w:t>
      </w:r>
      <w:r w:rsidR="00506633">
        <w:rPr>
          <w:sz w:val="22"/>
          <w:szCs w:val="22"/>
        </w:rPr>
        <w:t xml:space="preserve"> approach as well as in presenting existing surveys and results. Brink’s paper appear</w:t>
      </w:r>
      <w:r w:rsidR="003718CA">
        <w:rPr>
          <w:sz w:val="22"/>
          <w:szCs w:val="22"/>
        </w:rPr>
        <w:t>s</w:t>
      </w:r>
      <w:r w:rsidR="00506633">
        <w:rPr>
          <w:sz w:val="22"/>
          <w:szCs w:val="22"/>
        </w:rPr>
        <w:t xml:space="preserve">, instead, consistently shorter and weaker in the strength of its argumentations. </w:t>
      </w:r>
      <w:r w:rsidR="009A2920">
        <w:rPr>
          <w:sz w:val="22"/>
          <w:szCs w:val="22"/>
        </w:rPr>
        <w:t>In t</w:t>
      </w:r>
      <w:r w:rsidR="00506633">
        <w:rPr>
          <w:sz w:val="22"/>
          <w:szCs w:val="22"/>
        </w:rPr>
        <w:t>he introduction</w:t>
      </w:r>
      <w:r w:rsidR="009A2920">
        <w:rPr>
          <w:sz w:val="22"/>
          <w:szCs w:val="22"/>
        </w:rPr>
        <w:t>, he</w:t>
      </w:r>
      <w:r w:rsidR="00506633">
        <w:rPr>
          <w:sz w:val="22"/>
          <w:szCs w:val="22"/>
        </w:rPr>
        <w:t xml:space="preserve"> </w:t>
      </w:r>
      <w:r w:rsidR="0033789E">
        <w:rPr>
          <w:sz w:val="22"/>
          <w:szCs w:val="22"/>
        </w:rPr>
        <w:t>makes reference to</w:t>
      </w:r>
      <w:r w:rsidR="00506633">
        <w:rPr>
          <w:sz w:val="22"/>
          <w:szCs w:val="22"/>
        </w:rPr>
        <w:t xml:space="preserve"> the existence of ‘several psychological theories’</w:t>
      </w:r>
      <w:r w:rsidR="00506633">
        <w:rPr>
          <w:rStyle w:val="Rimandonotaapidipagina"/>
          <w:sz w:val="22"/>
          <w:szCs w:val="22"/>
        </w:rPr>
        <w:footnoteReference w:id="49"/>
      </w:r>
      <w:r w:rsidR="00506633">
        <w:rPr>
          <w:sz w:val="22"/>
          <w:szCs w:val="22"/>
        </w:rPr>
        <w:t xml:space="preserve"> on which his research is based, but Brink only mentions the terms of such formulations without going into detail </w:t>
      </w:r>
      <w:r w:rsidR="009A2920">
        <w:rPr>
          <w:sz w:val="22"/>
          <w:szCs w:val="22"/>
        </w:rPr>
        <w:t>or</w:t>
      </w:r>
      <w:r w:rsidR="00506633">
        <w:rPr>
          <w:sz w:val="22"/>
          <w:szCs w:val="22"/>
        </w:rPr>
        <w:t xml:space="preserve"> </w:t>
      </w:r>
      <w:r w:rsidR="00300B30">
        <w:rPr>
          <w:sz w:val="22"/>
          <w:szCs w:val="22"/>
        </w:rPr>
        <w:t>informing</w:t>
      </w:r>
      <w:r w:rsidR="00506633">
        <w:rPr>
          <w:sz w:val="22"/>
          <w:szCs w:val="22"/>
        </w:rPr>
        <w:t xml:space="preserve"> the reader </w:t>
      </w:r>
      <w:r w:rsidR="00300B30">
        <w:rPr>
          <w:sz w:val="22"/>
          <w:szCs w:val="22"/>
        </w:rPr>
        <w:t>about</w:t>
      </w:r>
      <w:r w:rsidR="00506633">
        <w:rPr>
          <w:sz w:val="22"/>
          <w:szCs w:val="22"/>
        </w:rPr>
        <w:t xml:space="preserve"> the concept of cognitive consistency.</w:t>
      </w:r>
      <w:r w:rsidR="00FC2957">
        <w:rPr>
          <w:sz w:val="22"/>
          <w:szCs w:val="22"/>
        </w:rPr>
        <w:t xml:space="preserve"> Subsequently, Brink presents</w:t>
      </w:r>
      <w:r w:rsidR="00B943D9">
        <w:rPr>
          <w:sz w:val="22"/>
          <w:szCs w:val="22"/>
        </w:rPr>
        <w:t xml:space="preserve"> as granted the fact that a simultaneous belief in </w:t>
      </w:r>
      <w:r w:rsidR="00300B30">
        <w:rPr>
          <w:sz w:val="22"/>
          <w:szCs w:val="22"/>
        </w:rPr>
        <w:t xml:space="preserve">the </w:t>
      </w:r>
      <w:r w:rsidR="00B943D9">
        <w:rPr>
          <w:sz w:val="22"/>
          <w:szCs w:val="22"/>
        </w:rPr>
        <w:t xml:space="preserve">Catholic doctrine, </w:t>
      </w:r>
      <w:r w:rsidR="00300B30">
        <w:rPr>
          <w:sz w:val="22"/>
          <w:szCs w:val="22"/>
        </w:rPr>
        <w:t xml:space="preserve">in </w:t>
      </w:r>
      <w:r w:rsidR="00B943D9">
        <w:rPr>
          <w:sz w:val="22"/>
          <w:szCs w:val="22"/>
        </w:rPr>
        <w:t xml:space="preserve">astrology and </w:t>
      </w:r>
      <w:r w:rsidR="00300B30">
        <w:rPr>
          <w:sz w:val="22"/>
          <w:szCs w:val="22"/>
        </w:rPr>
        <w:t xml:space="preserve">in </w:t>
      </w:r>
      <w:r w:rsidR="00B943D9">
        <w:rPr>
          <w:sz w:val="22"/>
          <w:szCs w:val="22"/>
        </w:rPr>
        <w:t xml:space="preserve">reincarnation is logically incompatible. Despite </w:t>
      </w:r>
      <w:r w:rsidR="00300B30">
        <w:rPr>
          <w:sz w:val="22"/>
          <w:szCs w:val="22"/>
        </w:rPr>
        <w:t>the fact that such a theoretical statement would deserve and need a more evident justification to prove its validity</w:t>
      </w:r>
      <w:r w:rsidR="00B943D9">
        <w:rPr>
          <w:sz w:val="22"/>
          <w:szCs w:val="22"/>
        </w:rPr>
        <w:t xml:space="preserve">, </w:t>
      </w:r>
      <w:r w:rsidR="00300B30">
        <w:rPr>
          <w:sz w:val="22"/>
          <w:szCs w:val="22"/>
        </w:rPr>
        <w:t xml:space="preserve">several </w:t>
      </w:r>
      <w:r w:rsidR="00B943D9">
        <w:rPr>
          <w:sz w:val="22"/>
          <w:szCs w:val="22"/>
        </w:rPr>
        <w:t xml:space="preserve">centuries of philosophical and theological debates demonstrate that in practice things turn out to be </w:t>
      </w:r>
      <w:r w:rsidR="00300B30">
        <w:rPr>
          <w:sz w:val="22"/>
          <w:szCs w:val="22"/>
        </w:rPr>
        <w:t xml:space="preserve">quite </w:t>
      </w:r>
      <w:r w:rsidR="00B943D9">
        <w:rPr>
          <w:sz w:val="22"/>
          <w:szCs w:val="22"/>
        </w:rPr>
        <w:t xml:space="preserve">different—and not </w:t>
      </w:r>
      <w:r w:rsidR="00300B30">
        <w:rPr>
          <w:sz w:val="22"/>
          <w:szCs w:val="22"/>
        </w:rPr>
        <w:t xml:space="preserve">merely </w:t>
      </w:r>
      <w:r w:rsidR="00B943D9">
        <w:rPr>
          <w:sz w:val="22"/>
          <w:szCs w:val="22"/>
        </w:rPr>
        <w:t>due to the state of confusion of the adolescents’ mind. Perhaps a reflection o</w:t>
      </w:r>
      <w:r w:rsidR="00300B30">
        <w:rPr>
          <w:sz w:val="22"/>
          <w:szCs w:val="22"/>
        </w:rPr>
        <w:t>n</w:t>
      </w:r>
      <w:r w:rsidR="00B943D9">
        <w:rPr>
          <w:sz w:val="22"/>
          <w:szCs w:val="22"/>
        </w:rPr>
        <w:t xml:space="preserve"> the complexity of the relationship between fate, providence</w:t>
      </w:r>
      <w:r w:rsidR="00300B30">
        <w:rPr>
          <w:sz w:val="22"/>
          <w:szCs w:val="22"/>
        </w:rPr>
        <w:t xml:space="preserve">, </w:t>
      </w:r>
      <w:r w:rsidR="00B234D0">
        <w:rPr>
          <w:sz w:val="22"/>
          <w:szCs w:val="22"/>
        </w:rPr>
        <w:t>planetary influence</w:t>
      </w:r>
      <w:r w:rsidR="00300B30">
        <w:rPr>
          <w:sz w:val="22"/>
          <w:szCs w:val="22"/>
        </w:rPr>
        <w:t>,</w:t>
      </w:r>
      <w:r w:rsidR="00B234D0">
        <w:rPr>
          <w:sz w:val="22"/>
          <w:szCs w:val="22"/>
        </w:rPr>
        <w:t xml:space="preserve"> </w:t>
      </w:r>
      <w:r w:rsidR="00300B30">
        <w:rPr>
          <w:sz w:val="22"/>
          <w:szCs w:val="22"/>
        </w:rPr>
        <w:t xml:space="preserve">as well as on the concept of reincarnation, </w:t>
      </w:r>
      <w:r w:rsidR="00B234D0">
        <w:rPr>
          <w:sz w:val="22"/>
          <w:szCs w:val="22"/>
        </w:rPr>
        <w:t xml:space="preserve">would have given more substance to </w:t>
      </w:r>
      <w:r w:rsidR="001654E7">
        <w:rPr>
          <w:sz w:val="22"/>
          <w:szCs w:val="22"/>
        </w:rPr>
        <w:t>his</w:t>
      </w:r>
      <w:r w:rsidR="00B234D0">
        <w:rPr>
          <w:sz w:val="22"/>
          <w:szCs w:val="22"/>
        </w:rPr>
        <w:t xml:space="preserve"> arguments.</w:t>
      </w:r>
    </w:p>
    <w:p w14:paraId="12B3BC68" w14:textId="579924F3" w:rsidR="001654E7" w:rsidRDefault="001654E7" w:rsidP="0026528F">
      <w:pPr>
        <w:rPr>
          <w:sz w:val="22"/>
          <w:szCs w:val="22"/>
        </w:rPr>
      </w:pPr>
      <w:r>
        <w:rPr>
          <w:sz w:val="22"/>
          <w:szCs w:val="22"/>
        </w:rPr>
        <w:t xml:space="preserve">The methodology used </w:t>
      </w:r>
      <w:r w:rsidR="00300B30">
        <w:rPr>
          <w:sz w:val="22"/>
          <w:szCs w:val="22"/>
        </w:rPr>
        <w:t>by the authors</w:t>
      </w:r>
      <w:r>
        <w:rPr>
          <w:sz w:val="22"/>
          <w:szCs w:val="22"/>
        </w:rPr>
        <w:t xml:space="preserve"> is in both cases </w:t>
      </w:r>
      <w:r w:rsidR="00300B30">
        <w:rPr>
          <w:sz w:val="22"/>
          <w:szCs w:val="22"/>
        </w:rPr>
        <w:t xml:space="preserve">quite </w:t>
      </w:r>
      <w:r>
        <w:rPr>
          <w:sz w:val="22"/>
          <w:szCs w:val="22"/>
        </w:rPr>
        <w:t xml:space="preserve">clear and well presented. </w:t>
      </w:r>
      <w:r w:rsidR="00234B93">
        <w:rPr>
          <w:sz w:val="22"/>
          <w:szCs w:val="22"/>
        </w:rPr>
        <w:t xml:space="preserve">Brink </w:t>
      </w:r>
      <w:r w:rsidR="002F45C5">
        <w:rPr>
          <w:sz w:val="22"/>
          <w:szCs w:val="22"/>
        </w:rPr>
        <w:t xml:space="preserve">explains </w:t>
      </w:r>
      <w:r w:rsidR="001D5A80">
        <w:rPr>
          <w:sz w:val="22"/>
          <w:szCs w:val="22"/>
        </w:rPr>
        <w:t>with precision</w:t>
      </w:r>
      <w:r w:rsidR="0026528F">
        <w:rPr>
          <w:sz w:val="22"/>
          <w:szCs w:val="22"/>
        </w:rPr>
        <w:t xml:space="preserve"> </w:t>
      </w:r>
      <w:r w:rsidR="002F45C5">
        <w:rPr>
          <w:sz w:val="22"/>
          <w:szCs w:val="22"/>
        </w:rPr>
        <w:t xml:space="preserve">who are </w:t>
      </w:r>
      <w:r w:rsidR="00234B93">
        <w:rPr>
          <w:sz w:val="22"/>
          <w:szCs w:val="22"/>
        </w:rPr>
        <w:t>the subjects of his investigation, where the questionnaire was administ</w:t>
      </w:r>
      <w:r w:rsidR="003718CA">
        <w:rPr>
          <w:sz w:val="22"/>
          <w:szCs w:val="22"/>
        </w:rPr>
        <w:t>e</w:t>
      </w:r>
      <w:r w:rsidR="00234B93">
        <w:rPr>
          <w:sz w:val="22"/>
          <w:szCs w:val="22"/>
        </w:rPr>
        <w:t xml:space="preserve">red and when. The procedures are accompanied by a table </w:t>
      </w:r>
      <w:r w:rsidR="001D5A80">
        <w:rPr>
          <w:sz w:val="22"/>
          <w:szCs w:val="22"/>
        </w:rPr>
        <w:t>labeled as</w:t>
      </w:r>
      <w:r w:rsidR="00234B93">
        <w:rPr>
          <w:sz w:val="22"/>
          <w:szCs w:val="22"/>
        </w:rPr>
        <w:t xml:space="preserve"> ‘subjects expressing agreemen</w:t>
      </w:r>
      <w:r w:rsidR="003718CA">
        <w:rPr>
          <w:sz w:val="22"/>
          <w:szCs w:val="22"/>
        </w:rPr>
        <w:t>t</w:t>
      </w:r>
      <w:r w:rsidR="00234B93">
        <w:rPr>
          <w:sz w:val="22"/>
          <w:szCs w:val="22"/>
        </w:rPr>
        <w:t xml:space="preserve"> with following statements’</w:t>
      </w:r>
      <w:r w:rsidR="00335A99">
        <w:rPr>
          <w:sz w:val="22"/>
          <w:szCs w:val="22"/>
        </w:rPr>
        <w:t>,</w:t>
      </w:r>
      <w:r w:rsidR="00234B93">
        <w:rPr>
          <w:rStyle w:val="Rimandonotaapidipagina"/>
          <w:sz w:val="22"/>
          <w:szCs w:val="22"/>
        </w:rPr>
        <w:footnoteReference w:id="50"/>
      </w:r>
      <w:r w:rsidR="00335A99">
        <w:rPr>
          <w:sz w:val="22"/>
          <w:szCs w:val="22"/>
        </w:rPr>
        <w:t xml:space="preserve"> which might </w:t>
      </w:r>
      <w:r w:rsidR="001D5A80">
        <w:rPr>
          <w:sz w:val="22"/>
          <w:szCs w:val="22"/>
        </w:rPr>
        <w:t>show</w:t>
      </w:r>
      <w:r w:rsidR="00335A99">
        <w:rPr>
          <w:sz w:val="22"/>
          <w:szCs w:val="22"/>
        </w:rPr>
        <w:t xml:space="preserve"> the results </w:t>
      </w:r>
      <w:r w:rsidR="002F45C5">
        <w:rPr>
          <w:sz w:val="22"/>
          <w:szCs w:val="22"/>
        </w:rPr>
        <w:t>o</w:t>
      </w:r>
      <w:r w:rsidR="00335A99">
        <w:rPr>
          <w:sz w:val="22"/>
          <w:szCs w:val="22"/>
        </w:rPr>
        <w:t xml:space="preserve">f the questionnaire, but </w:t>
      </w:r>
      <w:r w:rsidR="001D5A80">
        <w:rPr>
          <w:sz w:val="22"/>
          <w:szCs w:val="22"/>
        </w:rPr>
        <w:t>this</w:t>
      </w:r>
      <w:r w:rsidR="00335A99">
        <w:rPr>
          <w:sz w:val="22"/>
          <w:szCs w:val="22"/>
        </w:rPr>
        <w:t xml:space="preserve"> is not clearly stated. Brink manage</w:t>
      </w:r>
      <w:r w:rsidR="001D5A80">
        <w:rPr>
          <w:sz w:val="22"/>
          <w:szCs w:val="22"/>
        </w:rPr>
        <w:t>s</w:t>
      </w:r>
      <w:r w:rsidR="00335A99">
        <w:rPr>
          <w:sz w:val="22"/>
          <w:szCs w:val="22"/>
        </w:rPr>
        <w:t xml:space="preserve"> his data quantitatively rather </w:t>
      </w:r>
      <w:r w:rsidR="001D5A80">
        <w:rPr>
          <w:sz w:val="22"/>
          <w:szCs w:val="22"/>
        </w:rPr>
        <w:t xml:space="preserve">than </w:t>
      </w:r>
      <w:r w:rsidR="00335A99">
        <w:rPr>
          <w:sz w:val="22"/>
          <w:szCs w:val="22"/>
        </w:rPr>
        <w:t xml:space="preserve">qualitatively, </w:t>
      </w:r>
      <w:r w:rsidR="001D5A80">
        <w:rPr>
          <w:sz w:val="22"/>
          <w:szCs w:val="22"/>
        </w:rPr>
        <w:t>employing</w:t>
      </w:r>
      <w:r w:rsidR="00335A99">
        <w:rPr>
          <w:sz w:val="22"/>
          <w:szCs w:val="22"/>
        </w:rPr>
        <w:t xml:space="preserve"> statistics and reporting </w:t>
      </w:r>
      <w:r w:rsidR="001D5A80">
        <w:rPr>
          <w:sz w:val="22"/>
          <w:szCs w:val="22"/>
        </w:rPr>
        <w:t xml:space="preserve">the </w:t>
      </w:r>
      <w:r w:rsidR="00335A99">
        <w:rPr>
          <w:sz w:val="22"/>
          <w:szCs w:val="22"/>
        </w:rPr>
        <w:t xml:space="preserve">percentages of his results. </w:t>
      </w:r>
      <w:r w:rsidR="001D5A80">
        <w:rPr>
          <w:sz w:val="22"/>
          <w:szCs w:val="22"/>
        </w:rPr>
        <w:t>H</w:t>
      </w:r>
      <w:r w:rsidR="00335A99">
        <w:rPr>
          <w:sz w:val="22"/>
          <w:szCs w:val="22"/>
        </w:rPr>
        <w:t>is approach is deductive, relying, as mentioned, on the hypot</w:t>
      </w:r>
      <w:r w:rsidR="003718CA">
        <w:rPr>
          <w:sz w:val="22"/>
          <w:szCs w:val="22"/>
        </w:rPr>
        <w:t>h</w:t>
      </w:r>
      <w:r w:rsidR="00335A99">
        <w:rPr>
          <w:sz w:val="22"/>
          <w:szCs w:val="22"/>
        </w:rPr>
        <w:t>esis that such different systems of beliefs are logically incompatible</w:t>
      </w:r>
      <w:r w:rsidR="00BC3A73">
        <w:rPr>
          <w:sz w:val="22"/>
          <w:szCs w:val="22"/>
        </w:rPr>
        <w:t xml:space="preserve"> and therefore cannot coexist</w:t>
      </w:r>
      <w:r w:rsidR="00966716">
        <w:rPr>
          <w:sz w:val="22"/>
          <w:szCs w:val="22"/>
        </w:rPr>
        <w:t>, considering that</w:t>
      </w:r>
      <w:r w:rsidR="00BC3A73">
        <w:rPr>
          <w:sz w:val="22"/>
          <w:szCs w:val="22"/>
        </w:rPr>
        <w:t xml:space="preserve"> ‘individuals strive to attain and maintain a consistent set of values’.</w:t>
      </w:r>
      <w:r w:rsidR="00BC3A73">
        <w:rPr>
          <w:rStyle w:val="Rimandonotaapidipagina"/>
          <w:sz w:val="22"/>
          <w:szCs w:val="22"/>
        </w:rPr>
        <w:footnoteReference w:id="51"/>
      </w:r>
      <w:r w:rsidR="00BC3A73">
        <w:rPr>
          <w:sz w:val="22"/>
          <w:szCs w:val="22"/>
        </w:rPr>
        <w:t xml:space="preserve"> Brink initial perspective relies on social psychological theories which are only briefly mentioned in the introduction. After present</w:t>
      </w:r>
      <w:r w:rsidR="002F45C5">
        <w:rPr>
          <w:sz w:val="22"/>
          <w:szCs w:val="22"/>
        </w:rPr>
        <w:t>ing</w:t>
      </w:r>
      <w:r w:rsidR="00BC3A73">
        <w:rPr>
          <w:sz w:val="22"/>
          <w:szCs w:val="22"/>
        </w:rPr>
        <w:t xml:space="preserve"> the data, Brink discusses possible reasons that </w:t>
      </w:r>
      <w:r w:rsidR="00BC3A73">
        <w:rPr>
          <w:sz w:val="22"/>
          <w:szCs w:val="22"/>
        </w:rPr>
        <w:lastRenderedPageBreak/>
        <w:t xml:space="preserve">could justify results that did not confirm his </w:t>
      </w:r>
      <w:r w:rsidR="002F45C5">
        <w:rPr>
          <w:sz w:val="22"/>
          <w:szCs w:val="22"/>
        </w:rPr>
        <w:t xml:space="preserve">initial </w:t>
      </w:r>
      <w:r w:rsidR="00BC3A73">
        <w:rPr>
          <w:sz w:val="22"/>
          <w:szCs w:val="22"/>
        </w:rPr>
        <w:t>hypothesis</w:t>
      </w:r>
      <w:r w:rsidR="00CF0CBB">
        <w:rPr>
          <w:sz w:val="22"/>
          <w:szCs w:val="22"/>
        </w:rPr>
        <w:t xml:space="preserve"> and that left t</w:t>
      </w:r>
      <w:r w:rsidR="00BC3A73">
        <w:rPr>
          <w:sz w:val="22"/>
          <w:szCs w:val="22"/>
        </w:rPr>
        <w:t>he autho</w:t>
      </w:r>
      <w:r w:rsidR="00CF0CBB">
        <w:rPr>
          <w:sz w:val="22"/>
          <w:szCs w:val="22"/>
        </w:rPr>
        <w:t>r ‘</w:t>
      </w:r>
      <w:r w:rsidR="00BC3A73">
        <w:rPr>
          <w:sz w:val="22"/>
          <w:szCs w:val="22"/>
        </w:rPr>
        <w:t>some</w:t>
      </w:r>
      <w:r w:rsidR="00CF0CBB">
        <w:rPr>
          <w:sz w:val="22"/>
          <w:szCs w:val="22"/>
        </w:rPr>
        <w:t>w</w:t>
      </w:r>
      <w:r w:rsidR="00BC3A73">
        <w:rPr>
          <w:sz w:val="22"/>
          <w:szCs w:val="22"/>
        </w:rPr>
        <w:t>hat surprised’</w:t>
      </w:r>
      <w:r w:rsidR="00BC3A73">
        <w:rPr>
          <w:rStyle w:val="Rimandonotaapidipagina"/>
          <w:sz w:val="22"/>
          <w:szCs w:val="22"/>
        </w:rPr>
        <w:footnoteReference w:id="52"/>
      </w:r>
      <w:r w:rsidR="00966716">
        <w:rPr>
          <w:sz w:val="22"/>
          <w:szCs w:val="22"/>
        </w:rPr>
        <w:t xml:space="preserve">— a </w:t>
      </w:r>
      <w:r w:rsidR="002F45C5">
        <w:rPr>
          <w:sz w:val="22"/>
          <w:szCs w:val="22"/>
        </w:rPr>
        <w:t xml:space="preserve">comment that </w:t>
      </w:r>
      <w:r w:rsidR="00966716">
        <w:rPr>
          <w:sz w:val="22"/>
          <w:szCs w:val="22"/>
        </w:rPr>
        <w:t xml:space="preserve">indeed </w:t>
      </w:r>
      <w:r w:rsidR="002F45C5">
        <w:rPr>
          <w:sz w:val="22"/>
          <w:szCs w:val="22"/>
        </w:rPr>
        <w:t>shows the author</w:t>
      </w:r>
      <w:r w:rsidR="00966716">
        <w:rPr>
          <w:sz w:val="22"/>
          <w:szCs w:val="22"/>
        </w:rPr>
        <w:t>’s</w:t>
      </w:r>
      <w:r w:rsidR="002F45C5">
        <w:rPr>
          <w:sz w:val="22"/>
          <w:szCs w:val="22"/>
        </w:rPr>
        <w:t xml:space="preserve"> aw</w:t>
      </w:r>
      <w:r w:rsidR="009219FB">
        <w:rPr>
          <w:sz w:val="22"/>
          <w:szCs w:val="22"/>
        </w:rPr>
        <w:t>a</w:t>
      </w:r>
      <w:r w:rsidR="002F45C5">
        <w:rPr>
          <w:sz w:val="22"/>
          <w:szCs w:val="22"/>
        </w:rPr>
        <w:t xml:space="preserve">reness of his </w:t>
      </w:r>
      <w:r w:rsidR="00966716">
        <w:rPr>
          <w:sz w:val="22"/>
          <w:szCs w:val="22"/>
        </w:rPr>
        <w:t xml:space="preserve">own </w:t>
      </w:r>
      <w:r w:rsidR="002F45C5">
        <w:rPr>
          <w:sz w:val="22"/>
          <w:szCs w:val="22"/>
        </w:rPr>
        <w:t xml:space="preserve">biases and reflexivity. Although the sources used to support his </w:t>
      </w:r>
      <w:r w:rsidR="009219FB">
        <w:rPr>
          <w:sz w:val="22"/>
          <w:szCs w:val="22"/>
        </w:rPr>
        <w:t>premise</w:t>
      </w:r>
      <w:r w:rsidR="002F45C5">
        <w:rPr>
          <w:sz w:val="22"/>
          <w:szCs w:val="22"/>
        </w:rPr>
        <w:t xml:space="preserve"> are </w:t>
      </w:r>
      <w:r w:rsidR="00623A25">
        <w:rPr>
          <w:sz w:val="22"/>
          <w:szCs w:val="22"/>
        </w:rPr>
        <w:t>indicated</w:t>
      </w:r>
      <w:r w:rsidR="002F45C5">
        <w:rPr>
          <w:sz w:val="22"/>
          <w:szCs w:val="22"/>
        </w:rPr>
        <w:t xml:space="preserve"> but not</w:t>
      </w:r>
      <w:r w:rsidR="009219FB">
        <w:rPr>
          <w:sz w:val="22"/>
          <w:szCs w:val="22"/>
        </w:rPr>
        <w:t xml:space="preserve"> discussed, Brink uses extensively </w:t>
      </w:r>
      <w:r w:rsidR="00623A25">
        <w:rPr>
          <w:sz w:val="22"/>
          <w:szCs w:val="22"/>
        </w:rPr>
        <w:t xml:space="preserve">Robert </w:t>
      </w:r>
      <w:r w:rsidR="009219FB">
        <w:rPr>
          <w:sz w:val="22"/>
          <w:szCs w:val="22"/>
        </w:rPr>
        <w:t>Wuthnow</w:t>
      </w:r>
      <w:r w:rsidR="009219FB">
        <w:rPr>
          <w:rStyle w:val="Rimandonotaapidipagina"/>
          <w:sz w:val="22"/>
          <w:szCs w:val="22"/>
        </w:rPr>
        <w:footnoteReference w:id="53"/>
      </w:r>
      <w:r w:rsidR="009219FB">
        <w:rPr>
          <w:sz w:val="22"/>
          <w:szCs w:val="22"/>
        </w:rPr>
        <w:t xml:space="preserve"> as his main reference to deal with the </w:t>
      </w:r>
      <w:r w:rsidR="00D8621C">
        <w:rPr>
          <w:sz w:val="22"/>
          <w:szCs w:val="22"/>
        </w:rPr>
        <w:t>relationship between astrology and social marginality as possible factor to interpret his findings</w:t>
      </w:r>
      <w:r w:rsidR="0026528F">
        <w:rPr>
          <w:sz w:val="22"/>
          <w:szCs w:val="22"/>
        </w:rPr>
        <w:t>.</w:t>
      </w:r>
      <w:r w:rsidR="00623A25">
        <w:rPr>
          <w:rStyle w:val="Rimandonotaapidipagina"/>
          <w:sz w:val="22"/>
          <w:szCs w:val="22"/>
        </w:rPr>
        <w:footnoteReference w:id="54"/>
      </w:r>
      <w:r w:rsidR="0026528F">
        <w:rPr>
          <w:sz w:val="22"/>
          <w:szCs w:val="22"/>
        </w:rPr>
        <w:t xml:space="preserve"> While </w:t>
      </w:r>
      <w:r w:rsidR="00D8621C">
        <w:rPr>
          <w:sz w:val="22"/>
          <w:szCs w:val="22"/>
        </w:rPr>
        <w:t>Brink does not resort to</w:t>
      </w:r>
      <w:r w:rsidR="0026528F">
        <w:rPr>
          <w:sz w:val="22"/>
          <w:szCs w:val="22"/>
        </w:rPr>
        <w:t xml:space="preserve"> previous </w:t>
      </w:r>
      <w:r w:rsidR="00D8621C">
        <w:rPr>
          <w:sz w:val="22"/>
          <w:szCs w:val="22"/>
        </w:rPr>
        <w:t xml:space="preserve">investigations or </w:t>
      </w:r>
      <w:r w:rsidR="0026528F">
        <w:rPr>
          <w:sz w:val="22"/>
          <w:szCs w:val="22"/>
        </w:rPr>
        <w:t xml:space="preserve">data set, the final discussion </w:t>
      </w:r>
      <w:r w:rsidR="00D8621C">
        <w:rPr>
          <w:sz w:val="22"/>
          <w:szCs w:val="22"/>
        </w:rPr>
        <w:t>complies with the</w:t>
      </w:r>
      <w:r w:rsidR="0026528F">
        <w:rPr>
          <w:sz w:val="22"/>
          <w:szCs w:val="22"/>
        </w:rPr>
        <w:t xml:space="preserve"> results of </w:t>
      </w:r>
      <w:r w:rsidR="00D8621C">
        <w:rPr>
          <w:sz w:val="22"/>
          <w:szCs w:val="22"/>
        </w:rPr>
        <w:t>his</w:t>
      </w:r>
      <w:r w:rsidR="0026528F">
        <w:rPr>
          <w:sz w:val="22"/>
          <w:szCs w:val="22"/>
        </w:rPr>
        <w:t xml:space="preserve"> survey</w:t>
      </w:r>
      <w:r w:rsidR="00C2410F">
        <w:rPr>
          <w:sz w:val="22"/>
          <w:szCs w:val="22"/>
        </w:rPr>
        <w:t xml:space="preserve"> and </w:t>
      </w:r>
      <w:r w:rsidR="0026528F">
        <w:rPr>
          <w:sz w:val="22"/>
          <w:szCs w:val="22"/>
        </w:rPr>
        <w:t>encourag</w:t>
      </w:r>
      <w:r w:rsidR="00C2410F">
        <w:rPr>
          <w:sz w:val="22"/>
          <w:szCs w:val="22"/>
        </w:rPr>
        <w:t>es</w:t>
      </w:r>
      <w:r w:rsidR="0026528F">
        <w:rPr>
          <w:sz w:val="22"/>
          <w:szCs w:val="22"/>
        </w:rPr>
        <w:t xml:space="preserve"> further research on the topic. </w:t>
      </w:r>
    </w:p>
    <w:p w14:paraId="2B3A565E" w14:textId="292B6B3A" w:rsidR="000321A8" w:rsidRDefault="0026528F" w:rsidP="000321A8">
      <w:pPr>
        <w:rPr>
          <w:sz w:val="22"/>
          <w:szCs w:val="22"/>
        </w:rPr>
      </w:pPr>
      <w:r>
        <w:rPr>
          <w:sz w:val="22"/>
          <w:szCs w:val="22"/>
        </w:rPr>
        <w:t xml:space="preserve">Walter and Waterhouse’s </w:t>
      </w:r>
      <w:r w:rsidR="00305C68">
        <w:rPr>
          <w:sz w:val="22"/>
          <w:szCs w:val="22"/>
        </w:rPr>
        <w:t>approach to the</w:t>
      </w:r>
      <w:r w:rsidR="001C25F7">
        <w:rPr>
          <w:sz w:val="22"/>
          <w:szCs w:val="22"/>
        </w:rPr>
        <w:t>ir</w:t>
      </w:r>
      <w:r w:rsidR="00305C68">
        <w:rPr>
          <w:sz w:val="22"/>
          <w:szCs w:val="22"/>
        </w:rPr>
        <w:t xml:space="preserve"> research is deductive, hence no preliminary theory is introduced. The p</w:t>
      </w:r>
      <w:r>
        <w:rPr>
          <w:sz w:val="22"/>
          <w:szCs w:val="22"/>
        </w:rPr>
        <w:t xml:space="preserve">resentation of the data is </w:t>
      </w:r>
      <w:r w:rsidR="00305C68">
        <w:rPr>
          <w:sz w:val="22"/>
          <w:szCs w:val="22"/>
        </w:rPr>
        <w:t>preceded</w:t>
      </w:r>
      <w:r>
        <w:rPr>
          <w:sz w:val="22"/>
          <w:szCs w:val="22"/>
        </w:rPr>
        <w:t xml:space="preserve"> by a </w:t>
      </w:r>
      <w:r w:rsidR="00B54B0C">
        <w:rPr>
          <w:sz w:val="22"/>
          <w:szCs w:val="22"/>
        </w:rPr>
        <w:t>brief but detailed r</w:t>
      </w:r>
      <w:r>
        <w:rPr>
          <w:sz w:val="22"/>
          <w:szCs w:val="22"/>
        </w:rPr>
        <w:t>eview of previous surveys from 1947 until 1995.</w:t>
      </w:r>
      <w:r w:rsidR="00B54B0C">
        <w:rPr>
          <w:sz w:val="22"/>
          <w:szCs w:val="22"/>
        </w:rPr>
        <w:t xml:space="preserve"> While all studies are correctly reported, a ‘1990 EVS figure for Great Britain’</w:t>
      </w:r>
      <w:r w:rsidR="00B54B0C">
        <w:rPr>
          <w:rStyle w:val="Rimandonotaapidipagina"/>
          <w:sz w:val="22"/>
          <w:szCs w:val="22"/>
        </w:rPr>
        <w:footnoteReference w:id="55"/>
      </w:r>
      <w:r w:rsidR="006C77E8">
        <w:rPr>
          <w:sz w:val="22"/>
          <w:szCs w:val="22"/>
        </w:rPr>
        <w:t xml:space="preserve"> refers to Europe in the actual survey</w:t>
      </w:r>
      <w:r w:rsidR="001C25F7">
        <w:rPr>
          <w:sz w:val="22"/>
          <w:szCs w:val="22"/>
        </w:rPr>
        <w:t>,</w:t>
      </w:r>
      <w:r w:rsidR="006C77E8">
        <w:rPr>
          <w:sz w:val="22"/>
          <w:szCs w:val="22"/>
        </w:rPr>
        <w:t xml:space="preserve"> </w:t>
      </w:r>
      <w:r w:rsidR="001C25F7">
        <w:rPr>
          <w:sz w:val="22"/>
          <w:szCs w:val="22"/>
        </w:rPr>
        <w:t>rather than to</w:t>
      </w:r>
      <w:r w:rsidR="006C77E8">
        <w:rPr>
          <w:sz w:val="22"/>
          <w:szCs w:val="22"/>
        </w:rPr>
        <w:t xml:space="preserve"> Great Britain only.</w:t>
      </w:r>
      <w:r w:rsidR="006C77E8">
        <w:rPr>
          <w:rStyle w:val="Rimandonotaapidipagina"/>
          <w:sz w:val="22"/>
          <w:szCs w:val="22"/>
        </w:rPr>
        <w:footnoteReference w:id="56"/>
      </w:r>
      <w:r w:rsidR="000321A8">
        <w:rPr>
          <w:sz w:val="22"/>
          <w:szCs w:val="22"/>
        </w:rPr>
        <w:t xml:space="preserve"> </w:t>
      </w:r>
      <w:r w:rsidR="00305C68">
        <w:rPr>
          <w:sz w:val="22"/>
          <w:szCs w:val="22"/>
        </w:rPr>
        <w:t xml:space="preserve">Instead of administering questionnaires, the researchers opted for taped interviews that allow a more nuanced investigation on the matter. The rationale for the recruitment process, the characteristics of the subjects and the procedure </w:t>
      </w:r>
      <w:r w:rsidR="001C25F7">
        <w:rPr>
          <w:sz w:val="22"/>
          <w:szCs w:val="22"/>
        </w:rPr>
        <w:t xml:space="preserve">followed </w:t>
      </w:r>
      <w:r w:rsidR="00305C68">
        <w:rPr>
          <w:sz w:val="22"/>
          <w:szCs w:val="22"/>
        </w:rPr>
        <w:t>are accurately described. Before moving to the interpretation of the</w:t>
      </w:r>
      <w:r w:rsidR="001C25F7">
        <w:rPr>
          <w:sz w:val="22"/>
          <w:szCs w:val="22"/>
        </w:rPr>
        <w:t>ir</w:t>
      </w:r>
      <w:r w:rsidR="00305C68">
        <w:rPr>
          <w:sz w:val="22"/>
          <w:szCs w:val="22"/>
        </w:rPr>
        <w:t xml:space="preserve"> findings, Walter and Waterhouse highlight</w:t>
      </w:r>
      <w:r w:rsidR="00A60131">
        <w:rPr>
          <w:sz w:val="22"/>
          <w:szCs w:val="22"/>
        </w:rPr>
        <w:t xml:space="preserve"> how </w:t>
      </w:r>
      <w:r w:rsidR="001C25F7">
        <w:rPr>
          <w:sz w:val="22"/>
          <w:szCs w:val="22"/>
        </w:rPr>
        <w:t>their</w:t>
      </w:r>
      <w:r w:rsidR="00A60131">
        <w:rPr>
          <w:sz w:val="22"/>
          <w:szCs w:val="22"/>
        </w:rPr>
        <w:t xml:space="preserve"> article aims at summarising the main findings and presenting them within the contemporary debate on the privatisation of religion.</w:t>
      </w:r>
      <w:r w:rsidR="00503BAC">
        <w:rPr>
          <w:sz w:val="22"/>
          <w:szCs w:val="22"/>
        </w:rPr>
        <w:t xml:space="preserve"> The </w:t>
      </w:r>
      <w:r w:rsidR="001C25F7">
        <w:rPr>
          <w:sz w:val="22"/>
          <w:szCs w:val="22"/>
        </w:rPr>
        <w:t>results</w:t>
      </w:r>
      <w:r w:rsidR="00503BAC">
        <w:rPr>
          <w:sz w:val="22"/>
          <w:szCs w:val="22"/>
        </w:rPr>
        <w:t xml:space="preserve"> are presented through a</w:t>
      </w:r>
      <w:r w:rsidR="001C25F7">
        <w:rPr>
          <w:sz w:val="22"/>
          <w:szCs w:val="22"/>
        </w:rPr>
        <w:t xml:space="preserve"> layered</w:t>
      </w:r>
      <w:r w:rsidR="00503BAC">
        <w:rPr>
          <w:sz w:val="22"/>
          <w:szCs w:val="22"/>
        </w:rPr>
        <w:t xml:space="preserve"> discussion focus</w:t>
      </w:r>
      <w:r w:rsidR="001C25F7">
        <w:rPr>
          <w:sz w:val="22"/>
          <w:szCs w:val="22"/>
        </w:rPr>
        <w:t>ed</w:t>
      </w:r>
      <w:r w:rsidR="00503BAC">
        <w:rPr>
          <w:sz w:val="22"/>
          <w:szCs w:val="22"/>
        </w:rPr>
        <w:t xml:space="preserve"> on religious associat</w:t>
      </w:r>
      <w:r w:rsidR="003718CA">
        <w:rPr>
          <w:sz w:val="22"/>
          <w:szCs w:val="22"/>
        </w:rPr>
        <w:t>i</w:t>
      </w:r>
      <w:r w:rsidR="00503BAC">
        <w:rPr>
          <w:sz w:val="22"/>
          <w:szCs w:val="22"/>
        </w:rPr>
        <w:t xml:space="preserve">ons, the nature of belief, the sources of belief, the content of belief and the effects </w:t>
      </w:r>
      <w:r w:rsidR="001C25F7">
        <w:rPr>
          <w:sz w:val="22"/>
          <w:szCs w:val="22"/>
        </w:rPr>
        <w:t>such a</w:t>
      </w:r>
      <w:r w:rsidR="00503BAC">
        <w:rPr>
          <w:sz w:val="22"/>
          <w:szCs w:val="22"/>
        </w:rPr>
        <w:t xml:space="preserve"> belief has on </w:t>
      </w:r>
      <w:r w:rsidR="001C25F7">
        <w:rPr>
          <w:sz w:val="22"/>
          <w:szCs w:val="22"/>
        </w:rPr>
        <w:t>people’s</w:t>
      </w:r>
      <w:r w:rsidR="00503BAC">
        <w:rPr>
          <w:sz w:val="22"/>
          <w:szCs w:val="22"/>
        </w:rPr>
        <w:t xml:space="preserve"> personal life. </w:t>
      </w:r>
      <w:r w:rsidR="000355EF">
        <w:rPr>
          <w:sz w:val="22"/>
          <w:szCs w:val="22"/>
        </w:rPr>
        <w:t xml:space="preserve">Given the </w:t>
      </w:r>
      <w:r w:rsidR="001C25F7">
        <w:rPr>
          <w:sz w:val="22"/>
          <w:szCs w:val="22"/>
        </w:rPr>
        <w:t xml:space="preserve">qualitative </w:t>
      </w:r>
      <w:r w:rsidR="000355EF">
        <w:rPr>
          <w:sz w:val="22"/>
          <w:szCs w:val="22"/>
        </w:rPr>
        <w:t xml:space="preserve">nature of the survey, no figure or percentage is reported; instead, </w:t>
      </w:r>
      <w:r w:rsidR="001C25F7">
        <w:rPr>
          <w:sz w:val="22"/>
          <w:szCs w:val="22"/>
        </w:rPr>
        <w:t>a</w:t>
      </w:r>
      <w:r w:rsidR="000355EF">
        <w:rPr>
          <w:sz w:val="22"/>
          <w:szCs w:val="22"/>
        </w:rPr>
        <w:t xml:space="preserve"> wise use of quotations allows the researchers to </w:t>
      </w:r>
      <w:r w:rsidR="001C25F7">
        <w:rPr>
          <w:sz w:val="22"/>
          <w:szCs w:val="22"/>
        </w:rPr>
        <w:t>communicate more intensely and vividly</w:t>
      </w:r>
      <w:r w:rsidR="000355EF">
        <w:rPr>
          <w:sz w:val="22"/>
          <w:szCs w:val="22"/>
        </w:rPr>
        <w:t xml:space="preserve"> the nuanced feelings of their interviewees</w:t>
      </w:r>
      <w:r w:rsidR="00D834BB">
        <w:rPr>
          <w:sz w:val="22"/>
          <w:szCs w:val="22"/>
        </w:rPr>
        <w:t xml:space="preserve">, especially </w:t>
      </w:r>
      <w:r w:rsidR="000355EF">
        <w:rPr>
          <w:sz w:val="22"/>
          <w:szCs w:val="22"/>
        </w:rPr>
        <w:t>with respect to the nature of their belief</w:t>
      </w:r>
      <w:r w:rsidR="00D834BB">
        <w:rPr>
          <w:sz w:val="22"/>
          <w:szCs w:val="22"/>
        </w:rPr>
        <w:t xml:space="preserve">. The conclusions </w:t>
      </w:r>
      <w:r w:rsidR="001C25F7">
        <w:rPr>
          <w:sz w:val="22"/>
          <w:szCs w:val="22"/>
        </w:rPr>
        <w:t xml:space="preserve">that are </w:t>
      </w:r>
      <w:r w:rsidR="00D834BB">
        <w:rPr>
          <w:sz w:val="22"/>
          <w:szCs w:val="22"/>
        </w:rPr>
        <w:t>drawn rely solidly on their findings and are supported by the evidence provided by their interviews.</w:t>
      </w:r>
    </w:p>
    <w:p w14:paraId="2C67311A" w14:textId="77777777" w:rsidR="00DF1A24" w:rsidRDefault="00DF1A24" w:rsidP="000321A8">
      <w:pPr>
        <w:rPr>
          <w:i/>
          <w:iCs/>
          <w:sz w:val="22"/>
          <w:szCs w:val="22"/>
        </w:rPr>
      </w:pPr>
    </w:p>
    <w:p w14:paraId="3DF5F16E" w14:textId="609AC43D" w:rsidR="00DF1A24" w:rsidRDefault="00DF1A24" w:rsidP="008C32D6">
      <w:pPr>
        <w:ind w:left="720" w:firstLine="720"/>
        <w:rPr>
          <w:i/>
          <w:iCs/>
          <w:sz w:val="22"/>
          <w:szCs w:val="22"/>
        </w:rPr>
      </w:pPr>
      <w:r>
        <w:rPr>
          <w:i/>
          <w:iCs/>
          <w:sz w:val="22"/>
          <w:szCs w:val="22"/>
        </w:rPr>
        <w:t>Conclusions</w:t>
      </w:r>
    </w:p>
    <w:p w14:paraId="13A27A35" w14:textId="705966FE" w:rsidR="002E0A42" w:rsidRDefault="00425786">
      <w:r>
        <w:t>From the comparison of the two studies it can be assess</w:t>
      </w:r>
      <w:r w:rsidR="003718CA">
        <w:t>ed</w:t>
      </w:r>
      <w:r>
        <w:t xml:space="preserve"> that Walter and Waterhouse</w:t>
      </w:r>
      <w:r w:rsidR="00595B50">
        <w:t>’s</w:t>
      </w:r>
      <w:r>
        <w:t xml:space="preserve"> paper is undoubtedly exemplary in the way of approaching qualitative research, comparing their data with previous surveys and discussing the findings. The use of direct quotation is appropriate and useful to convey concepts that figures would have not been able to communicate in the same explicitness. </w:t>
      </w:r>
      <w:r w:rsidR="00595B50">
        <w:t xml:space="preserve">After having approached Walter and Waterhouse’s research, Brink’s article appears </w:t>
      </w:r>
      <w:r w:rsidR="00E45BCA">
        <w:t xml:space="preserve">very short and </w:t>
      </w:r>
      <w:r w:rsidR="00595B50">
        <w:t>less rigorous—or</w:t>
      </w:r>
      <w:r w:rsidR="00C4546A">
        <w:t xml:space="preserve">, </w:t>
      </w:r>
      <w:r w:rsidR="00595B50">
        <w:t>perhaps</w:t>
      </w:r>
      <w:r w:rsidR="00C4546A">
        <w:t xml:space="preserve">, it is </w:t>
      </w:r>
      <w:r w:rsidR="00595B50">
        <w:t xml:space="preserve">simply less </w:t>
      </w:r>
      <w:r w:rsidR="00E45BCA">
        <w:t>experienced,</w:t>
      </w:r>
      <w:r w:rsidR="00595B50">
        <w:t xml:space="preserve"> since it dates back to when he was earning hi</w:t>
      </w:r>
      <w:r w:rsidR="003718CA">
        <w:t>s</w:t>
      </w:r>
      <w:r w:rsidR="00595B50">
        <w:t xml:space="preserve"> Ph.D. in Psychology and Religion.</w:t>
      </w:r>
      <w:r w:rsidR="00E45BCA">
        <w:t xml:space="preserve"> The structure of the paper is clear , and the author presents his procedure, his findings and also his biased impressions openly, which demonstrate a</w:t>
      </w:r>
      <w:r w:rsidR="003718CA">
        <w:t>n</w:t>
      </w:r>
      <w:r w:rsidR="00E45BCA">
        <w:t xml:space="preserve"> honest and self-aware attitude towards the data. The lack of reference to previous surveys – such </w:t>
      </w:r>
      <w:r w:rsidR="00E45BCA">
        <w:lastRenderedPageBreak/>
        <w:t xml:space="preserve">as the 1947 research </w:t>
      </w:r>
      <w:r w:rsidR="00F06285">
        <w:t>conducted by</w:t>
      </w:r>
      <w:r w:rsidR="00E45BCA">
        <w:t xml:space="preserve"> Mass Observation,</w:t>
      </w:r>
      <w:r w:rsidR="00F06285">
        <w:rPr>
          <w:rStyle w:val="Rimandonotaapidipagina"/>
        </w:rPr>
        <w:footnoteReference w:id="57"/>
      </w:r>
      <w:r w:rsidR="00E45BCA">
        <w:t xml:space="preserve"> or the two studies pursued by Gorer in the early 1950s </w:t>
      </w:r>
      <w:r w:rsidR="00F57359">
        <w:t xml:space="preserve">and early </w:t>
      </w:r>
      <w:r w:rsidR="00E45BCA">
        <w:t>1960s</w:t>
      </w:r>
      <w:r w:rsidR="00F06285">
        <w:rPr>
          <w:rStyle w:val="Rimandonotaapidipagina"/>
        </w:rPr>
        <w:footnoteReference w:id="58"/>
      </w:r>
      <w:r w:rsidR="00F06285">
        <w:t xml:space="preserve"> – </w:t>
      </w:r>
      <w:r w:rsidR="00F57359">
        <w:t xml:space="preserve">as well as the weak grounds of his hypothesis and the limited discussion of his findings are </w:t>
      </w:r>
      <w:r w:rsidR="00C21706">
        <w:t>remarked</w:t>
      </w:r>
      <w:r w:rsidR="00F57359">
        <w:t xml:space="preserve"> by the direct confrontation with a study characterised by a more thorough approach, as the paper by Walter and Waterhouse demonstrate, and </w:t>
      </w:r>
      <w:r w:rsidR="00C21706">
        <w:t>prevent the positive aspects of the research to be highlighted.</w:t>
      </w:r>
    </w:p>
    <w:p w14:paraId="5CE4A3A9" w14:textId="18E6836C" w:rsidR="002D72BB" w:rsidRPr="002D72BB" w:rsidRDefault="002D72BB" w:rsidP="002D72BB">
      <w:pPr>
        <w:spacing w:line="240" w:lineRule="auto"/>
        <w:ind w:firstLine="0"/>
        <w:rPr>
          <w:strike/>
          <w:sz w:val="22"/>
          <w:szCs w:val="22"/>
        </w:rPr>
      </w:pPr>
    </w:p>
    <w:p w14:paraId="493AB7B6" w14:textId="77777777" w:rsidR="002D72BB" w:rsidRDefault="002D72BB" w:rsidP="002D72BB">
      <w:pPr>
        <w:pStyle w:val="Titolo1"/>
        <w:ind w:firstLine="0"/>
        <w:rPr>
          <w:i/>
          <w:color w:val="000000"/>
        </w:rPr>
      </w:pPr>
      <w:r>
        <w:rPr>
          <w:i/>
          <w:color w:val="000000"/>
        </w:rPr>
        <w:lastRenderedPageBreak/>
        <w:t>Bibliography</w:t>
      </w:r>
    </w:p>
    <w:p w14:paraId="6DE79607" w14:textId="77777777" w:rsidR="002D72BB" w:rsidRDefault="002D72BB" w:rsidP="002D72BB">
      <w:pPr>
        <w:pStyle w:val="Titolo1"/>
        <w:ind w:left="0" w:firstLine="0"/>
        <w:rPr>
          <w:smallCaps/>
        </w:rPr>
      </w:pPr>
    </w:p>
    <w:p w14:paraId="1AC6CDA6" w14:textId="021800E9" w:rsidR="002E0A42" w:rsidRDefault="005F6144">
      <w:pPr>
        <w:pStyle w:val="Titolo1"/>
      </w:pPr>
      <w:r>
        <w:rPr>
          <w:smallCaps/>
        </w:rPr>
        <w:t>Ashford, S., Timms,</w:t>
      </w:r>
      <w:r>
        <w:t xml:space="preserve"> N., </w:t>
      </w:r>
      <w:r>
        <w:rPr>
          <w:i/>
        </w:rPr>
        <w:t>What Europe Thinks. A Study of  Western European Values</w:t>
      </w:r>
      <w:r>
        <w:t>, Aldershot, Dartmouth 1992.</w:t>
      </w:r>
    </w:p>
    <w:p w14:paraId="57CC1ED6" w14:textId="77777777" w:rsidR="002E0A42" w:rsidRDefault="005F6144">
      <w:pPr>
        <w:pStyle w:val="Titolo1"/>
      </w:pPr>
      <w:r>
        <w:rPr>
          <w:smallCaps/>
        </w:rPr>
        <w:t xml:space="preserve">Bellah, R.N., </w:t>
      </w:r>
      <w:r>
        <w:t xml:space="preserve">‘Christianity and Symbolic Realism’, </w:t>
      </w:r>
      <w:r>
        <w:rPr>
          <w:i/>
        </w:rPr>
        <w:t>Journal for the Scientific Study of Religion</w:t>
      </w:r>
      <w:r>
        <w:t>, v. 9, n. 2, Wiley, 1970: 89-96.</w:t>
      </w:r>
    </w:p>
    <w:p w14:paraId="4CC7E729" w14:textId="77777777" w:rsidR="002E0A42" w:rsidRDefault="005F6144">
      <w:pPr>
        <w:pStyle w:val="Titolo1"/>
      </w:pPr>
      <w:bookmarkStart w:id="6" w:name="_heading=h.pvstcb2l61t3" w:colFirst="0" w:colLast="0"/>
      <w:bookmarkEnd w:id="6"/>
      <w:r>
        <w:rPr>
          <w:smallCaps/>
        </w:rPr>
        <w:t xml:space="preserve">Berger, P.L., </w:t>
      </w:r>
      <w:r>
        <w:rPr>
          <w:i/>
        </w:rPr>
        <w:t>The Social Reality of Religion</w:t>
      </w:r>
      <w:r>
        <w:t>, Penguin, Harmondsworth 1973.</w:t>
      </w:r>
    </w:p>
    <w:p w14:paraId="2BFBED8E" w14:textId="77777777" w:rsidR="002E0A42" w:rsidRDefault="005F6144">
      <w:pPr>
        <w:pStyle w:val="Titolo1"/>
        <w:rPr>
          <w:i/>
          <w:color w:val="000000"/>
        </w:rPr>
      </w:pPr>
      <w:r>
        <w:rPr>
          <w:smallCaps/>
        </w:rPr>
        <w:t>Bornat, J., Corti, B., Laidlaw, R., Archer, B., Wilkinson,</w:t>
      </w:r>
      <w:r>
        <w:t xml:space="preserve"> R., ‘Conference Reports’, </w:t>
      </w:r>
      <w:r>
        <w:rPr>
          <w:i/>
        </w:rPr>
        <w:t>Oral History</w:t>
      </w:r>
      <w:r>
        <w:t>, v. 23, n. 2, Oral History Society, Herefordshire 1995, pp. 24-26.</w:t>
      </w:r>
    </w:p>
    <w:p w14:paraId="7AD53C5F" w14:textId="77777777" w:rsidR="002E0A42" w:rsidRDefault="005F6144">
      <w:pPr>
        <w:pStyle w:val="Titolo1"/>
      </w:pPr>
      <w:r>
        <w:rPr>
          <w:smallCaps/>
          <w:color w:val="000000"/>
        </w:rPr>
        <w:t xml:space="preserve">Brink T.L., </w:t>
      </w:r>
      <w:r>
        <w:t xml:space="preserve">personal page on Bepress: &lt;https://works.bepress.com/tlbrink/&gt;. Accessed: February 2025. </w:t>
      </w:r>
    </w:p>
    <w:p w14:paraId="6179F5E8" w14:textId="77777777" w:rsidR="002E0A42" w:rsidRDefault="005F6144">
      <w:pPr>
        <w:pStyle w:val="Titolo1"/>
      </w:pPr>
      <w:r>
        <w:rPr>
          <w:i/>
          <w:color w:val="000000"/>
        </w:rPr>
        <w:t xml:space="preserve">—— </w:t>
      </w:r>
      <w:r>
        <w:t>personal page on Quora: &lt;https://www.quora.com/profile/T-L-Brink&gt;. Accessed: February 2025.</w:t>
      </w:r>
    </w:p>
    <w:p w14:paraId="1EDBA69E" w14:textId="77777777" w:rsidR="002E0A42" w:rsidRDefault="005F6144">
      <w:pPr>
        <w:pStyle w:val="Titolo1"/>
      </w:pPr>
      <w:r>
        <w:rPr>
          <w:i/>
          <w:color w:val="000000"/>
        </w:rPr>
        <w:t>——</w:t>
      </w:r>
      <w:r>
        <w:t xml:space="preserve"> ‘Inconsistency of Belief among Roman Catholic Girls: Concerning Religion, Astrology, Reincarnation’, </w:t>
      </w:r>
      <w:r>
        <w:rPr>
          <w:i/>
        </w:rPr>
        <w:t>The Review of Religious Research</w:t>
      </w:r>
      <w:r>
        <w:t>, v. 20, n. 1, 1978: 82-85.</w:t>
      </w:r>
    </w:p>
    <w:p w14:paraId="6B93AD00" w14:textId="77777777" w:rsidR="002E0A42" w:rsidRDefault="005F6144">
      <w:pPr>
        <w:pStyle w:val="Titolo1"/>
        <w:rPr>
          <w:smallCaps/>
        </w:rPr>
      </w:pPr>
      <w:r>
        <w:rPr>
          <w:smallCaps/>
        </w:rPr>
        <w:t xml:space="preserve">Davie, G., </w:t>
      </w:r>
      <w:r>
        <w:rPr>
          <w:i/>
        </w:rPr>
        <w:t>Religion in Britain since 1945. Believing without Belonging</w:t>
      </w:r>
      <w:r>
        <w:t>, Blackwell, Oxford 1994.</w:t>
      </w:r>
    </w:p>
    <w:p w14:paraId="1B60BC48" w14:textId="77777777" w:rsidR="002E0A42" w:rsidRDefault="005F6144">
      <w:pPr>
        <w:pStyle w:val="Titolo1"/>
      </w:pPr>
      <w:r>
        <w:rPr>
          <w:smallCaps/>
        </w:rPr>
        <w:t xml:space="preserve">Erikson, E.H., </w:t>
      </w:r>
      <w:r>
        <w:t xml:space="preserve">E.H. Erikson, </w:t>
      </w:r>
      <w:r>
        <w:rPr>
          <w:i/>
        </w:rPr>
        <w:t>Childhood and Society</w:t>
      </w:r>
      <w:r>
        <w:t>, Norton &amp; Company, New York 1950.</w:t>
      </w:r>
    </w:p>
    <w:p w14:paraId="6923E38E" w14:textId="77777777" w:rsidR="002E0A42" w:rsidRDefault="005F6144">
      <w:pPr>
        <w:pStyle w:val="Titolo1"/>
      </w:pPr>
      <w:r>
        <w:rPr>
          <w:i/>
          <w:color w:val="000000"/>
        </w:rPr>
        <w:t xml:space="preserve">—— </w:t>
      </w:r>
      <w:r>
        <w:rPr>
          <w:i/>
        </w:rPr>
        <w:t>Identity and the Life Cycle. Selected Papers by Erik Erikson</w:t>
      </w:r>
      <w:r>
        <w:t>, D. Rapaport (historical intr.), International University Press, New York 1959.</w:t>
      </w:r>
    </w:p>
    <w:p w14:paraId="73D3953C" w14:textId="77777777" w:rsidR="002E0A42" w:rsidRPr="00BD4196" w:rsidRDefault="005F6144">
      <w:pPr>
        <w:pStyle w:val="Titolo1"/>
      </w:pPr>
      <w:r w:rsidRPr="00BD4196">
        <w:rPr>
          <w:smallCaps/>
        </w:rPr>
        <w:t>Gorer, G.,</w:t>
      </w:r>
      <w:r w:rsidRPr="00BD4196">
        <w:t xml:space="preserve"> </w:t>
      </w:r>
      <w:r w:rsidRPr="00BD4196">
        <w:rPr>
          <w:i/>
        </w:rPr>
        <w:t>Exploring English Character</w:t>
      </w:r>
      <w:r w:rsidRPr="00BD4196">
        <w:t>, The Cresset Press, London 1955.</w:t>
      </w:r>
    </w:p>
    <w:p w14:paraId="171121ED" w14:textId="77777777" w:rsidR="002E0A42" w:rsidRPr="00BD4196" w:rsidRDefault="005F6144">
      <w:pPr>
        <w:pStyle w:val="Titolo1"/>
      </w:pPr>
      <w:r w:rsidRPr="00BD4196">
        <w:rPr>
          <w:i/>
          <w:color w:val="000000"/>
        </w:rPr>
        <w:t xml:space="preserve">—— </w:t>
      </w:r>
      <w:r w:rsidRPr="00BD4196">
        <w:rPr>
          <w:i/>
        </w:rPr>
        <w:t>Death, Grief and Mourning. A Study of Contemporary Society</w:t>
      </w:r>
      <w:r w:rsidRPr="00BD4196">
        <w:t>, Doubleday&amp;Company, New York 1965.</w:t>
      </w:r>
    </w:p>
    <w:p w14:paraId="074F2FC8" w14:textId="77777777" w:rsidR="002E0A42" w:rsidRPr="00BD4196" w:rsidRDefault="005F6144">
      <w:pPr>
        <w:pStyle w:val="Titolo1"/>
      </w:pPr>
      <w:r w:rsidRPr="00BD4196">
        <w:t xml:space="preserve">—— </w:t>
      </w:r>
      <w:r w:rsidRPr="00BD4196">
        <w:rPr>
          <w:i/>
        </w:rPr>
        <w:t>Death, Grief and Mourning in Contemporary England</w:t>
      </w:r>
      <w:r w:rsidRPr="00BD4196">
        <w:t>, The Cresset Press, London 1965.</w:t>
      </w:r>
    </w:p>
    <w:p w14:paraId="03E8C55B" w14:textId="77777777" w:rsidR="002E0A42" w:rsidRDefault="005F6144">
      <w:pPr>
        <w:pStyle w:val="Titolo1"/>
      </w:pPr>
      <w:r w:rsidRPr="00BD4196">
        <w:rPr>
          <w:smallCaps/>
        </w:rPr>
        <w:t>Mass Observation</w:t>
      </w:r>
      <w:r w:rsidRPr="00BD4196">
        <w:t xml:space="preserve">, </w:t>
      </w:r>
      <w:r w:rsidRPr="00BD4196">
        <w:rPr>
          <w:i/>
        </w:rPr>
        <w:t>Puzzled People. A Study in Popular Attitudes to Religion, Ethics, Progress and Politics in a London Borough</w:t>
      </w:r>
      <w:r w:rsidRPr="00BD4196">
        <w:t>, Victor Gollancz, London 1947.</w:t>
      </w:r>
    </w:p>
    <w:p w14:paraId="13E7E24B" w14:textId="77777777" w:rsidR="002E0A42" w:rsidRDefault="005F6144">
      <w:pPr>
        <w:pStyle w:val="Titolo1"/>
        <w:rPr>
          <w:rFonts w:ascii="Times New Roman" w:eastAsia="Times New Roman" w:hAnsi="Times New Roman" w:cs="Times New Roman"/>
          <w:sz w:val="24"/>
          <w:szCs w:val="24"/>
        </w:rPr>
      </w:pPr>
      <w:r>
        <w:rPr>
          <w:smallCaps/>
        </w:rPr>
        <w:t>Newcomb, T.M.</w:t>
      </w:r>
      <w:r>
        <w:t xml:space="preserve">, </w:t>
      </w:r>
      <w:r>
        <w:rPr>
          <w:i/>
        </w:rPr>
        <w:t>Introduction</w:t>
      </w:r>
      <w:r>
        <w:t xml:space="preserve">, in </w:t>
      </w:r>
      <w:r>
        <w:rPr>
          <w:i/>
        </w:rPr>
        <w:t>Theories of Cognitive Consistency: A Sourcebook</w:t>
      </w:r>
      <w:r>
        <w:t>, R.P. Abelson, E. Aronson, W.J. McGuire, T.M. NewCombe, M.J. Rosenberg, P.H. Tennenbaum, (eds.), Rand McNally &amp; Company, Chicago 1968.</w:t>
      </w:r>
    </w:p>
    <w:p w14:paraId="41E10D7F" w14:textId="77777777" w:rsidR="002E0A42" w:rsidRDefault="005F6144">
      <w:pPr>
        <w:pStyle w:val="Titolo1"/>
        <w:rPr>
          <w:smallCaps/>
        </w:rPr>
      </w:pPr>
      <w:r>
        <w:rPr>
          <w:smallCaps/>
        </w:rPr>
        <w:lastRenderedPageBreak/>
        <w:t>Review of Religious Research</w:t>
      </w:r>
      <w:r>
        <w:t xml:space="preserve">, </w:t>
      </w:r>
      <w:r>
        <w:rPr>
          <w:i/>
        </w:rPr>
        <w:t>Aims and Scope</w:t>
      </w:r>
      <w:r>
        <w:t>, page on Sage website, &lt;https://us.sagepub.com/en-us/nam/review-of-religious-research/journal203801#aims-and-scope&gt;. Accessed: February 2025.</w:t>
      </w:r>
    </w:p>
    <w:p w14:paraId="71CF8817" w14:textId="77777777" w:rsidR="002E0A42" w:rsidRDefault="005F6144">
      <w:pPr>
        <w:pStyle w:val="Titolo1"/>
      </w:pPr>
      <w:r>
        <w:rPr>
          <w:smallCaps/>
        </w:rPr>
        <w:t>Sociology of Religion</w:t>
      </w:r>
      <w:r>
        <w:t xml:space="preserve">, </w:t>
      </w:r>
      <w:r>
        <w:rPr>
          <w:i/>
        </w:rPr>
        <w:t>About the Journal</w:t>
      </w:r>
      <w:r>
        <w:t>, page on Oxford University Press website, &lt;https://academic.oup.com/socrel/pages/About&gt;. Accessed: February 2025.</w:t>
      </w:r>
    </w:p>
    <w:p w14:paraId="41A4DB15" w14:textId="77777777" w:rsidR="002E0A42" w:rsidRDefault="005F6144">
      <w:pPr>
        <w:pStyle w:val="Titolo1"/>
      </w:pPr>
      <w:r>
        <w:rPr>
          <w:smallCaps/>
        </w:rPr>
        <w:t>Walter, T., Waterhouse, H.J.,</w:t>
      </w:r>
      <w:r>
        <w:t xml:space="preserve"> ‘A Very Private Belief: Reincarnation in Contemporary England’, </w:t>
      </w:r>
      <w:r>
        <w:rPr>
          <w:i/>
        </w:rPr>
        <w:t>Sociology of Religion</w:t>
      </w:r>
      <w:r>
        <w:t>, v. 60, n. 2, Oxford University Press, Oxford 1999: 187-197.</w:t>
      </w:r>
    </w:p>
    <w:p w14:paraId="6C7590DD" w14:textId="77777777" w:rsidR="002E0A42" w:rsidRDefault="005F6144">
      <w:pPr>
        <w:pStyle w:val="Titolo1"/>
      </w:pPr>
      <w:r>
        <w:rPr>
          <w:i/>
          <w:color w:val="000000"/>
        </w:rPr>
        <w:t xml:space="preserve">—— </w:t>
      </w:r>
      <w:r>
        <w:t xml:space="preserve">‘Lives-Long Learning: The Effects of Reincarnation Belief on Everyday Life in England’, </w:t>
      </w:r>
      <w:r>
        <w:rPr>
          <w:i/>
        </w:rPr>
        <w:t>Nova Religio: The Journal of Alternative and Emergent Religions,</w:t>
      </w:r>
      <w:r>
        <w:t xml:space="preserve"> vol. 5, n. 1, University of Pennsylvania Press, Philadelphia 2001: 85-101.</w:t>
      </w:r>
    </w:p>
    <w:p w14:paraId="75435F20" w14:textId="77777777" w:rsidR="002E0A42" w:rsidRDefault="005F6144">
      <w:pPr>
        <w:pStyle w:val="Titolo1"/>
        <w:rPr>
          <w:color w:val="000000"/>
        </w:rPr>
      </w:pPr>
      <w:r>
        <w:rPr>
          <w:i/>
          <w:color w:val="000000"/>
        </w:rPr>
        <w:t>——</w:t>
      </w:r>
      <w:r>
        <w:rPr>
          <w:color w:val="000000"/>
        </w:rPr>
        <w:t xml:space="preserve"> ‘Reincarnation Belief and the Christian Church’, </w:t>
      </w:r>
      <w:r>
        <w:rPr>
          <w:i/>
          <w:color w:val="000000"/>
        </w:rPr>
        <w:t>Theology</w:t>
      </w:r>
      <w:r>
        <w:rPr>
          <w:color w:val="000000"/>
        </w:rPr>
        <w:t>, v. 106, n. 829, Sage, 2003: 20-28.</w:t>
      </w:r>
    </w:p>
    <w:p w14:paraId="34A53DBF" w14:textId="77777777" w:rsidR="002E0A42" w:rsidRDefault="005F6144">
      <w:pPr>
        <w:pStyle w:val="Titolo1"/>
        <w:rPr>
          <w:color w:val="000000"/>
        </w:rPr>
      </w:pPr>
      <w:r>
        <w:rPr>
          <w:smallCaps/>
          <w:color w:val="000000"/>
        </w:rPr>
        <w:t xml:space="preserve">Walter, T., </w:t>
      </w:r>
      <w:r>
        <w:rPr>
          <w:color w:val="000000"/>
        </w:rPr>
        <w:t>personal page on Researchgate, &lt;https://www.researchgate.net/profile/Tony-Walter/2&gt;. Accessed: February 2025.</w:t>
      </w:r>
    </w:p>
    <w:p w14:paraId="423E8A40" w14:textId="77777777" w:rsidR="002E0A42" w:rsidRDefault="005F6144">
      <w:pPr>
        <w:pStyle w:val="Titolo1"/>
      </w:pPr>
      <w:r>
        <w:rPr>
          <w:i/>
          <w:color w:val="000000"/>
        </w:rPr>
        <w:t>——</w:t>
      </w:r>
      <w:r>
        <w:rPr>
          <w:color w:val="000000"/>
        </w:rPr>
        <w:t xml:space="preserve"> personal page on </w:t>
      </w:r>
      <w:r>
        <w:t>the University of Bath research portal, &lt;https://researchportal.bath.ac.uk/en/persons/tony-walter&gt;. Accessed: February 2025.</w:t>
      </w:r>
    </w:p>
    <w:p w14:paraId="744A8620" w14:textId="77777777" w:rsidR="002E0A42" w:rsidRDefault="005F6144">
      <w:pPr>
        <w:pStyle w:val="Titolo1"/>
        <w:rPr>
          <w:color w:val="000000"/>
        </w:rPr>
      </w:pPr>
      <w:r>
        <w:rPr>
          <w:i/>
          <w:color w:val="000000"/>
        </w:rPr>
        <w:t>——</w:t>
      </w:r>
      <w:r>
        <w:rPr>
          <w:color w:val="000000"/>
        </w:rPr>
        <w:t xml:space="preserve"> </w:t>
      </w:r>
      <w:r>
        <w:rPr>
          <w:i/>
          <w:color w:val="000000"/>
        </w:rPr>
        <w:t>Death in the Modern World</w:t>
      </w:r>
      <w:r>
        <w:rPr>
          <w:color w:val="000000"/>
        </w:rPr>
        <w:t>, Sage, London 2020.</w:t>
      </w:r>
    </w:p>
    <w:p w14:paraId="6A086166" w14:textId="77777777" w:rsidR="002E0A42" w:rsidRDefault="005F6144">
      <w:pPr>
        <w:pStyle w:val="Titolo1"/>
        <w:rPr>
          <w:color w:val="000000"/>
        </w:rPr>
      </w:pPr>
      <w:r>
        <w:rPr>
          <w:smallCaps/>
          <w:color w:val="000000"/>
        </w:rPr>
        <w:t>Waterhouse, H.J.</w:t>
      </w:r>
      <w:r>
        <w:rPr>
          <w:color w:val="000000"/>
        </w:rPr>
        <w:t xml:space="preserve">, </w:t>
      </w:r>
      <w:r>
        <w:rPr>
          <w:i/>
          <w:color w:val="000000"/>
        </w:rPr>
        <w:t>Buddhism in Bath: Authority and Adaptation</w:t>
      </w:r>
      <w:r>
        <w:rPr>
          <w:color w:val="000000"/>
        </w:rPr>
        <w:t>, Community Religions Projects, University of Leeds 1997.</w:t>
      </w:r>
    </w:p>
    <w:p w14:paraId="5E8D75EC" w14:textId="77777777" w:rsidR="002E0A42" w:rsidRDefault="005F6144">
      <w:pPr>
        <w:pStyle w:val="Titolo1"/>
        <w:rPr>
          <w:color w:val="000000"/>
        </w:rPr>
      </w:pPr>
      <w:r>
        <w:rPr>
          <w:i/>
          <w:color w:val="000000"/>
        </w:rPr>
        <w:t>——</w:t>
      </w:r>
      <w:r>
        <w:rPr>
          <w:color w:val="000000"/>
        </w:rPr>
        <w:t xml:space="preserve"> </w:t>
      </w:r>
      <w:r>
        <w:rPr>
          <w:i/>
          <w:color w:val="000000"/>
        </w:rPr>
        <w:t>Buddhism. Study Guide</w:t>
      </w:r>
      <w:r>
        <w:rPr>
          <w:color w:val="000000"/>
        </w:rPr>
        <w:t>, The Open University, Milton Keynes 2005.</w:t>
      </w:r>
    </w:p>
    <w:p w14:paraId="73F1BFD7" w14:textId="6054A833" w:rsidR="002E0A42" w:rsidRDefault="005F6144">
      <w:pPr>
        <w:pStyle w:val="Titolo1"/>
      </w:pPr>
      <w:r>
        <w:rPr>
          <w:smallCaps/>
          <w:color w:val="000000"/>
        </w:rPr>
        <w:t xml:space="preserve">Wuthnow, R., </w:t>
      </w:r>
      <w:r w:rsidR="00573F5F">
        <w:rPr>
          <w:smallCaps/>
          <w:color w:val="000000"/>
        </w:rPr>
        <w:t>‘</w:t>
      </w:r>
      <w:r>
        <w:t xml:space="preserve">Astrology and Marginality’, </w:t>
      </w:r>
      <w:r>
        <w:rPr>
          <w:i/>
        </w:rPr>
        <w:t>Journal for the Scientific Study of Religion</w:t>
      </w:r>
      <w:r>
        <w:t>, v. 15, n. 2, Wiley, 1976: 157-168.</w:t>
      </w:r>
    </w:p>
    <w:p w14:paraId="1C598488" w14:textId="77777777" w:rsidR="002E0A42" w:rsidRDefault="002E0A42">
      <w:pPr>
        <w:pStyle w:val="Titolo1"/>
        <w:rPr>
          <w:color w:val="000000"/>
        </w:rPr>
      </w:pPr>
    </w:p>
    <w:p w14:paraId="313E1EC3" w14:textId="77777777" w:rsidR="002E0A42" w:rsidRDefault="002E0A42">
      <w:pPr>
        <w:spacing w:line="240" w:lineRule="auto"/>
        <w:ind w:firstLine="0"/>
        <w:rPr>
          <w:color w:val="000000"/>
        </w:rPr>
      </w:pPr>
    </w:p>
    <w:p w14:paraId="372EF203" w14:textId="77777777" w:rsidR="002E0A42" w:rsidRDefault="002E0A42">
      <w:pPr>
        <w:spacing w:line="480" w:lineRule="auto"/>
        <w:ind w:firstLine="0"/>
        <w:rPr>
          <w:smallCaps/>
          <w:color w:val="000000"/>
        </w:rPr>
      </w:pPr>
    </w:p>
    <w:p w14:paraId="1F072865" w14:textId="77777777" w:rsidR="002E0A42" w:rsidRDefault="002E0A42"/>
    <w:p w14:paraId="70A57338" w14:textId="77777777" w:rsidR="002E0A42" w:rsidRDefault="002E0A42"/>
    <w:sectPr w:rsidR="002E0A42" w:rsidSect="002D72BB">
      <w:headerReference w:type="even" r:id="rId9"/>
      <w:headerReference w:type="default" r:id="rId10"/>
      <w:footerReference w:type="even" r:id="rId11"/>
      <w:footerReference w:type="default" r:id="rId12"/>
      <w:pgSz w:w="11900" w:h="16840"/>
      <w:pgMar w:top="1754" w:right="1134" w:bottom="1134"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4C9065" w14:textId="77777777" w:rsidR="007F7E79" w:rsidRDefault="007F7E79">
      <w:pPr>
        <w:spacing w:line="240" w:lineRule="auto"/>
      </w:pPr>
      <w:r>
        <w:separator/>
      </w:r>
    </w:p>
  </w:endnote>
  <w:endnote w:type="continuationSeparator" w:id="0">
    <w:p w14:paraId="7B0B00AE" w14:textId="77777777" w:rsidR="007F7E79" w:rsidRDefault="007F7E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ont235">
    <w:altName w:val="Cambria"/>
    <w:panose1 w:val="020B0604020202020204"/>
    <w:charset w:val="00"/>
    <w:family w:val="roman"/>
    <w:pitch w:val="default"/>
  </w:font>
  <w:font w:name="Georgia">
    <w:altName w:val="﷽﷽﷽﷽﷽﷽﷽﷽邠怀"/>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D0EBF" w14:textId="77777777" w:rsidR="00503BAC" w:rsidRDefault="00503BAC">
    <w:pPr>
      <w:pBdr>
        <w:top w:val="nil"/>
        <w:left w:val="nil"/>
        <w:bottom w:val="nil"/>
        <w:right w:val="nil"/>
        <w:between w:val="nil"/>
      </w:pBdr>
      <w:tabs>
        <w:tab w:val="center" w:pos="4819"/>
        <w:tab w:val="right" w:pos="9638"/>
      </w:tabs>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end"/>
    </w:r>
  </w:p>
  <w:p w14:paraId="581B6ACF" w14:textId="77777777" w:rsidR="00503BAC" w:rsidRDefault="00503BAC">
    <w:pPr>
      <w:pBdr>
        <w:top w:val="nil"/>
        <w:left w:val="nil"/>
        <w:bottom w:val="nil"/>
        <w:right w:val="nil"/>
        <w:between w:val="nil"/>
      </w:pBdr>
      <w:tabs>
        <w:tab w:val="center" w:pos="4819"/>
        <w:tab w:val="right" w:pos="9638"/>
      </w:tabs>
      <w:ind w:right="360"/>
      <w:rPr>
        <w:rFonts w:ascii="Calibri" w:hAnsi="Calibri"/>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CECC8E" w14:textId="77777777" w:rsidR="00503BAC" w:rsidRDefault="00503BAC">
    <w:pPr>
      <w:pBdr>
        <w:top w:val="nil"/>
        <w:left w:val="nil"/>
        <w:bottom w:val="nil"/>
        <w:right w:val="nil"/>
        <w:between w:val="nil"/>
      </w:pBdr>
      <w:tabs>
        <w:tab w:val="center" w:pos="4819"/>
        <w:tab w:val="right" w:pos="9638"/>
      </w:tabs>
      <w:jc w:val="right"/>
      <w:rPr>
        <w:rFonts w:ascii="Calibri" w:hAnsi="Calibri"/>
        <w:color w:val="000000"/>
      </w:rPr>
    </w:pPr>
  </w:p>
  <w:p w14:paraId="188A1531" w14:textId="77777777" w:rsidR="00503BAC" w:rsidRDefault="00503BAC">
    <w:pPr>
      <w:pBdr>
        <w:top w:val="nil"/>
        <w:left w:val="nil"/>
        <w:bottom w:val="nil"/>
        <w:right w:val="nil"/>
        <w:between w:val="nil"/>
      </w:pBdr>
      <w:tabs>
        <w:tab w:val="center" w:pos="4819"/>
        <w:tab w:val="right" w:pos="9638"/>
      </w:tabs>
      <w:ind w:right="360"/>
      <w:rPr>
        <w:rFonts w:ascii="Calibri" w:hAnsi="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3E076" w14:textId="77777777" w:rsidR="007F7E79" w:rsidRDefault="007F7E79">
      <w:pPr>
        <w:spacing w:line="240" w:lineRule="auto"/>
      </w:pPr>
      <w:r>
        <w:separator/>
      </w:r>
    </w:p>
  </w:footnote>
  <w:footnote w:type="continuationSeparator" w:id="0">
    <w:p w14:paraId="6C354D15" w14:textId="77777777" w:rsidR="007F7E79" w:rsidRDefault="007F7E79">
      <w:pPr>
        <w:spacing w:line="240" w:lineRule="auto"/>
      </w:pPr>
      <w:r>
        <w:continuationSeparator/>
      </w:r>
    </w:p>
  </w:footnote>
  <w:footnote w:id="1">
    <w:p w14:paraId="245995FE" w14:textId="77777777" w:rsidR="00503BAC" w:rsidRDefault="00503BAC">
      <w:pPr>
        <w:pStyle w:val="Titolo3"/>
      </w:pPr>
      <w:r>
        <w:rPr>
          <w:vertAlign w:val="superscript"/>
        </w:rPr>
        <w:footnoteRef/>
      </w:r>
      <w:r>
        <w:t xml:space="preserve"> T.L. Brink, ‘Inconsistency of Belief among Roman Catholic Girls: Concerning Religion, Astrology, Reincarnation’, </w:t>
      </w:r>
      <w:r>
        <w:rPr>
          <w:i/>
        </w:rPr>
        <w:t>The Review of Religious Research</w:t>
      </w:r>
      <w:r>
        <w:t>, v. 20, n. 1, 1978: 82-85.</w:t>
      </w:r>
    </w:p>
  </w:footnote>
  <w:footnote w:id="2">
    <w:p w14:paraId="1BDC08CB" w14:textId="77777777" w:rsidR="00503BAC" w:rsidRDefault="00503BAC">
      <w:pPr>
        <w:pStyle w:val="Titolo3"/>
      </w:pPr>
      <w:r>
        <w:rPr>
          <w:vertAlign w:val="superscript"/>
        </w:rPr>
        <w:footnoteRef/>
      </w:r>
      <w:r>
        <w:t xml:space="preserve"> T. Walter, H.J. Waterhouse, ‘A Very Private Belief: Reincarnation in Contemporary England’, </w:t>
      </w:r>
      <w:r>
        <w:rPr>
          <w:i/>
        </w:rPr>
        <w:t>Sociology of Religion</w:t>
      </w:r>
      <w:r>
        <w:t>, v. 60, n. 2, Oxford University Press, Oxford 1999: 187-197.</w:t>
      </w:r>
    </w:p>
  </w:footnote>
  <w:footnote w:id="3">
    <w:p w14:paraId="634A0D37" w14:textId="77777777" w:rsidR="00503BAC" w:rsidRPr="00FB340F" w:rsidRDefault="00503BAC">
      <w:pPr>
        <w:pStyle w:val="Titolo3"/>
      </w:pPr>
      <w:r>
        <w:rPr>
          <w:vertAlign w:val="superscript"/>
        </w:rPr>
        <w:footnoteRef/>
      </w:r>
      <w:r>
        <w:t xml:space="preserve"> This information can be found </w:t>
      </w:r>
      <w:r w:rsidRPr="00FB340F">
        <w:t>on T.L. Brink personal page on Quora: &lt;https://www.quora.com/profile/T-L-Brink&gt;. Accessed: February 2025.</w:t>
      </w:r>
    </w:p>
  </w:footnote>
  <w:footnote w:id="4">
    <w:p w14:paraId="2AE9DD09" w14:textId="77777777" w:rsidR="00503BAC" w:rsidRDefault="00503BAC">
      <w:pPr>
        <w:pStyle w:val="Titolo3"/>
      </w:pPr>
      <w:r w:rsidRPr="00FB340F">
        <w:rPr>
          <w:vertAlign w:val="superscript"/>
        </w:rPr>
        <w:footnoteRef/>
      </w:r>
      <w:r w:rsidRPr="00FB340F">
        <w:t xml:space="preserve"> T.L. Brink personal page on Bepress: &lt;https://works.bepress.com/tlbrink/&gt;. Accessed: February 2025.</w:t>
      </w:r>
    </w:p>
  </w:footnote>
  <w:footnote w:id="5">
    <w:p w14:paraId="68D164E1" w14:textId="77777777" w:rsidR="00503BAC" w:rsidRDefault="00503BAC">
      <w:pPr>
        <w:pStyle w:val="Titolo3"/>
      </w:pPr>
      <w:r>
        <w:rPr>
          <w:vertAlign w:val="superscript"/>
        </w:rPr>
        <w:footnoteRef/>
      </w:r>
      <w:r>
        <w:t xml:space="preserve"> </w:t>
      </w:r>
      <w:r>
        <w:rPr>
          <w:i/>
        </w:rPr>
        <w:t>Ibidem</w:t>
      </w:r>
      <w:r>
        <w:t>.</w:t>
      </w:r>
    </w:p>
  </w:footnote>
  <w:footnote w:id="6">
    <w:p w14:paraId="4417F7EF" w14:textId="77777777" w:rsidR="00503BAC" w:rsidRDefault="00503BAC">
      <w:pPr>
        <w:pStyle w:val="Titolo3"/>
      </w:pPr>
      <w:r>
        <w:rPr>
          <w:vertAlign w:val="superscript"/>
        </w:rPr>
        <w:footnoteRef/>
      </w:r>
      <w:r>
        <w:t xml:space="preserve"> Brink, Quora, </w:t>
      </w:r>
      <w:r>
        <w:rPr>
          <w:i/>
        </w:rPr>
        <w:t>Credentials &amp; Highlights</w:t>
      </w:r>
      <w:r>
        <w:t>.</w:t>
      </w:r>
    </w:p>
  </w:footnote>
  <w:footnote w:id="7">
    <w:p w14:paraId="668F70C0" w14:textId="77777777" w:rsidR="00503BAC" w:rsidRDefault="00503BAC">
      <w:pPr>
        <w:pStyle w:val="Titolo3"/>
      </w:pPr>
      <w:r>
        <w:rPr>
          <w:vertAlign w:val="superscript"/>
        </w:rPr>
        <w:footnoteRef/>
      </w:r>
      <w:r>
        <w:t xml:space="preserve"> </w:t>
      </w:r>
      <w:r>
        <w:rPr>
          <w:i/>
        </w:rPr>
        <w:t>Review of Religious Research, Aims and Scope</w:t>
      </w:r>
      <w:r>
        <w:t>, page on Sage website, &lt;https://us.sagepub.com/en-us/nam/review-of-religious-research/journal203801#aims-and-scope&gt;. Accessed: February 2025.</w:t>
      </w:r>
    </w:p>
  </w:footnote>
  <w:footnote w:id="8">
    <w:p w14:paraId="27E5694B" w14:textId="77777777" w:rsidR="00503BAC" w:rsidRDefault="00503BAC">
      <w:pPr>
        <w:pStyle w:val="Titolo3"/>
        <w:rPr>
          <w:rFonts w:ascii="Times New Roman" w:eastAsia="Times New Roman" w:hAnsi="Times New Roman" w:cs="Times New Roman"/>
          <w:sz w:val="24"/>
          <w:szCs w:val="24"/>
        </w:rPr>
      </w:pPr>
      <w:r>
        <w:rPr>
          <w:vertAlign w:val="superscript"/>
        </w:rPr>
        <w:footnoteRef/>
      </w:r>
      <w:r>
        <w:t xml:space="preserve"> T.M. Newcomb, </w:t>
      </w:r>
      <w:r>
        <w:rPr>
          <w:i/>
        </w:rPr>
        <w:t>Introduction</w:t>
      </w:r>
      <w:r>
        <w:t>,</w:t>
      </w:r>
      <w:r>
        <w:rPr>
          <w:i/>
        </w:rPr>
        <w:t xml:space="preserve"> </w:t>
      </w:r>
      <w:r>
        <w:t xml:space="preserve">in </w:t>
      </w:r>
      <w:r>
        <w:rPr>
          <w:i/>
        </w:rPr>
        <w:t>Theories of Cognitive Consistency: A Sourcebook</w:t>
      </w:r>
      <w:r>
        <w:t>, R.P. Abelson, E. Aronson, W.J. McGuire, T.M. NewCombe, M.J. Rosenberg, P.H. Tennenbaum, (eds.), Rand McNally &amp; Company, Chicago 1968, p. xv.</w:t>
      </w:r>
    </w:p>
  </w:footnote>
  <w:footnote w:id="9">
    <w:p w14:paraId="2705192C" w14:textId="77777777" w:rsidR="00503BAC" w:rsidRDefault="00503BAC">
      <w:pPr>
        <w:pStyle w:val="Titolo3"/>
      </w:pPr>
      <w:r>
        <w:rPr>
          <w:vertAlign w:val="superscript"/>
        </w:rPr>
        <w:footnoteRef/>
      </w:r>
      <w:r>
        <w:t xml:space="preserve"> Brink (1978), p. 82.</w:t>
      </w:r>
    </w:p>
  </w:footnote>
  <w:footnote w:id="10">
    <w:p w14:paraId="09A365EF" w14:textId="77777777" w:rsidR="00503BAC" w:rsidRDefault="00503BAC">
      <w:pPr>
        <w:pStyle w:val="Titolo3"/>
      </w:pPr>
      <w:r>
        <w:rPr>
          <w:vertAlign w:val="superscript"/>
        </w:rPr>
        <w:footnoteRef/>
      </w:r>
      <w:r>
        <w:t xml:space="preserve"> </w:t>
      </w:r>
      <w:r>
        <w:rPr>
          <w:i/>
        </w:rPr>
        <w:t>Ibidem</w:t>
      </w:r>
      <w:r>
        <w:t>, table 1, p. 83.</w:t>
      </w:r>
    </w:p>
  </w:footnote>
  <w:footnote w:id="11">
    <w:p w14:paraId="5C8A3719" w14:textId="77777777" w:rsidR="00503BAC" w:rsidRDefault="00503BAC">
      <w:pPr>
        <w:pStyle w:val="Titolo3"/>
      </w:pPr>
      <w:r>
        <w:rPr>
          <w:vertAlign w:val="superscript"/>
        </w:rPr>
        <w:footnoteRef/>
      </w:r>
      <w:r>
        <w:t xml:space="preserve"> </w:t>
      </w:r>
      <w:r>
        <w:rPr>
          <w:i/>
        </w:rPr>
        <w:t>Ibidem</w:t>
      </w:r>
      <w:r>
        <w:t>, p. 84.</w:t>
      </w:r>
    </w:p>
  </w:footnote>
  <w:footnote w:id="12">
    <w:p w14:paraId="3D70998B" w14:textId="77777777" w:rsidR="00503BAC" w:rsidRDefault="00503BAC">
      <w:pPr>
        <w:pStyle w:val="Titolo3"/>
      </w:pPr>
      <w:r>
        <w:rPr>
          <w:vertAlign w:val="superscript"/>
        </w:rPr>
        <w:footnoteRef/>
      </w:r>
      <w:r>
        <w:t xml:space="preserve"> </w:t>
      </w:r>
      <w:r>
        <w:rPr>
          <w:i/>
        </w:rPr>
        <w:t>Ibidem</w:t>
      </w:r>
      <w:r>
        <w:t>, p. 83.</w:t>
      </w:r>
    </w:p>
  </w:footnote>
  <w:footnote w:id="13">
    <w:p w14:paraId="23BF2CB5" w14:textId="77777777" w:rsidR="00503BAC" w:rsidRDefault="00503BAC">
      <w:pPr>
        <w:pStyle w:val="Titolo3"/>
      </w:pPr>
      <w:r>
        <w:rPr>
          <w:vertAlign w:val="superscript"/>
        </w:rPr>
        <w:footnoteRef/>
      </w:r>
      <w:r>
        <w:t xml:space="preserve"> ‘The danger of this stage [adolescence] is role confusion’. E.H. Erikson, </w:t>
      </w:r>
      <w:r>
        <w:rPr>
          <w:i/>
        </w:rPr>
        <w:t>Childhood and Society</w:t>
      </w:r>
      <w:r>
        <w:t>, Norton &amp; Company, New York 1950, p. 262.</w:t>
      </w:r>
    </w:p>
  </w:footnote>
  <w:footnote w:id="14">
    <w:p w14:paraId="7822F2F8" w14:textId="77777777" w:rsidR="00503BAC" w:rsidRDefault="00503BAC">
      <w:pPr>
        <w:pStyle w:val="Titolo3"/>
      </w:pPr>
      <w:r>
        <w:rPr>
          <w:vertAlign w:val="superscript"/>
        </w:rPr>
        <w:footnoteRef/>
      </w:r>
      <w:r>
        <w:t xml:space="preserve"> E.H. Erikson, </w:t>
      </w:r>
      <w:r>
        <w:rPr>
          <w:i/>
        </w:rPr>
        <w:t>Identity and the Life Cycle. Selected Papers by Erik Erikson</w:t>
      </w:r>
      <w:r>
        <w:t xml:space="preserve">, D. Rapaport (historical intr.), International University Press, New York 1959. </w:t>
      </w:r>
    </w:p>
  </w:footnote>
  <w:footnote w:id="15">
    <w:p w14:paraId="6FCFFE6A" w14:textId="77777777" w:rsidR="00503BAC" w:rsidRDefault="00503BAC">
      <w:pPr>
        <w:pStyle w:val="Titolo3"/>
      </w:pPr>
      <w:r>
        <w:rPr>
          <w:vertAlign w:val="superscript"/>
        </w:rPr>
        <w:footnoteRef/>
      </w:r>
      <w:r>
        <w:t xml:space="preserve"> Brink (1978), p. 84.</w:t>
      </w:r>
    </w:p>
  </w:footnote>
  <w:footnote w:id="16">
    <w:p w14:paraId="19601F1F" w14:textId="77777777" w:rsidR="00503BAC" w:rsidRDefault="00503BAC">
      <w:pPr>
        <w:pStyle w:val="Titolo3"/>
      </w:pPr>
      <w:r>
        <w:rPr>
          <w:vertAlign w:val="superscript"/>
        </w:rPr>
        <w:footnoteRef/>
      </w:r>
      <w:r>
        <w:t xml:space="preserve"> </w:t>
      </w:r>
      <w:r>
        <w:rPr>
          <w:i/>
        </w:rPr>
        <w:t>Ibidem</w:t>
      </w:r>
      <w:r>
        <w:t xml:space="preserve">. </w:t>
      </w:r>
    </w:p>
  </w:footnote>
  <w:footnote w:id="17">
    <w:p w14:paraId="1796B06C" w14:textId="77777777" w:rsidR="00503BAC" w:rsidRDefault="00503BAC">
      <w:pPr>
        <w:pStyle w:val="Titolo3"/>
      </w:pPr>
      <w:r>
        <w:rPr>
          <w:vertAlign w:val="superscript"/>
        </w:rPr>
        <w:footnoteRef/>
      </w:r>
      <w:r>
        <w:t xml:space="preserve"> </w:t>
      </w:r>
      <w:r>
        <w:rPr>
          <w:i/>
        </w:rPr>
        <w:t>Ibidem</w:t>
      </w:r>
      <w:r>
        <w:t>.</w:t>
      </w:r>
    </w:p>
  </w:footnote>
  <w:footnote w:id="18">
    <w:p w14:paraId="0AFACFA4" w14:textId="77777777" w:rsidR="00503BAC" w:rsidRDefault="00503BAC">
      <w:pPr>
        <w:pStyle w:val="Titolo3"/>
      </w:pPr>
      <w:r>
        <w:rPr>
          <w:vertAlign w:val="superscript"/>
        </w:rPr>
        <w:footnoteRef/>
      </w:r>
      <w:r>
        <w:t xml:space="preserve"> R.N. Bellah, ‘Christianity and Symbolic Realism’, </w:t>
      </w:r>
      <w:r>
        <w:rPr>
          <w:i/>
        </w:rPr>
        <w:t>Journal for the Scientific Study of Religion</w:t>
      </w:r>
      <w:r>
        <w:t>, v. 9, n. 2, Wiley, 1970, p. 89.</w:t>
      </w:r>
    </w:p>
  </w:footnote>
  <w:footnote w:id="19">
    <w:p w14:paraId="52FC8717" w14:textId="6F94436E" w:rsidR="00503BAC" w:rsidRDefault="00503BAC">
      <w:pPr>
        <w:pStyle w:val="Titolo3"/>
        <w:rPr>
          <w:i/>
        </w:rPr>
      </w:pPr>
      <w:r>
        <w:rPr>
          <w:vertAlign w:val="superscript"/>
        </w:rPr>
        <w:footnoteRef/>
      </w:r>
      <w:r>
        <w:t xml:space="preserve"> R. Wuthnow, ‘Astrology and Marginality’, </w:t>
      </w:r>
      <w:r>
        <w:rPr>
          <w:i/>
        </w:rPr>
        <w:t>Journal for the Scientific Study of Religion</w:t>
      </w:r>
      <w:r>
        <w:t>, v. 15, n. 2, Wiley, 1976.</w:t>
      </w:r>
    </w:p>
  </w:footnote>
  <w:footnote w:id="20">
    <w:p w14:paraId="3CD76641" w14:textId="77777777" w:rsidR="00503BAC" w:rsidRDefault="00503BAC">
      <w:pPr>
        <w:pStyle w:val="Titolo3"/>
      </w:pPr>
      <w:r>
        <w:rPr>
          <w:vertAlign w:val="superscript"/>
        </w:rPr>
        <w:footnoteRef/>
      </w:r>
      <w:r>
        <w:t xml:space="preserve"> </w:t>
      </w:r>
      <w:r>
        <w:rPr>
          <w:i/>
        </w:rPr>
        <w:t>Ibidem</w:t>
      </w:r>
      <w:r>
        <w:t>, p. 160.</w:t>
      </w:r>
    </w:p>
  </w:footnote>
  <w:footnote w:id="21">
    <w:p w14:paraId="2E7AB0D8" w14:textId="77777777" w:rsidR="00503BAC" w:rsidRDefault="00503BAC">
      <w:pPr>
        <w:pStyle w:val="Titolo3"/>
      </w:pPr>
      <w:r>
        <w:rPr>
          <w:vertAlign w:val="superscript"/>
        </w:rPr>
        <w:footnoteRef/>
      </w:r>
      <w:r>
        <w:t xml:space="preserve"> Brink (1978), p. 84.</w:t>
      </w:r>
    </w:p>
  </w:footnote>
  <w:footnote w:id="22">
    <w:p w14:paraId="33DF1128" w14:textId="77777777" w:rsidR="00503BAC" w:rsidRDefault="00503BAC">
      <w:pPr>
        <w:pStyle w:val="Titolo3"/>
      </w:pPr>
      <w:r>
        <w:rPr>
          <w:vertAlign w:val="superscript"/>
        </w:rPr>
        <w:footnoteRef/>
      </w:r>
      <w:r>
        <w:t xml:space="preserve"> </w:t>
      </w:r>
      <w:r>
        <w:rPr>
          <w:i/>
        </w:rPr>
        <w:t>Ibidem</w:t>
      </w:r>
      <w:r>
        <w:t>, p. 85.</w:t>
      </w:r>
    </w:p>
  </w:footnote>
  <w:footnote w:id="23">
    <w:p w14:paraId="0FA1F856" w14:textId="77777777" w:rsidR="00503BAC" w:rsidRDefault="00503BAC">
      <w:pPr>
        <w:pStyle w:val="Titolo3"/>
      </w:pPr>
      <w:r>
        <w:rPr>
          <w:vertAlign w:val="superscript"/>
        </w:rPr>
        <w:footnoteRef/>
      </w:r>
      <w:r>
        <w:t xml:space="preserve"> </w:t>
      </w:r>
      <w:r>
        <w:rPr>
          <w:i/>
        </w:rPr>
        <w:t>Ibidem</w:t>
      </w:r>
      <w:r>
        <w:t>.</w:t>
      </w:r>
    </w:p>
  </w:footnote>
  <w:footnote w:id="24">
    <w:p w14:paraId="53C0B5AF" w14:textId="77777777" w:rsidR="00503BAC" w:rsidRDefault="00503BAC">
      <w:pPr>
        <w:pStyle w:val="Titolo3"/>
      </w:pPr>
      <w:r>
        <w:rPr>
          <w:vertAlign w:val="superscript"/>
        </w:rPr>
        <w:footnoteRef/>
      </w:r>
      <w:r>
        <w:t xml:space="preserve"> T. Walter, </w:t>
      </w:r>
      <w:r>
        <w:rPr>
          <w:color w:val="000000"/>
        </w:rPr>
        <w:t>personal page on Researchgate, &lt;https://www.researchgate.net/profile/Tony-Walter/2&gt;. Accessed: February 2025.</w:t>
      </w:r>
    </w:p>
  </w:footnote>
  <w:footnote w:id="25">
    <w:p w14:paraId="2306EE7E" w14:textId="77777777" w:rsidR="00503BAC" w:rsidRDefault="00503BAC">
      <w:pPr>
        <w:pStyle w:val="Titolo3"/>
      </w:pPr>
      <w:r>
        <w:rPr>
          <w:vertAlign w:val="superscript"/>
        </w:rPr>
        <w:footnoteRef/>
      </w:r>
      <w:r>
        <w:t xml:space="preserve"> T. Walter, </w:t>
      </w:r>
      <w:r>
        <w:rPr>
          <w:color w:val="000000"/>
        </w:rPr>
        <w:t xml:space="preserve">personal page on </w:t>
      </w:r>
      <w:r>
        <w:t>the University of Bath research portal, &lt;https://researchportal.bath.ac.uk/en/persons/tony-walter&gt;. Accessed: February 2025.</w:t>
      </w:r>
    </w:p>
  </w:footnote>
  <w:footnote w:id="26">
    <w:p w14:paraId="5BF80B2C" w14:textId="77777777" w:rsidR="00503BAC" w:rsidRDefault="00503BAC">
      <w:pPr>
        <w:pStyle w:val="Titolo3"/>
      </w:pPr>
      <w:r>
        <w:rPr>
          <w:vertAlign w:val="superscript"/>
        </w:rPr>
        <w:footnoteRef/>
      </w:r>
      <w:r>
        <w:t xml:space="preserve"> T. Walter, </w:t>
      </w:r>
      <w:r>
        <w:rPr>
          <w:i/>
        </w:rPr>
        <w:t>Death in the Modern World</w:t>
      </w:r>
      <w:r>
        <w:t>, Sage, London 2020, p. iv.</w:t>
      </w:r>
    </w:p>
  </w:footnote>
  <w:footnote w:id="27">
    <w:p w14:paraId="55D1880D" w14:textId="199B2D0E" w:rsidR="00503BAC" w:rsidRDefault="00503BAC" w:rsidP="001036D3">
      <w:pPr>
        <w:pStyle w:val="Titolo3"/>
      </w:pPr>
      <w:r>
        <w:rPr>
          <w:vertAlign w:val="superscript"/>
        </w:rPr>
        <w:footnoteRef/>
      </w:r>
      <w:r>
        <w:t xml:space="preserve"> T. Walter, University of Bath research portal.</w:t>
      </w:r>
    </w:p>
  </w:footnote>
  <w:footnote w:id="28">
    <w:p w14:paraId="625D383B" w14:textId="77777777" w:rsidR="00503BAC" w:rsidRDefault="00503BAC">
      <w:pPr>
        <w:pStyle w:val="Titolo3"/>
      </w:pPr>
      <w:r>
        <w:rPr>
          <w:vertAlign w:val="superscript"/>
        </w:rPr>
        <w:footnoteRef/>
      </w:r>
      <w:r>
        <w:t xml:space="preserve"> T. Walter, </w:t>
      </w:r>
      <w:r>
        <w:rPr>
          <w:i/>
        </w:rPr>
        <w:t>What Death Means Now. Thinking critically about Dying and Grieving</w:t>
      </w:r>
      <w:r>
        <w:t>, Bristol University Press, Bristol 2017.</w:t>
      </w:r>
    </w:p>
  </w:footnote>
  <w:footnote w:id="29">
    <w:p w14:paraId="2D4323A6" w14:textId="77777777" w:rsidR="00503BAC" w:rsidRDefault="00503BAC">
      <w:pPr>
        <w:pStyle w:val="Titolo3"/>
      </w:pPr>
      <w:r>
        <w:rPr>
          <w:vertAlign w:val="superscript"/>
        </w:rPr>
        <w:footnoteRef/>
      </w:r>
      <w:r>
        <w:t xml:space="preserve"> As mentioned in J. Bornat, B. Corti, R. Laidlaw, B. Archer, R. Wilkinson, ‘Conference Reports’, </w:t>
      </w:r>
      <w:r>
        <w:rPr>
          <w:i/>
        </w:rPr>
        <w:t>Oral History</w:t>
      </w:r>
      <w:r>
        <w:t xml:space="preserve">, v. 23, n. 2, Oral History Society, Herefordshire 1995, p. 24. See: H.J. Waterhouse, </w:t>
      </w:r>
      <w:r>
        <w:rPr>
          <w:i/>
        </w:rPr>
        <w:t>Buddhism in Bath: Authority and Adaptation, Community Religions Projects</w:t>
      </w:r>
      <w:r>
        <w:t xml:space="preserve">, University of Leeds 1997; H.J. Waterhouse, ‘Reincarnation Belief in Britain: New Age Orientation or Mainstream Option?’, </w:t>
      </w:r>
      <w:r>
        <w:rPr>
          <w:i/>
        </w:rPr>
        <w:t>Journal of Contemporary Religion</w:t>
      </w:r>
      <w:r>
        <w:t xml:space="preserve">, v. 14, n. 1, Routledge 1999: 97-109; H.J. Waterhouse, </w:t>
      </w:r>
      <w:r>
        <w:rPr>
          <w:i/>
        </w:rPr>
        <w:t>Buddhism. Study Guide</w:t>
      </w:r>
      <w:r>
        <w:t>, The Open University, Milton Keynes 2005.</w:t>
      </w:r>
    </w:p>
  </w:footnote>
  <w:footnote w:id="30">
    <w:p w14:paraId="03BB6695" w14:textId="77777777" w:rsidR="00503BAC" w:rsidRPr="001036D3" w:rsidRDefault="00503BAC">
      <w:pPr>
        <w:pStyle w:val="Titolo3"/>
        <w:rPr>
          <w:rFonts w:cstheme="majorHAnsi"/>
        </w:rPr>
      </w:pPr>
      <w:r w:rsidRPr="001036D3">
        <w:rPr>
          <w:rFonts w:cstheme="majorHAnsi"/>
          <w:vertAlign w:val="superscript"/>
        </w:rPr>
        <w:footnoteRef/>
      </w:r>
      <w:r w:rsidRPr="001036D3">
        <w:rPr>
          <w:rFonts w:cstheme="majorHAnsi"/>
        </w:rPr>
        <w:t xml:space="preserve"> </w:t>
      </w:r>
      <w:r w:rsidRPr="001036D3">
        <w:rPr>
          <w:rFonts w:eastAsia="Calibri" w:cstheme="majorHAnsi"/>
          <w:szCs w:val="18"/>
        </w:rPr>
        <w:t xml:space="preserve">T. Walter, H.J. Waterhouse, ‘Lives-Long Learning: The Effects of Reincarnation Belief on Everyday Life in England’, </w:t>
      </w:r>
      <w:r w:rsidRPr="001036D3">
        <w:rPr>
          <w:rFonts w:eastAsia="Calibri" w:cstheme="majorHAnsi"/>
          <w:i/>
          <w:szCs w:val="18"/>
        </w:rPr>
        <w:t>Nova Religio: The Journal of Alternative and Emergent Religions</w:t>
      </w:r>
      <w:r w:rsidRPr="001036D3">
        <w:rPr>
          <w:rFonts w:eastAsia="Calibri" w:cstheme="majorHAnsi"/>
          <w:szCs w:val="18"/>
        </w:rPr>
        <w:t xml:space="preserve">, v. 5, n. 1, University of Pennsylvania Press, Philadelphia 2001: 85-101; T. Walter, H.J. Waterhouse, ‘Reincarnation Belief and the Christian Church’, </w:t>
      </w:r>
      <w:r w:rsidRPr="001036D3">
        <w:rPr>
          <w:rFonts w:eastAsia="Calibri" w:cstheme="majorHAnsi"/>
          <w:i/>
          <w:szCs w:val="18"/>
        </w:rPr>
        <w:t>Theology</w:t>
      </w:r>
      <w:r w:rsidRPr="001036D3">
        <w:rPr>
          <w:rFonts w:eastAsia="Calibri" w:cstheme="majorHAnsi"/>
          <w:szCs w:val="18"/>
        </w:rPr>
        <w:t>, v. 106, n. 829, Sage, 2003: 20-28.</w:t>
      </w:r>
    </w:p>
  </w:footnote>
  <w:footnote w:id="31">
    <w:p w14:paraId="475B1C59" w14:textId="77777777" w:rsidR="00503BAC" w:rsidRDefault="00503BAC" w:rsidP="00FE51F3">
      <w:pPr>
        <w:pStyle w:val="Titolo3"/>
      </w:pPr>
      <w:r w:rsidRPr="001036D3">
        <w:rPr>
          <w:vertAlign w:val="superscript"/>
        </w:rPr>
        <w:footnoteRef/>
      </w:r>
      <w:r w:rsidRPr="001036D3">
        <w:t xml:space="preserve"> </w:t>
      </w:r>
      <w:r w:rsidRPr="001036D3">
        <w:rPr>
          <w:i/>
        </w:rPr>
        <w:t>Sociology of Religion</w:t>
      </w:r>
      <w:r w:rsidRPr="001036D3">
        <w:t xml:space="preserve">, </w:t>
      </w:r>
      <w:r w:rsidRPr="001036D3">
        <w:rPr>
          <w:i/>
        </w:rPr>
        <w:t>About the Journal</w:t>
      </w:r>
      <w:r w:rsidRPr="001036D3">
        <w:t>, page on Oxford University Press website, &lt;https://academic.oup.com/socrel/pages/About&gt;. Accessed: February</w:t>
      </w:r>
      <w:r>
        <w:t xml:space="preserve"> 2025.</w:t>
      </w:r>
    </w:p>
  </w:footnote>
  <w:footnote w:id="32">
    <w:p w14:paraId="0D5B6158" w14:textId="77777777" w:rsidR="00503BAC" w:rsidRDefault="00503BAC" w:rsidP="00FE51F3">
      <w:pPr>
        <w:pStyle w:val="Titolo3"/>
      </w:pPr>
      <w:r>
        <w:rPr>
          <w:vertAlign w:val="superscript"/>
        </w:rPr>
        <w:footnoteRef/>
      </w:r>
      <w:r>
        <w:t xml:space="preserve"> Walter, Waterhouse (1999), pp. 188-189.</w:t>
      </w:r>
    </w:p>
  </w:footnote>
  <w:footnote w:id="33">
    <w:p w14:paraId="6ED8608E" w14:textId="50210D26" w:rsidR="00503BAC" w:rsidRPr="009A2920" w:rsidRDefault="00503BAC" w:rsidP="00FE51F3">
      <w:pPr>
        <w:pStyle w:val="Titolo3"/>
      </w:pPr>
      <w:r>
        <w:rPr>
          <w:rStyle w:val="Rimandonotaapidipagina"/>
        </w:rPr>
        <w:footnoteRef/>
      </w:r>
      <w:r w:rsidRPr="009A2920">
        <w:t xml:space="preserve"> </w:t>
      </w:r>
      <w:r w:rsidRPr="009A2920">
        <w:rPr>
          <w:i/>
          <w:iCs/>
        </w:rPr>
        <w:t>Ibidem</w:t>
      </w:r>
      <w:r w:rsidRPr="009A2920">
        <w:t>, p. 189.</w:t>
      </w:r>
    </w:p>
  </w:footnote>
  <w:footnote w:id="34">
    <w:p w14:paraId="40304522" w14:textId="11A3BA0D" w:rsidR="00503BAC" w:rsidRPr="009A2920" w:rsidRDefault="00503BAC" w:rsidP="00CD34E1">
      <w:pPr>
        <w:pStyle w:val="Titolo3"/>
      </w:pPr>
      <w:r>
        <w:rPr>
          <w:rStyle w:val="Rimandonotaapidipagina"/>
        </w:rPr>
        <w:footnoteRef/>
      </w:r>
      <w:r w:rsidRPr="009A2920">
        <w:t xml:space="preserve"> </w:t>
      </w:r>
      <w:r w:rsidRPr="009A2920">
        <w:rPr>
          <w:i/>
          <w:iCs/>
        </w:rPr>
        <w:t>Ibidem</w:t>
      </w:r>
      <w:r w:rsidRPr="009A2920">
        <w:t>.</w:t>
      </w:r>
    </w:p>
  </w:footnote>
  <w:footnote w:id="35">
    <w:p w14:paraId="41CEAFD5" w14:textId="3092EFCD" w:rsidR="00503BAC" w:rsidRPr="009A2920" w:rsidRDefault="00503BAC" w:rsidP="00CD34E1">
      <w:pPr>
        <w:pStyle w:val="Titolo3"/>
      </w:pPr>
      <w:r>
        <w:rPr>
          <w:rStyle w:val="Rimandonotaapidipagina"/>
        </w:rPr>
        <w:footnoteRef/>
      </w:r>
      <w:r w:rsidRPr="009A2920">
        <w:t xml:space="preserve"> </w:t>
      </w:r>
      <w:r w:rsidRPr="009A2920">
        <w:rPr>
          <w:i/>
          <w:iCs/>
        </w:rPr>
        <w:t>Ibidem</w:t>
      </w:r>
      <w:r w:rsidRPr="009A2920">
        <w:t>, p. 187.</w:t>
      </w:r>
    </w:p>
  </w:footnote>
  <w:footnote w:id="36">
    <w:p w14:paraId="2EAEFCC1" w14:textId="7EDA22B8" w:rsidR="00503BAC" w:rsidRPr="000C33D0" w:rsidRDefault="00503BAC" w:rsidP="00DF69CD">
      <w:pPr>
        <w:pStyle w:val="Titolo3"/>
      </w:pPr>
      <w:r>
        <w:rPr>
          <w:rStyle w:val="Rimandonotaapidipagina"/>
        </w:rPr>
        <w:footnoteRef/>
      </w:r>
      <w:r w:rsidRPr="000C33D0">
        <w:t xml:space="preserve"> </w:t>
      </w:r>
      <w:r w:rsidRPr="000C33D0">
        <w:rPr>
          <w:i/>
          <w:iCs/>
        </w:rPr>
        <w:t>Ibidem</w:t>
      </w:r>
      <w:r w:rsidRPr="000C33D0">
        <w:t xml:space="preserve"> p. 189.</w:t>
      </w:r>
    </w:p>
  </w:footnote>
  <w:footnote w:id="37">
    <w:p w14:paraId="4B8D01C1" w14:textId="5838E11A" w:rsidR="00503BAC" w:rsidRPr="000C33D0" w:rsidRDefault="00503BAC" w:rsidP="00FE51F3">
      <w:pPr>
        <w:pStyle w:val="Titolo3"/>
      </w:pPr>
      <w:r>
        <w:rPr>
          <w:rStyle w:val="Rimandonotaapidipagina"/>
        </w:rPr>
        <w:footnoteRef/>
      </w:r>
      <w:r w:rsidRPr="00FB340F">
        <w:t xml:space="preserve"> </w:t>
      </w:r>
      <w:r w:rsidR="00FB340F" w:rsidRPr="00FB340F">
        <w:t>P</w:t>
      </w:r>
      <w:r w:rsidR="00FB340F" w:rsidRPr="00BE14E8">
        <w:t xml:space="preserve">. </w:t>
      </w:r>
      <w:r w:rsidRPr="00BE14E8">
        <w:t>Berger</w:t>
      </w:r>
      <w:r w:rsidR="00FB340F" w:rsidRPr="000C33D0">
        <w:t xml:space="preserve">, </w:t>
      </w:r>
      <w:r w:rsidR="00FB340F" w:rsidRPr="000C33D0">
        <w:rPr>
          <w:i/>
          <w:iCs/>
        </w:rPr>
        <w:t>The Social Reality of Religion</w:t>
      </w:r>
      <w:r w:rsidR="00FB340F" w:rsidRPr="000C33D0">
        <w:t xml:space="preserve">, </w:t>
      </w:r>
      <w:r w:rsidR="00BE14E8" w:rsidRPr="000C33D0">
        <w:t>Penguin, Harmondsworth</w:t>
      </w:r>
      <w:r w:rsidR="00FB340F" w:rsidRPr="000C33D0">
        <w:t xml:space="preserve">, London </w:t>
      </w:r>
      <w:r w:rsidRPr="000C33D0">
        <w:t>1969</w:t>
      </w:r>
      <w:r w:rsidR="00FB340F" w:rsidRPr="000C33D0">
        <w:t>.</w:t>
      </w:r>
    </w:p>
  </w:footnote>
  <w:footnote w:id="38">
    <w:p w14:paraId="76F02B45" w14:textId="604CDFDA" w:rsidR="00503BAC" w:rsidRPr="000C33D0" w:rsidRDefault="00503BAC" w:rsidP="00DF69CD">
      <w:pPr>
        <w:pStyle w:val="Titolo3"/>
      </w:pPr>
      <w:r w:rsidRPr="000C33D0">
        <w:rPr>
          <w:rStyle w:val="Rimandonotaapidipagina"/>
        </w:rPr>
        <w:footnoteRef/>
      </w:r>
      <w:r w:rsidRPr="000C33D0">
        <w:t xml:space="preserve"> </w:t>
      </w:r>
      <w:r w:rsidR="00BE14E8" w:rsidRPr="000C33D0">
        <w:t xml:space="preserve">G. Davie, </w:t>
      </w:r>
      <w:r w:rsidR="00BE14E8" w:rsidRPr="000C33D0">
        <w:rPr>
          <w:i/>
          <w:iCs/>
        </w:rPr>
        <w:t>Religion in Britain since 1945. Believing without Belonging</w:t>
      </w:r>
      <w:r w:rsidR="00BE14E8" w:rsidRPr="000C33D0">
        <w:t>, Blackwell, Oxford 1994.</w:t>
      </w:r>
    </w:p>
  </w:footnote>
  <w:footnote w:id="39">
    <w:p w14:paraId="13F966F6" w14:textId="426E4F08" w:rsidR="00503BAC" w:rsidRPr="000C33D0" w:rsidRDefault="00503BAC" w:rsidP="00DF69CD">
      <w:pPr>
        <w:pStyle w:val="Titolo3"/>
      </w:pPr>
      <w:r w:rsidRPr="000C33D0">
        <w:rPr>
          <w:rStyle w:val="Rimandonotaapidipagina"/>
        </w:rPr>
        <w:footnoteRef/>
      </w:r>
      <w:r w:rsidRPr="000C33D0">
        <w:t xml:space="preserve"> Berger (1969), p. 137.</w:t>
      </w:r>
    </w:p>
  </w:footnote>
  <w:footnote w:id="40">
    <w:p w14:paraId="41B02E5E" w14:textId="695BA8EA" w:rsidR="00503BAC" w:rsidRPr="000C33D0" w:rsidRDefault="00503BAC" w:rsidP="00DF69CD">
      <w:pPr>
        <w:pStyle w:val="Titolo3"/>
      </w:pPr>
      <w:r>
        <w:rPr>
          <w:rStyle w:val="Rimandonotaapidipagina"/>
        </w:rPr>
        <w:footnoteRef/>
      </w:r>
      <w:r w:rsidRPr="000C33D0">
        <w:t xml:space="preserve"> Davie</w:t>
      </w:r>
      <w:r w:rsidR="00BE14E8" w:rsidRPr="000C33D0">
        <w:t xml:space="preserve"> (1994),</w:t>
      </w:r>
      <w:r w:rsidRPr="000C33D0">
        <w:t xml:space="preserve"> p. 85.</w:t>
      </w:r>
    </w:p>
  </w:footnote>
  <w:footnote w:id="41">
    <w:p w14:paraId="50CE7FAF" w14:textId="7A18EFB5" w:rsidR="00503BAC" w:rsidRPr="006E61E8" w:rsidRDefault="00503BAC" w:rsidP="00DF69CD">
      <w:pPr>
        <w:pStyle w:val="Titolo3"/>
      </w:pPr>
      <w:r>
        <w:rPr>
          <w:rStyle w:val="Rimandonotaapidipagina"/>
        </w:rPr>
        <w:footnoteRef/>
      </w:r>
      <w:r>
        <w:t xml:space="preserve"> </w:t>
      </w:r>
      <w:r w:rsidRPr="00DF69CD">
        <w:rPr>
          <w:i/>
        </w:rPr>
        <w:t>Ibidem</w:t>
      </w:r>
      <w:r w:rsidRPr="006E61E8">
        <w:t>, p. 81.</w:t>
      </w:r>
    </w:p>
  </w:footnote>
  <w:footnote w:id="42">
    <w:p w14:paraId="6FD3DE71" w14:textId="7B3E2A08" w:rsidR="00503BAC" w:rsidRPr="006E61E8" w:rsidRDefault="00503BAC" w:rsidP="00234B93">
      <w:pPr>
        <w:pStyle w:val="Titolo3"/>
      </w:pPr>
      <w:r>
        <w:rPr>
          <w:rStyle w:val="Rimandonotaapidipagina"/>
        </w:rPr>
        <w:footnoteRef/>
      </w:r>
      <w:r w:rsidRPr="006E61E8">
        <w:t xml:space="preserve"> </w:t>
      </w:r>
      <w:r>
        <w:t>Walter, Waterhouse (1999), pp. 189-190.</w:t>
      </w:r>
    </w:p>
  </w:footnote>
  <w:footnote w:id="43">
    <w:p w14:paraId="2F9C7527" w14:textId="4DA7C90E" w:rsidR="00503BAC" w:rsidRPr="00FE51F3" w:rsidRDefault="00503BAC" w:rsidP="00234B93">
      <w:pPr>
        <w:pStyle w:val="Titolo3"/>
      </w:pPr>
      <w:r>
        <w:rPr>
          <w:rStyle w:val="Rimandonotaapidipagina"/>
        </w:rPr>
        <w:footnoteRef/>
      </w:r>
      <w:r>
        <w:t xml:space="preserve"> </w:t>
      </w:r>
      <w:r w:rsidRPr="00FE51F3">
        <w:rPr>
          <w:i/>
          <w:iCs/>
        </w:rPr>
        <w:t>Ibidem</w:t>
      </w:r>
      <w:r w:rsidRPr="00FE51F3">
        <w:t>, p. 190.</w:t>
      </w:r>
    </w:p>
  </w:footnote>
  <w:footnote w:id="44">
    <w:p w14:paraId="294A983E" w14:textId="602FC6E3" w:rsidR="00503BAC" w:rsidRPr="00FE51F3" w:rsidRDefault="00503BAC" w:rsidP="00234B93">
      <w:pPr>
        <w:pStyle w:val="Titolo3"/>
      </w:pPr>
      <w:r>
        <w:rPr>
          <w:rStyle w:val="Rimandonotaapidipagina"/>
        </w:rPr>
        <w:footnoteRef/>
      </w:r>
      <w:r>
        <w:t xml:space="preserve"> </w:t>
      </w:r>
      <w:r w:rsidRPr="00FE51F3">
        <w:rPr>
          <w:i/>
          <w:iCs/>
        </w:rPr>
        <w:t>Ibidem</w:t>
      </w:r>
      <w:r w:rsidRPr="00FE51F3">
        <w:t>, p. 193.</w:t>
      </w:r>
    </w:p>
  </w:footnote>
  <w:footnote w:id="45">
    <w:p w14:paraId="1185EE6F" w14:textId="1C7E5231" w:rsidR="00503BAC" w:rsidRPr="00FE51F3" w:rsidRDefault="00503BAC" w:rsidP="00234B93">
      <w:pPr>
        <w:pStyle w:val="Titolo3"/>
      </w:pPr>
      <w:r>
        <w:rPr>
          <w:rStyle w:val="Rimandonotaapidipagina"/>
        </w:rPr>
        <w:footnoteRef/>
      </w:r>
      <w:r>
        <w:t xml:space="preserve"> </w:t>
      </w:r>
      <w:r w:rsidRPr="00FE51F3">
        <w:rPr>
          <w:i/>
          <w:iCs/>
        </w:rPr>
        <w:t>Ibidem</w:t>
      </w:r>
      <w:r w:rsidRPr="00FE51F3">
        <w:t>, p. 194.</w:t>
      </w:r>
    </w:p>
  </w:footnote>
  <w:footnote w:id="46">
    <w:p w14:paraId="3FE76D70" w14:textId="43092E77" w:rsidR="00503BAC" w:rsidRPr="009A2920" w:rsidRDefault="00503BAC" w:rsidP="00234B93">
      <w:pPr>
        <w:pStyle w:val="Titolo3"/>
      </w:pPr>
      <w:r>
        <w:rPr>
          <w:rStyle w:val="Rimandonotaapidipagina"/>
        </w:rPr>
        <w:footnoteRef/>
      </w:r>
      <w:r>
        <w:t xml:space="preserve"> </w:t>
      </w:r>
      <w:r w:rsidRPr="009A2920">
        <w:rPr>
          <w:i/>
          <w:iCs/>
        </w:rPr>
        <w:t>Ibidem</w:t>
      </w:r>
      <w:r w:rsidRPr="009A2920">
        <w:t>, p. 195.</w:t>
      </w:r>
    </w:p>
  </w:footnote>
  <w:footnote w:id="47">
    <w:p w14:paraId="4BF47495" w14:textId="65C2A753" w:rsidR="00503BAC" w:rsidRPr="009A2920" w:rsidRDefault="00503BAC" w:rsidP="000321A8">
      <w:pPr>
        <w:pStyle w:val="Titolo3"/>
      </w:pPr>
      <w:r>
        <w:rPr>
          <w:rStyle w:val="Rimandonotaapidipagina"/>
        </w:rPr>
        <w:footnoteRef/>
      </w:r>
      <w:r>
        <w:t xml:space="preserve"> Brink (1978), p. 84.</w:t>
      </w:r>
    </w:p>
  </w:footnote>
  <w:footnote w:id="48">
    <w:p w14:paraId="019A7D35" w14:textId="7912DDA1" w:rsidR="00503BAC" w:rsidRPr="00DF7D37" w:rsidRDefault="00503BAC" w:rsidP="00DF7D37">
      <w:pPr>
        <w:pStyle w:val="Titolo3"/>
      </w:pPr>
      <w:r>
        <w:rPr>
          <w:rStyle w:val="Rimandonotaapidipagina"/>
        </w:rPr>
        <w:footnoteRef/>
      </w:r>
      <w:r>
        <w:t xml:space="preserve"> Walter, Waterhouse (1999), pp.  187, 189, 190.</w:t>
      </w:r>
    </w:p>
  </w:footnote>
  <w:footnote w:id="49">
    <w:p w14:paraId="1FBDEB4E" w14:textId="71CAC430" w:rsidR="00503BAC" w:rsidRPr="00DF7D37" w:rsidRDefault="00503BAC" w:rsidP="000321A8">
      <w:pPr>
        <w:pStyle w:val="Titolo3"/>
      </w:pPr>
      <w:r>
        <w:rPr>
          <w:rStyle w:val="Rimandonotaapidipagina"/>
        </w:rPr>
        <w:footnoteRef/>
      </w:r>
      <w:r>
        <w:t xml:space="preserve"> Brink (1978)</w:t>
      </w:r>
      <w:r w:rsidRPr="00DF7D37">
        <w:t>, p. 82.</w:t>
      </w:r>
    </w:p>
  </w:footnote>
  <w:footnote w:id="50">
    <w:p w14:paraId="18DBC011" w14:textId="62DC4787" w:rsidR="00503BAC" w:rsidRPr="00DF7D37" w:rsidRDefault="00503BAC" w:rsidP="000321A8">
      <w:pPr>
        <w:pStyle w:val="Titolo3"/>
      </w:pPr>
      <w:r>
        <w:rPr>
          <w:rStyle w:val="Rimandonotaapidipagina"/>
        </w:rPr>
        <w:footnoteRef/>
      </w:r>
      <w:r>
        <w:t xml:space="preserve"> </w:t>
      </w:r>
      <w:r w:rsidRPr="00DF7D37">
        <w:rPr>
          <w:i/>
          <w:iCs/>
        </w:rPr>
        <w:t>Ibidem</w:t>
      </w:r>
      <w:r w:rsidRPr="00DF7D37">
        <w:t>, p. 83.</w:t>
      </w:r>
    </w:p>
  </w:footnote>
  <w:footnote w:id="51">
    <w:p w14:paraId="255AF8A2" w14:textId="747CF28E" w:rsidR="00503BAC" w:rsidRPr="00DF7D37" w:rsidRDefault="00503BAC" w:rsidP="000321A8">
      <w:pPr>
        <w:pStyle w:val="Titolo3"/>
      </w:pPr>
      <w:r>
        <w:rPr>
          <w:rStyle w:val="Rimandonotaapidipagina"/>
        </w:rPr>
        <w:footnoteRef/>
      </w:r>
      <w:r>
        <w:t xml:space="preserve"> </w:t>
      </w:r>
      <w:r w:rsidRPr="00DF7D37">
        <w:rPr>
          <w:i/>
          <w:iCs/>
        </w:rPr>
        <w:t>Ibidem</w:t>
      </w:r>
      <w:r w:rsidRPr="00DF7D37">
        <w:t>, p. 82.</w:t>
      </w:r>
    </w:p>
  </w:footnote>
  <w:footnote w:id="52">
    <w:p w14:paraId="119CC568" w14:textId="04375EF1" w:rsidR="00503BAC" w:rsidRPr="009A2920" w:rsidRDefault="00503BAC" w:rsidP="000321A8">
      <w:pPr>
        <w:pStyle w:val="Titolo3"/>
      </w:pPr>
      <w:r>
        <w:rPr>
          <w:rStyle w:val="Rimandonotaapidipagina"/>
        </w:rPr>
        <w:footnoteRef/>
      </w:r>
      <w:r>
        <w:t xml:space="preserve"> </w:t>
      </w:r>
      <w:r w:rsidRPr="009A2920">
        <w:rPr>
          <w:i/>
          <w:iCs/>
        </w:rPr>
        <w:t>Ibidem</w:t>
      </w:r>
      <w:r w:rsidRPr="009A2920">
        <w:t>, p. 84.</w:t>
      </w:r>
    </w:p>
  </w:footnote>
  <w:footnote w:id="53">
    <w:p w14:paraId="17A66CD3" w14:textId="4B440E54" w:rsidR="00503BAC" w:rsidRPr="009A2920" w:rsidRDefault="00503BAC" w:rsidP="000321A8">
      <w:pPr>
        <w:pStyle w:val="Titolo3"/>
      </w:pPr>
      <w:r>
        <w:rPr>
          <w:rStyle w:val="Rimandonotaapidipagina"/>
        </w:rPr>
        <w:footnoteRef/>
      </w:r>
      <w:r>
        <w:t xml:space="preserve"> </w:t>
      </w:r>
      <w:r w:rsidRPr="000C45EC">
        <w:t>Wuthnow</w:t>
      </w:r>
      <w:r w:rsidR="00623A25">
        <w:t xml:space="preserve"> (1976). </w:t>
      </w:r>
    </w:p>
  </w:footnote>
  <w:footnote w:id="54">
    <w:p w14:paraId="41238465" w14:textId="5202A70A" w:rsidR="00623A25" w:rsidRPr="00623A25" w:rsidRDefault="00623A25" w:rsidP="00F272B8">
      <w:pPr>
        <w:pStyle w:val="Titolo3"/>
      </w:pPr>
      <w:r>
        <w:rPr>
          <w:rStyle w:val="Rimandonotaapidipagina"/>
        </w:rPr>
        <w:footnoteRef/>
      </w:r>
      <w:r>
        <w:t xml:space="preserve"> Brink (1978)</w:t>
      </w:r>
      <w:r w:rsidRPr="00DF7D37">
        <w:t>, p. 8</w:t>
      </w:r>
      <w:r>
        <w:t>4</w:t>
      </w:r>
      <w:r w:rsidRPr="00DF7D37">
        <w:t>.</w:t>
      </w:r>
    </w:p>
  </w:footnote>
  <w:footnote w:id="55">
    <w:p w14:paraId="6031D636" w14:textId="79EFA665" w:rsidR="00503BAC" w:rsidRPr="00DF7D37" w:rsidRDefault="00503BAC" w:rsidP="000321A8">
      <w:pPr>
        <w:pStyle w:val="Titolo3"/>
      </w:pPr>
      <w:r>
        <w:rPr>
          <w:rStyle w:val="Rimandonotaapidipagina"/>
        </w:rPr>
        <w:footnoteRef/>
      </w:r>
      <w:r>
        <w:t xml:space="preserve"> Walter, Waterhouse (1999), p. 188.</w:t>
      </w:r>
    </w:p>
  </w:footnote>
  <w:footnote w:id="56">
    <w:p w14:paraId="6605E202" w14:textId="6608D724" w:rsidR="00503BAC" w:rsidRPr="00DF7D37" w:rsidRDefault="00503BAC" w:rsidP="000321A8">
      <w:pPr>
        <w:pStyle w:val="Titolo3"/>
      </w:pPr>
      <w:r>
        <w:rPr>
          <w:rStyle w:val="Rimandonotaapidipagina"/>
        </w:rPr>
        <w:footnoteRef/>
      </w:r>
      <w:r>
        <w:t xml:space="preserve"> </w:t>
      </w:r>
      <w:r w:rsidR="000C45EC">
        <w:t xml:space="preserve">S. Ashford, N. Timms, </w:t>
      </w:r>
      <w:r w:rsidR="000C45EC">
        <w:rPr>
          <w:i/>
        </w:rPr>
        <w:t>What Europe Thinks. A Study of  Western European Values</w:t>
      </w:r>
      <w:r w:rsidR="000C45EC">
        <w:t>, Aldershot, Dartmouth 1992, p. 127.</w:t>
      </w:r>
    </w:p>
  </w:footnote>
  <w:footnote w:id="57">
    <w:p w14:paraId="5DBDACD4" w14:textId="5ADE8473" w:rsidR="00F06285" w:rsidRPr="00F06285" w:rsidRDefault="00F06285" w:rsidP="00F06285">
      <w:pPr>
        <w:pStyle w:val="Titolo3"/>
      </w:pPr>
      <w:r>
        <w:rPr>
          <w:rStyle w:val="Rimandonotaapidipagina"/>
        </w:rPr>
        <w:footnoteRef/>
      </w:r>
      <w:r>
        <w:t xml:space="preserve"> </w:t>
      </w:r>
      <w:r w:rsidRPr="00F06285">
        <w:t xml:space="preserve">Mass </w:t>
      </w:r>
      <w:r w:rsidRPr="00BD4196">
        <w:t xml:space="preserve">Observation, </w:t>
      </w:r>
      <w:r w:rsidRPr="00BD4196">
        <w:rPr>
          <w:i/>
          <w:iCs/>
        </w:rPr>
        <w:t>Puzzled People. A Study in Popular Attitudes to Religion, Ethics, Progress and Politics in a London Borough</w:t>
      </w:r>
      <w:r w:rsidRPr="00BD4196">
        <w:t>, Victor Gollancz, London 1947.</w:t>
      </w:r>
    </w:p>
  </w:footnote>
  <w:footnote w:id="58">
    <w:p w14:paraId="5DA969F9" w14:textId="7DD9D35A" w:rsidR="00F06285" w:rsidRPr="00F06285" w:rsidRDefault="00F06285" w:rsidP="00F06285">
      <w:pPr>
        <w:pStyle w:val="Titolo3"/>
      </w:pPr>
      <w:r>
        <w:rPr>
          <w:rStyle w:val="Rimandonotaapidipagina"/>
        </w:rPr>
        <w:footnoteRef/>
      </w:r>
      <w:r>
        <w:t xml:space="preserve"> G. Gorer, </w:t>
      </w:r>
      <w:r w:rsidRPr="00F06285">
        <w:rPr>
          <w:i/>
          <w:iCs/>
        </w:rPr>
        <w:t>Exploring English Character</w:t>
      </w:r>
      <w:r>
        <w:t xml:space="preserve">, The Cresset Press, London 1955; </w:t>
      </w:r>
      <w:r w:rsidRPr="00F06285">
        <w:rPr>
          <w:i/>
          <w:iCs/>
        </w:rPr>
        <w:t>Death, Grief and Mourning. A Study of Contemporary Society</w:t>
      </w:r>
      <w:r>
        <w:t xml:space="preserve">, Doubleday&amp;Company, New York 1965; </w:t>
      </w:r>
      <w:r w:rsidRPr="00F06285">
        <w:rPr>
          <w:i/>
          <w:iCs/>
        </w:rPr>
        <w:t>Death, Grief and Mourning in Contemporary England</w:t>
      </w:r>
      <w:r>
        <w:t>, The Cresset Press, London 1965</w:t>
      </w:r>
      <w:r w:rsidR="00F57359">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70AE4" w14:textId="77777777" w:rsidR="00503BAC" w:rsidRDefault="00503BAC">
    <w:pPr>
      <w:pBdr>
        <w:top w:val="nil"/>
        <w:left w:val="nil"/>
        <w:bottom w:val="nil"/>
        <w:right w:val="nil"/>
        <w:between w:val="nil"/>
      </w:pBdr>
      <w:tabs>
        <w:tab w:val="center" w:pos="4819"/>
        <w:tab w:val="right" w:pos="9638"/>
      </w:tabs>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end"/>
    </w:r>
  </w:p>
  <w:p w14:paraId="6099BBF2" w14:textId="77777777" w:rsidR="00503BAC" w:rsidRDefault="00503BAC">
    <w:pPr>
      <w:pBdr>
        <w:top w:val="nil"/>
        <w:left w:val="nil"/>
        <w:bottom w:val="nil"/>
        <w:right w:val="nil"/>
        <w:between w:val="nil"/>
      </w:pBdr>
      <w:tabs>
        <w:tab w:val="center" w:pos="4819"/>
        <w:tab w:val="right" w:pos="9638"/>
      </w:tabs>
      <w:ind w:right="360"/>
      <w:rPr>
        <w:rFonts w:ascii="Calibri" w:hAnsi="Calibri"/>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372116" w14:textId="77777777" w:rsidR="00503BAC" w:rsidRDefault="00503BAC">
    <w:pPr>
      <w:pBdr>
        <w:top w:val="nil"/>
        <w:left w:val="nil"/>
        <w:bottom w:val="nil"/>
        <w:right w:val="nil"/>
        <w:between w:val="nil"/>
      </w:pBdr>
      <w:tabs>
        <w:tab w:val="center" w:pos="4819"/>
        <w:tab w:val="right" w:pos="9638"/>
      </w:tabs>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separate"/>
    </w:r>
    <w:r>
      <w:rPr>
        <w:rFonts w:ascii="Calibri" w:hAnsi="Calibri"/>
        <w:noProof/>
        <w:color w:val="000000"/>
      </w:rPr>
      <w:t>1</w:t>
    </w:r>
    <w:r>
      <w:rPr>
        <w:rFonts w:ascii="Calibri" w:hAnsi="Calibri"/>
        <w:color w:val="000000"/>
      </w:rPr>
      <w:fldChar w:fldCharType="end"/>
    </w:r>
  </w:p>
  <w:p w14:paraId="4EFD0E86" w14:textId="77777777" w:rsidR="00503BAC" w:rsidRDefault="00503BAC">
    <w:pPr>
      <w:pBdr>
        <w:top w:val="nil"/>
        <w:left w:val="nil"/>
        <w:bottom w:val="nil"/>
        <w:right w:val="nil"/>
        <w:between w:val="nil"/>
      </w:pBdr>
      <w:tabs>
        <w:tab w:val="center" w:pos="4819"/>
        <w:tab w:val="right" w:pos="9638"/>
      </w:tabs>
      <w:ind w:right="360"/>
      <w:rPr>
        <w:rFonts w:ascii="Calibri" w:hAnsi="Calibri"/>
        <w:color w:val="000000"/>
      </w:rPr>
    </w:pPr>
    <w:r>
      <w:rPr>
        <w:rFonts w:ascii="Calibri" w:hAnsi="Calibri"/>
        <w:color w:val="000000"/>
      </w:rPr>
      <w:t>Francesca Croce 2317231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A42"/>
    <w:rsid w:val="000321A8"/>
    <w:rsid w:val="000355EF"/>
    <w:rsid w:val="000C33D0"/>
    <w:rsid w:val="000C45EC"/>
    <w:rsid w:val="001036D3"/>
    <w:rsid w:val="001654E7"/>
    <w:rsid w:val="001B5733"/>
    <w:rsid w:val="001C25F7"/>
    <w:rsid w:val="001D5A80"/>
    <w:rsid w:val="00234B93"/>
    <w:rsid w:val="0026528F"/>
    <w:rsid w:val="002C2108"/>
    <w:rsid w:val="002D72BB"/>
    <w:rsid w:val="002E0A42"/>
    <w:rsid w:val="002F45C5"/>
    <w:rsid w:val="00300B30"/>
    <w:rsid w:val="00301329"/>
    <w:rsid w:val="00305C68"/>
    <w:rsid w:val="00335A99"/>
    <w:rsid w:val="0033789E"/>
    <w:rsid w:val="003718CA"/>
    <w:rsid w:val="00425786"/>
    <w:rsid w:val="004533CB"/>
    <w:rsid w:val="00476B5F"/>
    <w:rsid w:val="004947A3"/>
    <w:rsid w:val="00503BAC"/>
    <w:rsid w:val="00506633"/>
    <w:rsid w:val="00573F5F"/>
    <w:rsid w:val="00595B50"/>
    <w:rsid w:val="005F6144"/>
    <w:rsid w:val="00623A25"/>
    <w:rsid w:val="00686012"/>
    <w:rsid w:val="00686B4E"/>
    <w:rsid w:val="006C77E8"/>
    <w:rsid w:val="006D2D0A"/>
    <w:rsid w:val="006E61E8"/>
    <w:rsid w:val="00705957"/>
    <w:rsid w:val="00791ED8"/>
    <w:rsid w:val="007F7E79"/>
    <w:rsid w:val="008C32D6"/>
    <w:rsid w:val="009219FB"/>
    <w:rsid w:val="00966716"/>
    <w:rsid w:val="009A2920"/>
    <w:rsid w:val="00A60131"/>
    <w:rsid w:val="00B234D0"/>
    <w:rsid w:val="00B54B0C"/>
    <w:rsid w:val="00B943D9"/>
    <w:rsid w:val="00BC3A73"/>
    <w:rsid w:val="00BD4196"/>
    <w:rsid w:val="00BE14E8"/>
    <w:rsid w:val="00C15CF2"/>
    <w:rsid w:val="00C21706"/>
    <w:rsid w:val="00C2410F"/>
    <w:rsid w:val="00C4546A"/>
    <w:rsid w:val="00C50FE2"/>
    <w:rsid w:val="00CD34E1"/>
    <w:rsid w:val="00CF0CBB"/>
    <w:rsid w:val="00D10F8D"/>
    <w:rsid w:val="00D834BB"/>
    <w:rsid w:val="00D8621C"/>
    <w:rsid w:val="00DF1A24"/>
    <w:rsid w:val="00DF69CD"/>
    <w:rsid w:val="00DF7D37"/>
    <w:rsid w:val="00E01394"/>
    <w:rsid w:val="00E45BCA"/>
    <w:rsid w:val="00EA6624"/>
    <w:rsid w:val="00F06285"/>
    <w:rsid w:val="00F06D53"/>
    <w:rsid w:val="00F06D9B"/>
    <w:rsid w:val="00F272B8"/>
    <w:rsid w:val="00F57359"/>
    <w:rsid w:val="00FB340F"/>
    <w:rsid w:val="00FC2957"/>
    <w:rsid w:val="00FC4971"/>
    <w:rsid w:val="00FE51F3"/>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4CE0673"/>
  <w15:docId w15:val="{5947602C-5411-B347-9B26-709F66D94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1"/>
        <w:szCs w:val="21"/>
        <w:lang w:val="en-US" w:eastAsia="it-IT" w:bidi="ar-SA"/>
      </w:rPr>
    </w:rPrDefault>
    <w:pPrDefault>
      <w:pPr>
        <w:spacing w:line="360" w:lineRule="auto"/>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85266F"/>
    <w:rPr>
      <w:rFonts w:asciiTheme="majorHAnsi" w:hAnsiTheme="majorHAnsi"/>
    </w:rPr>
  </w:style>
  <w:style w:type="paragraph" w:styleId="Titolo1">
    <w:name w:val="heading 1"/>
    <w:aliases w:val="Biblio"/>
    <w:basedOn w:val="Normale"/>
    <w:next w:val="Normale"/>
    <w:link w:val="Titolo1Carattere"/>
    <w:uiPriority w:val="9"/>
    <w:qFormat/>
    <w:rsid w:val="00893CB9"/>
    <w:pPr>
      <w:keepNext/>
      <w:keepLines/>
      <w:spacing w:before="240"/>
      <w:ind w:left="567" w:hanging="567"/>
      <w:outlineLvl w:val="0"/>
    </w:pPr>
    <w:rPr>
      <w:rFonts w:eastAsiaTheme="majorEastAsia" w:cstheme="majorBidi"/>
      <w:szCs w:val="32"/>
    </w:rPr>
  </w:style>
  <w:style w:type="paragraph" w:styleId="Titolo2">
    <w:name w:val="heading 2"/>
    <w:basedOn w:val="Normale"/>
    <w:next w:val="Normale"/>
    <w:link w:val="Titolo2Carattere"/>
    <w:uiPriority w:val="9"/>
    <w:unhideWhenUsed/>
    <w:qFormat/>
    <w:rsid w:val="007C5E0D"/>
    <w:pPr>
      <w:keepNext/>
      <w:keepLines/>
      <w:spacing w:before="40"/>
      <w:outlineLvl w:val="1"/>
    </w:pPr>
    <w:rPr>
      <w:rFonts w:eastAsiaTheme="majorEastAsia" w:cstheme="majorBidi"/>
      <w:color w:val="2F5496" w:themeColor="accent1" w:themeShade="BF"/>
      <w:sz w:val="26"/>
      <w:szCs w:val="26"/>
    </w:rPr>
  </w:style>
  <w:style w:type="paragraph" w:styleId="Titolo3">
    <w:name w:val="heading 3"/>
    <w:aliases w:val="note"/>
    <w:basedOn w:val="Pidipagina"/>
    <w:next w:val="Normale"/>
    <w:link w:val="Titolo3Carattere"/>
    <w:uiPriority w:val="9"/>
    <w:unhideWhenUsed/>
    <w:qFormat/>
    <w:rsid w:val="00C705F6"/>
    <w:pPr>
      <w:keepNext/>
      <w:keepLines/>
      <w:spacing w:line="280" w:lineRule="exact"/>
      <w:ind w:firstLine="0"/>
      <w:contextualSpacing/>
      <w:outlineLvl w:val="2"/>
    </w:pPr>
    <w:rPr>
      <w:rFonts w:eastAsiaTheme="majorEastAsia" w:cs="font235"/>
      <w:sz w:val="18"/>
    </w:rPr>
  </w:style>
  <w:style w:type="paragraph" w:styleId="Titolo4">
    <w:name w:val="heading 4"/>
    <w:basedOn w:val="Normale"/>
    <w:next w:val="Normale"/>
    <w:uiPriority w:val="9"/>
    <w:semiHidden/>
    <w:unhideWhenUsed/>
    <w:qFormat/>
    <w:pPr>
      <w:keepNext/>
      <w:keepLines/>
      <w:spacing w:before="240" w:after="40"/>
      <w:outlineLvl w:val="3"/>
    </w:pPr>
    <w:rPr>
      <w:b/>
      <w:sz w:val="24"/>
      <w:szCs w:val="24"/>
    </w:rPr>
  </w:style>
  <w:style w:type="paragraph" w:styleId="Titolo5">
    <w:name w:val="heading 5"/>
    <w:basedOn w:val="Normale"/>
    <w:next w:val="Normale"/>
    <w:uiPriority w:val="9"/>
    <w:semiHidden/>
    <w:unhideWhenUsed/>
    <w:qFormat/>
    <w:pPr>
      <w:keepNext/>
      <w:keepLines/>
      <w:spacing w:before="220" w:after="40"/>
      <w:outlineLvl w:val="4"/>
    </w:pPr>
    <w:rPr>
      <w:b/>
      <w:sz w:val="22"/>
      <w:szCs w:val="22"/>
    </w:rPr>
  </w:style>
  <w:style w:type="paragraph" w:styleId="Titolo6">
    <w:name w:val="heading 6"/>
    <w:basedOn w:val="Normale"/>
    <w:next w:val="Normale"/>
    <w:uiPriority w:val="9"/>
    <w:semiHidden/>
    <w:unhideWhenUsed/>
    <w:qFormat/>
    <w:pPr>
      <w:keepNext/>
      <w:keepLines/>
      <w:spacing w:before="200" w:after="40"/>
      <w:outlineLvl w:val="5"/>
    </w:pPr>
    <w:rPr>
      <w:b/>
      <w:sz w:val="20"/>
      <w:szCs w:val="2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olo">
    <w:name w:val="Title"/>
    <w:basedOn w:val="Normale"/>
    <w:next w:val="Normale"/>
    <w:uiPriority w:val="10"/>
    <w:qFormat/>
    <w:pPr>
      <w:keepNext/>
      <w:keepLines/>
      <w:spacing w:before="480" w:after="120"/>
    </w:pPr>
    <w:rPr>
      <w:b/>
      <w:sz w:val="72"/>
      <w:szCs w:val="72"/>
    </w:rPr>
  </w:style>
  <w:style w:type="character" w:customStyle="1" w:styleId="Titolo3Carattere">
    <w:name w:val="Titolo 3 Carattere"/>
    <w:aliases w:val="note Carattere"/>
    <w:basedOn w:val="Carpredefinitoparagrafo"/>
    <w:link w:val="Titolo3"/>
    <w:uiPriority w:val="9"/>
    <w:rsid w:val="00C705F6"/>
    <w:rPr>
      <w:rFonts w:asciiTheme="majorHAnsi" w:eastAsiaTheme="majorEastAsia" w:hAnsiTheme="majorHAnsi" w:cs="font235"/>
      <w:sz w:val="18"/>
    </w:rPr>
  </w:style>
  <w:style w:type="paragraph" w:styleId="Pidipagina">
    <w:name w:val="footer"/>
    <w:basedOn w:val="Normale"/>
    <w:link w:val="PidipaginaCarattere"/>
    <w:uiPriority w:val="99"/>
    <w:unhideWhenUsed/>
    <w:rsid w:val="00437BD2"/>
    <w:pPr>
      <w:tabs>
        <w:tab w:val="center" w:pos="4819"/>
        <w:tab w:val="right" w:pos="9638"/>
      </w:tabs>
    </w:pPr>
  </w:style>
  <w:style w:type="character" w:customStyle="1" w:styleId="PidipaginaCarattere">
    <w:name w:val="Piè di pagina Carattere"/>
    <w:basedOn w:val="Carpredefinitoparagrafo"/>
    <w:link w:val="Pidipagina"/>
    <w:uiPriority w:val="99"/>
    <w:rsid w:val="00437BD2"/>
  </w:style>
  <w:style w:type="character" w:customStyle="1" w:styleId="Titolo1Carattere">
    <w:name w:val="Titolo 1 Carattere"/>
    <w:aliases w:val="Biblio Carattere"/>
    <w:basedOn w:val="Carpredefinitoparagrafo"/>
    <w:link w:val="Titolo1"/>
    <w:uiPriority w:val="9"/>
    <w:rsid w:val="00893CB9"/>
    <w:rPr>
      <w:rFonts w:asciiTheme="majorHAnsi" w:eastAsiaTheme="majorEastAsia" w:hAnsiTheme="majorHAnsi" w:cstheme="majorBidi"/>
      <w:sz w:val="21"/>
      <w:szCs w:val="32"/>
    </w:rPr>
  </w:style>
  <w:style w:type="character" w:customStyle="1" w:styleId="Titolo2Carattere">
    <w:name w:val="Titolo 2 Carattere"/>
    <w:basedOn w:val="Carpredefinitoparagrafo"/>
    <w:link w:val="Titolo2"/>
    <w:uiPriority w:val="9"/>
    <w:semiHidden/>
    <w:rsid w:val="007C5E0D"/>
    <w:rPr>
      <w:rFonts w:asciiTheme="majorHAnsi" w:eastAsiaTheme="majorEastAsia" w:hAnsiTheme="majorHAnsi" w:cstheme="majorBidi"/>
      <w:color w:val="2F5496" w:themeColor="accent1" w:themeShade="BF"/>
      <w:sz w:val="26"/>
      <w:szCs w:val="26"/>
    </w:rPr>
  </w:style>
  <w:style w:type="paragraph" w:styleId="Testonotaapidipagina">
    <w:name w:val="footnote text"/>
    <w:basedOn w:val="Normale"/>
    <w:link w:val="TestonotaapidipaginaCarattere"/>
    <w:autoRedefine/>
    <w:uiPriority w:val="99"/>
    <w:unhideWhenUsed/>
    <w:qFormat/>
    <w:rsid w:val="00DB33EA"/>
    <w:pPr>
      <w:spacing w:line="240" w:lineRule="auto"/>
      <w:ind w:firstLine="0"/>
    </w:pPr>
    <w:rPr>
      <w:sz w:val="18"/>
      <w:szCs w:val="20"/>
    </w:rPr>
  </w:style>
  <w:style w:type="character" w:customStyle="1" w:styleId="TestonotaapidipaginaCarattere">
    <w:name w:val="Testo nota a piè di pagina Carattere"/>
    <w:basedOn w:val="Carpredefinitoparagrafo"/>
    <w:link w:val="Testonotaapidipagina"/>
    <w:uiPriority w:val="99"/>
    <w:rsid w:val="00DB33EA"/>
    <w:rPr>
      <w:rFonts w:asciiTheme="majorHAnsi" w:hAnsiTheme="majorHAnsi"/>
      <w:sz w:val="18"/>
      <w:szCs w:val="20"/>
    </w:rPr>
  </w:style>
  <w:style w:type="character" w:styleId="Rimandonotaapidipagina">
    <w:name w:val="footnote reference"/>
    <w:basedOn w:val="Carpredefinitoparagrafo"/>
    <w:uiPriority w:val="99"/>
    <w:semiHidden/>
    <w:unhideWhenUsed/>
    <w:rsid w:val="007C5E0D"/>
    <w:rPr>
      <w:vertAlign w:val="superscript"/>
    </w:rPr>
  </w:style>
  <w:style w:type="character" w:styleId="Numeropagina">
    <w:name w:val="page number"/>
    <w:basedOn w:val="Carpredefinitoparagrafo"/>
    <w:uiPriority w:val="99"/>
    <w:semiHidden/>
    <w:unhideWhenUsed/>
    <w:rsid w:val="007C5E0D"/>
  </w:style>
  <w:style w:type="paragraph" w:styleId="Intestazione">
    <w:name w:val="header"/>
    <w:basedOn w:val="Normale"/>
    <w:link w:val="IntestazioneCarattere"/>
    <w:uiPriority w:val="99"/>
    <w:unhideWhenUsed/>
    <w:rsid w:val="007C5E0D"/>
    <w:pPr>
      <w:tabs>
        <w:tab w:val="center" w:pos="4819"/>
        <w:tab w:val="right" w:pos="9638"/>
      </w:tabs>
    </w:pPr>
  </w:style>
  <w:style w:type="character" w:customStyle="1" w:styleId="IntestazioneCarattere">
    <w:name w:val="Intestazione Carattere"/>
    <w:basedOn w:val="Carpredefinitoparagrafo"/>
    <w:link w:val="Intestazione"/>
    <w:uiPriority w:val="99"/>
    <w:rsid w:val="007C5E0D"/>
    <w:rPr>
      <w:rFonts w:asciiTheme="majorHAnsi" w:hAnsiTheme="majorHAnsi"/>
      <w:sz w:val="21"/>
    </w:rPr>
  </w:style>
  <w:style w:type="paragraph" w:styleId="NormaleWeb">
    <w:name w:val="Normal (Web)"/>
    <w:basedOn w:val="Normale"/>
    <w:rsid w:val="007C5E0D"/>
    <w:pPr>
      <w:spacing w:before="100" w:beforeAutospacing="1" w:after="100" w:afterAutospacing="1"/>
      <w:jc w:val="left"/>
    </w:pPr>
    <w:rPr>
      <w:rFonts w:ascii="Georgia" w:eastAsia="SimSun" w:hAnsi="Georgia" w:cs="Times New Roman"/>
      <w:color w:val="000000"/>
      <w:lang w:val="en-GB" w:eastAsia="zh-CN"/>
    </w:rPr>
  </w:style>
  <w:style w:type="numbering" w:customStyle="1" w:styleId="Nessunelenco1">
    <w:name w:val="Nessun elenco1"/>
    <w:next w:val="Nessunelenco"/>
    <w:uiPriority w:val="99"/>
    <w:semiHidden/>
    <w:unhideWhenUsed/>
    <w:rsid w:val="007C5E0D"/>
  </w:style>
  <w:style w:type="paragraph" w:styleId="Nessunaspaziatura">
    <w:name w:val="No Spacing"/>
    <w:aliases w:val="quotation"/>
    <w:autoRedefine/>
    <w:uiPriority w:val="1"/>
    <w:qFormat/>
    <w:rsid w:val="007C5E0D"/>
    <w:pPr>
      <w:ind w:left="567" w:right="567"/>
    </w:pPr>
    <w:rPr>
      <w:rFonts w:asciiTheme="majorHAnsi" w:eastAsia="Times New Roman" w:hAnsiTheme="majorHAnsi" w:cs="Times New Roman"/>
    </w:rPr>
  </w:style>
  <w:style w:type="character" w:styleId="Enfasicorsivo">
    <w:name w:val="Emphasis"/>
    <w:basedOn w:val="Carpredefinitoparagrafo"/>
    <w:uiPriority w:val="20"/>
    <w:qFormat/>
    <w:rsid w:val="007C5E0D"/>
    <w:rPr>
      <w:i/>
      <w:iCs/>
    </w:rPr>
  </w:style>
  <w:style w:type="table" w:styleId="Grigliatabella">
    <w:name w:val="Table Grid"/>
    <w:basedOn w:val="Tabellanormale"/>
    <w:uiPriority w:val="39"/>
    <w:rsid w:val="007C5E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C5E0D"/>
    <w:pPr>
      <w:autoSpaceDE w:val="0"/>
      <w:autoSpaceDN w:val="0"/>
      <w:adjustRightInd w:val="0"/>
      <w:jc w:val="left"/>
    </w:pPr>
    <w:rPr>
      <w:rFonts w:ascii="Code" w:hAnsi="Code" w:cs="Code"/>
      <w:color w:val="000000"/>
    </w:rPr>
  </w:style>
  <w:style w:type="paragraph" w:styleId="Sottotitolo">
    <w:name w:val="Subtitle"/>
    <w:basedOn w:val="Normale"/>
    <w:next w:val="Normale"/>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kXoUblwpQRCHByoUk/XRPlrnAw==">CgMxLjAyCWlkLmdqZGd4czIKaWQuMzBqMHpsbDIKaWQuMWZvYjl0ZTIKaWQuM3pueXNoNzIKaWQuMmV0OTJwMDIJaWQudHlqY3d0Mg5oLnB2c3RjYjJsNjF0MzgAciExMnhHdGo0d1ZFSlJES0gzNlRacjRrbDJIcW5HdDlhZXk=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13</Pages>
  <Words>3396</Words>
  <Characters>19358</Characters>
  <Application>Microsoft Office Word</Application>
  <DocSecurity>0</DocSecurity>
  <Lines>161</Lines>
  <Paragraphs>45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Francesca Croce</dc:creator>
  <cp:lastModifiedBy>Francesca Croce</cp:lastModifiedBy>
  <cp:revision>47</cp:revision>
  <dcterms:created xsi:type="dcterms:W3CDTF">2025-02-19T12:30:00Z</dcterms:created>
  <dcterms:modified xsi:type="dcterms:W3CDTF">2025-03-16T20:16:00Z</dcterms:modified>
</cp:coreProperties>
</file>