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line="264"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Student Name: </w:t>
      </w:r>
      <w:r w:rsidDel="00000000" w:rsidR="00000000" w:rsidRPr="00000000">
        <w:rPr>
          <w:rFonts w:ascii="Times New Roman" w:cs="Times New Roman" w:eastAsia="Times New Roman" w:hAnsi="Times New Roman"/>
          <w:sz w:val="28"/>
          <w:szCs w:val="28"/>
          <w:rtl w:val="0"/>
        </w:rPr>
        <w:t xml:space="preserve">Omoare, Oladele Desmond</w:t>
      </w:r>
      <w:r w:rsidDel="00000000" w:rsidR="00000000" w:rsidRPr="00000000">
        <w:rPr>
          <w:rFonts w:ascii="Times New Roman" w:cs="Times New Roman" w:eastAsia="Times New Roman" w:hAnsi="Times New Roman"/>
          <w:b w:val="1"/>
          <w:bCs w:val="1"/>
          <w:sz w:val="28"/>
          <w:szCs w:val="28"/>
          <w:rtl w:val="0"/>
        </w:rPr>
        <w:t xml:space="preserve">   </w:t>
      </w:r>
    </w:p>
    <w:p w:rsidR="00000000" w:rsidDel="00000000" w:rsidP="00000000" w:rsidRDefault="00000000" w:rsidRPr="00000000" w14:paraId="00000002">
      <w:pPr>
        <w:spacing w:after="120" w:line="264"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03">
      <w:pPr>
        <w:spacing w:after="120" w:line="264"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bCs w:val="1"/>
          <w:sz w:val="28"/>
          <w:szCs w:val="28"/>
          <w:rtl w:val="0"/>
        </w:rPr>
        <w:t xml:space="preserve">Student ID number:</w:t>
      </w:r>
      <w:r w:rsidDel="00000000" w:rsidR="00000000" w:rsidRPr="00000000">
        <w:rPr>
          <w:rFonts w:ascii="Times New Roman" w:cs="Times New Roman" w:eastAsia="Times New Roman" w:hAnsi="Times New Roman"/>
          <w:sz w:val="28"/>
          <w:szCs w:val="28"/>
          <w:rtl w:val="0"/>
        </w:rPr>
        <w:t xml:space="preserve"> 2515892</w:t>
      </w:r>
    </w:p>
    <w:p w:rsidR="00000000" w:rsidDel="00000000" w:rsidP="00000000" w:rsidRDefault="00000000" w:rsidRPr="00000000" w14:paraId="00000004">
      <w:pPr>
        <w:spacing w:after="120" w:line="264"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5">
      <w:pPr>
        <w:spacing w:after="120" w:line="264"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6">
      <w:pPr>
        <w:spacing w:after="120" w:line="264"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bCs w:val="1"/>
          <w:sz w:val="28"/>
          <w:szCs w:val="28"/>
          <w:rtl w:val="0"/>
        </w:rPr>
        <w:t xml:space="preserve">Module Code</w:t>
      </w:r>
      <w:r w:rsidDel="00000000" w:rsidR="00000000" w:rsidRPr="00000000">
        <w:rPr>
          <w:rFonts w:ascii="Times New Roman" w:cs="Times New Roman" w:eastAsia="Times New Roman" w:hAnsi="Times New Roman"/>
          <w:sz w:val="28"/>
          <w:szCs w:val="28"/>
          <w:rtl w:val="0"/>
        </w:rPr>
        <w:t xml:space="preserve">: BMNS4015</w:t>
      </w:r>
    </w:p>
    <w:p w:rsidR="00000000" w:rsidDel="00000000" w:rsidP="00000000" w:rsidRDefault="00000000" w:rsidRPr="00000000" w14:paraId="00000007">
      <w:pPr>
        <w:spacing w:after="120" w:line="264"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8">
      <w:pPr>
        <w:spacing w:after="120" w:line="264"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9">
      <w:pPr>
        <w:spacing w:after="120" w:line="264"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bCs w:val="1"/>
          <w:sz w:val="28"/>
          <w:szCs w:val="28"/>
          <w:rtl w:val="0"/>
        </w:rPr>
        <w:t xml:space="preserve">Lecturer</w:t>
      </w:r>
      <w:r w:rsidDel="00000000" w:rsidR="00000000" w:rsidRPr="00000000">
        <w:rPr>
          <w:rFonts w:ascii="Times New Roman" w:cs="Times New Roman" w:eastAsia="Times New Roman" w:hAnsi="Times New Roman"/>
          <w:sz w:val="28"/>
          <w:szCs w:val="28"/>
          <w:rtl w:val="0"/>
        </w:rPr>
        <w:t xml:space="preserve">: Donna Morgan</w:t>
      </w:r>
    </w:p>
    <w:p w:rsidR="00000000" w:rsidDel="00000000" w:rsidP="00000000" w:rsidRDefault="00000000" w:rsidRPr="00000000" w14:paraId="0000000A">
      <w:pPr>
        <w:spacing w:after="120" w:line="264"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B">
      <w:pPr>
        <w:spacing w:after="120" w:line="264"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C">
      <w:pPr>
        <w:spacing w:after="120" w:line="264"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bCs w:val="1"/>
          <w:sz w:val="28"/>
          <w:szCs w:val="28"/>
          <w:rtl w:val="0"/>
        </w:rPr>
        <w:t xml:space="preserve">Assignment Title</w:t>
      </w:r>
      <w:r w:rsidDel="00000000" w:rsidR="00000000" w:rsidRPr="00000000">
        <w:rPr>
          <w:rFonts w:ascii="Times New Roman" w:cs="Times New Roman" w:eastAsia="Times New Roman" w:hAnsi="Times New Roman"/>
          <w:sz w:val="28"/>
          <w:szCs w:val="28"/>
          <w:rtl w:val="0"/>
        </w:rPr>
        <w:t xml:space="preserve">: SWOT Analysis on Academic Writing </w:t>
      </w:r>
    </w:p>
    <w:p w:rsidR="00000000" w:rsidDel="00000000" w:rsidP="00000000" w:rsidRDefault="00000000" w:rsidRPr="00000000" w14:paraId="0000000D">
      <w:pPr>
        <w:spacing w:after="120" w:line="264"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E">
      <w:pPr>
        <w:spacing w:after="120" w:line="264"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F">
      <w:pPr>
        <w:spacing w:after="120" w:line="264" w:lineRule="auto"/>
        <w:rPr>
          <w:rFonts w:ascii="Times New Roman" w:cs="Times New Roman" w:eastAsia="Times New Roman" w:hAnsi="Times New Roman"/>
          <w:sz w:val="28"/>
          <w:szCs w:val="28"/>
        </w:rPr>
      </w:pPr>
      <w:bookmarkStart w:colFirst="0" w:colLast="0" w:name="_peuspvpal0qf" w:id="0"/>
      <w:bookmarkEnd w:id="0"/>
      <w:r w:rsidDel="00000000" w:rsidR="00000000" w:rsidRPr="00000000">
        <w:rPr>
          <w:rtl w:val="0"/>
        </w:rPr>
      </w:r>
    </w:p>
    <w:p w:rsidR="00000000" w:rsidDel="00000000" w:rsidP="00000000" w:rsidRDefault="00000000" w:rsidRPr="00000000" w14:paraId="00000010">
      <w:pPr>
        <w:spacing w:after="120" w:line="264" w:lineRule="auto"/>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Date</w:t>
      </w:r>
      <w:r w:rsidDel="00000000" w:rsidR="00000000" w:rsidRPr="00000000">
        <w:rPr>
          <w:rFonts w:ascii="Times New Roman" w:cs="Times New Roman" w:eastAsia="Times New Roman" w:hAnsi="Times New Roman"/>
          <w:sz w:val="28"/>
          <w:szCs w:val="28"/>
          <w:rtl w:val="0"/>
        </w:rPr>
        <w:t xml:space="preserve">: December 2025</w:t>
      </w:r>
      <w:r w:rsidDel="00000000" w:rsidR="00000000" w:rsidRPr="00000000">
        <w:rPr>
          <w:rtl w:val="0"/>
        </w:rPr>
      </w:r>
    </w:p>
    <w:p w:rsidR="00000000" w:rsidDel="00000000" w:rsidP="00000000" w:rsidRDefault="00000000" w:rsidRPr="00000000" w14:paraId="00000011">
      <w:pPr>
        <w:spacing w:after="120" w:line="264"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2">
      <w:pPr>
        <w:spacing w:after="120" w:line="264"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3">
      <w:pPr>
        <w:spacing w:after="120" w:line="264"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4">
      <w:pPr>
        <w:spacing w:after="120" w:line="264"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5">
      <w:pPr>
        <w:spacing w:after="120" w:line="264"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6">
      <w:pPr>
        <w:spacing w:after="120" w:line="264"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7">
      <w:pPr>
        <w:spacing w:after="120" w:line="264"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8">
      <w:pPr>
        <w:spacing w:after="120" w:line="264"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9">
      <w:pPr>
        <w:spacing w:after="120" w:line="264" w:lineRule="auto"/>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1A">
      <w:pPr>
        <w:spacing w:after="120" w:line="264" w:lineRule="auto"/>
        <w:rPr>
          <w:b w:val="1"/>
          <w:bCs w:val="1"/>
          <w:sz w:val="20"/>
          <w:szCs w:val="20"/>
        </w:rPr>
      </w:pPr>
      <w:r w:rsidDel="00000000" w:rsidR="00000000" w:rsidRPr="00000000">
        <w:rPr>
          <w:rtl w:val="0"/>
        </w:rPr>
      </w:r>
    </w:p>
    <w:p w:rsidR="00000000" w:rsidDel="00000000" w:rsidP="00000000" w:rsidRDefault="00000000" w:rsidRPr="00000000" w14:paraId="0000001B">
      <w:pPr>
        <w:spacing w:after="120" w:line="264" w:lineRule="auto"/>
        <w:rPr>
          <w:b w:val="1"/>
          <w:bCs w:val="1"/>
          <w:sz w:val="20"/>
          <w:szCs w:val="20"/>
        </w:rPr>
      </w:pPr>
      <w:r w:rsidDel="00000000" w:rsidR="00000000" w:rsidRPr="00000000">
        <w:rPr>
          <w:rtl w:val="0"/>
        </w:rPr>
      </w:r>
    </w:p>
    <w:p w:rsidR="00000000" w:rsidDel="00000000" w:rsidP="00000000" w:rsidRDefault="00000000" w:rsidRPr="00000000" w14:paraId="0000001C">
      <w:pPr>
        <w:spacing w:after="120" w:line="264" w:lineRule="auto"/>
        <w:rPr>
          <w:b w:val="1"/>
          <w:bCs w:val="1"/>
          <w:sz w:val="20"/>
          <w:szCs w:val="20"/>
        </w:rPr>
      </w:pPr>
      <w:r w:rsidDel="00000000" w:rsidR="00000000" w:rsidRPr="00000000">
        <w:rPr>
          <w:rtl w:val="0"/>
        </w:rPr>
      </w:r>
    </w:p>
    <w:p w:rsidR="00000000" w:rsidDel="00000000" w:rsidP="00000000" w:rsidRDefault="00000000" w:rsidRPr="00000000" w14:paraId="0000001D">
      <w:pPr>
        <w:spacing w:after="120" w:line="264" w:lineRule="auto"/>
        <w:rPr>
          <w:b w:val="1"/>
          <w:bCs w:val="1"/>
          <w:sz w:val="20"/>
          <w:szCs w:val="20"/>
        </w:rPr>
      </w:pPr>
      <w:r w:rsidDel="00000000" w:rsidR="00000000" w:rsidRPr="00000000">
        <w:rPr>
          <w:rtl w:val="0"/>
        </w:rPr>
      </w:r>
    </w:p>
    <w:p w:rsidR="00000000" w:rsidDel="00000000" w:rsidP="00000000" w:rsidRDefault="00000000" w:rsidRPr="00000000" w14:paraId="0000001E">
      <w:pPr>
        <w:spacing w:after="120" w:line="264" w:lineRule="auto"/>
        <w:rPr>
          <w:b w:val="1"/>
          <w:bCs w:val="1"/>
          <w:sz w:val="20"/>
          <w:szCs w:val="20"/>
        </w:rPr>
      </w:pPr>
      <w:r w:rsidDel="00000000" w:rsidR="00000000" w:rsidRPr="00000000">
        <w:rPr>
          <w:rtl w:val="0"/>
        </w:rPr>
      </w:r>
    </w:p>
    <w:p w:rsidR="00000000" w:rsidDel="00000000" w:rsidP="00000000" w:rsidRDefault="00000000" w:rsidRPr="00000000" w14:paraId="0000001F">
      <w:pPr>
        <w:spacing w:after="120" w:line="264" w:lineRule="auto"/>
        <w:rPr>
          <w:b w:val="1"/>
          <w:bCs w:val="1"/>
          <w:sz w:val="20"/>
          <w:szCs w:val="20"/>
        </w:rPr>
      </w:pPr>
      <w:r w:rsidDel="00000000" w:rsidR="00000000" w:rsidRPr="00000000">
        <w:rPr>
          <w:b w:val="1"/>
          <w:bCs w:val="1"/>
          <w:sz w:val="20"/>
          <w:szCs w:val="20"/>
          <w:rtl w:val="0"/>
        </w:rPr>
        <w:tab/>
        <w:tab/>
        <w:tab/>
        <w:tab/>
        <w:tab/>
        <w:tab/>
        <w:tab/>
        <w:tab/>
        <w:tab/>
        <w:tab/>
      </w:r>
      <w:r w:rsidDel="00000000" w:rsidR="00000000" w:rsidRPr="00000000">
        <w:rPr>
          <w:rFonts w:ascii="Times New Roman" w:cs="Times New Roman" w:eastAsia="Times New Roman" w:hAnsi="Times New Roman"/>
          <w:sz w:val="28"/>
          <w:szCs w:val="28"/>
          <w:rtl w:val="0"/>
        </w:rPr>
        <w:t xml:space="preserve">November, 2025</w:t>
      </w:r>
      <w:r w:rsidDel="00000000" w:rsidR="00000000" w:rsidRPr="00000000">
        <w:rPr>
          <w:rtl w:val="0"/>
        </w:rPr>
      </w:r>
    </w:p>
    <w:p w:rsidR="00000000" w:rsidDel="00000000" w:rsidP="00000000" w:rsidRDefault="00000000" w:rsidRPr="00000000" w14:paraId="00000020">
      <w:pPr>
        <w:spacing w:after="120"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1">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2">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3">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4">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5">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6">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7">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8">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9">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A">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B">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C">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D">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E">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2F">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0">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1">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2">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3">
      <w:pPr>
        <w:spacing w:line="48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34">
      <w:pPr>
        <w:spacing w:line="48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Introduction</w:t>
      </w:r>
    </w:p>
    <w:p w:rsidR="00000000" w:rsidDel="00000000" w:rsidP="00000000" w:rsidRDefault="00000000" w:rsidRPr="00000000" w14:paraId="00000035">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SWOT analysis is a reflective framework that allows students to critically evaluate their strengths, weaknesses, opportunities and threats in relation to specific academic skill. This SWOT analysis focuses on academic writing skill which is essential competence in Higher Education, particularly in nursing and health related disciplines. Academic writing forms the foundation of evidence-based practice, scholarly communication, and professional documentation. (Barasa, 2024)</w:t>
      </w:r>
      <w:r w:rsidDel="00000000" w:rsidR="00000000" w:rsidRPr="00000000">
        <w:rPr>
          <w:rFonts w:ascii="Times New Roman" w:cs="Times New Roman" w:eastAsia="Times New Roman" w:hAnsi="Times New Roman"/>
          <w:color w:val="ff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discusses academic writing as a tool for developing critical thinking and structuring logical arguments</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In the Personal and Academic Development module, academic writing plays a central role in completing assignments, writing reflections, and engaging with research evidences. Strengthening this skill is therefore a vital role not only for academic success but for effective communication within future mental health nursing practice, where accurate documentation, clarity and professionalism are mandatory elements for patient care and multidisciplinary collaboration.</w:t>
      </w:r>
    </w:p>
    <w:p w:rsidR="00000000" w:rsidDel="00000000" w:rsidP="00000000" w:rsidRDefault="00000000" w:rsidRPr="00000000" w14:paraId="00000036">
      <w:pPr>
        <w:spacing w:line="48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Strengths</w:t>
      </w:r>
    </w:p>
    <w:p w:rsidR="00000000" w:rsidDel="00000000" w:rsidP="00000000" w:rsidRDefault="00000000" w:rsidRPr="00000000" w14:paraId="00000037">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key strength in student’s academic writing is the ability to interpret assignment requirements accurately. The student consistently demonstrates an understanding of what tasks require and is able to breakdown complex instructions into manageable components, which supports effective planning. Accurately interpreting the assignment brief, including directive words and the scope of the task is widely recognized as a foundational step in academic writing. Research shows that ‘task interpretation’, as part of writing strategy, significantly influences writing performance (Subandowo et al., 2025). </w:t>
      </w:r>
      <w:r w:rsidDel="00000000" w:rsidR="00000000" w:rsidRPr="00000000">
        <w:rPr>
          <w:rtl w:val="0"/>
        </w:rPr>
      </w:r>
    </w:p>
    <w:p w:rsidR="00000000" w:rsidDel="00000000" w:rsidP="00000000" w:rsidRDefault="00000000" w:rsidRPr="00000000" w14:paraId="00000038">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the student demonstrates strong motivation and resilience. Even when facing challenging wring tasks, the student remain persistent and committed to improvement. </w:t>
      </w:r>
      <w:r w:rsidDel="00000000" w:rsidR="00000000" w:rsidRPr="00000000">
        <w:rPr>
          <w:rtl w:val="0"/>
        </w:rPr>
        <w:t xml:space="preserve">Several recent studies underscore that strong writing motivation and self-efficacy are positively associated with improved writing performance and writing development.</w:t>
      </w:r>
      <w:r w:rsidDel="00000000" w:rsidR="00000000" w:rsidRPr="00000000">
        <w:rPr>
          <w:rFonts w:ascii="Times New Roman" w:cs="Times New Roman" w:eastAsia="Times New Roman" w:hAnsi="Times New Roman"/>
          <w:sz w:val="24"/>
          <w:szCs w:val="24"/>
          <w:rtl w:val="0"/>
        </w:rPr>
        <w:t xml:space="preserve"> Overall, student’s strength include accurate interpretation of assignment tasks, strong reading habits,  high levels of motivation  (Weidlich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These strengths provide a solid foundation on which further academic writing improvement can be built.</w:t>
      </w:r>
    </w:p>
    <w:p w:rsidR="00000000" w:rsidDel="00000000" w:rsidP="00000000" w:rsidRDefault="00000000" w:rsidRPr="00000000" w14:paraId="00000039">
      <w:pPr>
        <w:spacing w:line="48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Weakness</w:t>
      </w:r>
    </w:p>
    <w:p w:rsidR="00000000" w:rsidDel="00000000" w:rsidP="00000000" w:rsidRDefault="00000000" w:rsidRPr="00000000" w14:paraId="0000003A">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these</w:t>
      </w:r>
      <w:r w:rsidDel="00000000" w:rsidR="00000000" w:rsidRPr="00000000">
        <w:rPr>
          <w:rFonts w:ascii="Times New Roman" w:cs="Times New Roman" w:eastAsia="Times New Roman" w:hAnsi="Times New Roman"/>
          <w:b w:val="1"/>
          <w:bCs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strengths, several weaknesses have been identified in the student’s academic writing. Procrastination is a major weakness in delayed assignments and preparation reduces time for planning and revising. </w:t>
      </w:r>
    </w:p>
    <w:p w:rsidR="00000000" w:rsidDel="00000000" w:rsidP="00000000" w:rsidRDefault="00000000" w:rsidRPr="00000000" w14:paraId="0000003B">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Recently, studies indicate that procrastination is associated with anxiety and depressive symptoms in the university students which indirectly impair academic performance (Jochmann et al., 2024). Paraphrasing is another issue faced by students.  The students often struggle to restate the author's ideas often using original wording while retaining meaning. This sometimes results in writing that is either overly close to the original work or simplifies to the point of losing academic clarity.</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Paraphrasing requires a lot of practice, a combination of good reading comprehension skills, a wide range of vocabulary and writing proficiency. Paraphrasing is simply re-wording, but a specialized skill requiring manipulation of language at multiple levels to preserve meaning while rephrasing (Atilano, 2025). Referencing is also an area of weakness both in text citation and referencing lists. Issues include, misplaced punctuation, incorrect ordering of reference elements, and inconsistencies in formatting.</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As noted by (Panjaitan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 mastering correct citation practices strengthens academic integrity and demonstrates the author’s scholarly rigor, whereas incorrect or missing citations can undermine the credibility and validity of a research.</w:t>
      </w:r>
    </w:p>
    <w:p w:rsidR="00000000" w:rsidDel="00000000" w:rsidP="00000000" w:rsidRDefault="00000000" w:rsidRPr="00000000" w14:paraId="0000003C">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Taken together, these weaknesses, paraphrasing, grammar and referencing, hinder student’s ability to produce high quality academic writing.</w:t>
      </w:r>
    </w:p>
    <w:p w:rsidR="00000000" w:rsidDel="00000000" w:rsidP="00000000" w:rsidRDefault="00000000" w:rsidRPr="00000000" w14:paraId="0000003D">
      <w:pPr>
        <w:spacing w:line="48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Opportunities</w:t>
      </w:r>
    </w:p>
    <w:p w:rsidR="00000000" w:rsidDel="00000000" w:rsidP="00000000" w:rsidRDefault="00000000" w:rsidRPr="00000000" w14:paraId="0000003E">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opportunities exist for students to strengthen academic writing skills. A major opportunity lies in the academic support offered by the university. One to one support sessions, and online resources provide structured guidance and paraphrasing and referencing (Kalule</w:t>
      </w:r>
      <w:r w:rsidDel="00000000" w:rsidR="00000000" w:rsidRPr="00000000">
        <w:rPr>
          <w:rFonts w:ascii="Times New Roman" w:cs="Times New Roman" w:eastAsia="Times New Roman" w:hAnsi="Times New Roman"/>
          <w:i w:val="1"/>
          <w:iCs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2024) highlights how empirical work indicates that institutional support (mentorship, supervisory support, resources like library/ICT, structured guidance) significantly improves academic writing and research skills for students.</w:t>
      </w:r>
    </w:p>
    <w:p w:rsidR="00000000" w:rsidDel="00000000" w:rsidP="00000000" w:rsidRDefault="00000000" w:rsidRPr="00000000" w14:paraId="0000003F">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Peer learning gives an opportunity to discuss assignments with classmates or participating in study groups, The student shares strategies, gain new insights, and develops  a deeper understanding of writing expectations, </w:t>
      </w:r>
      <w:r w:rsidDel="00000000" w:rsidR="00000000" w:rsidRPr="00000000">
        <w:rPr>
          <w:rFonts w:ascii="Times New Roman" w:cs="Times New Roman" w:eastAsia="Times New Roman" w:hAnsi="Times New Roman"/>
          <w:sz w:val="24"/>
          <w:szCs w:val="24"/>
          <w:rtl w:val="0"/>
        </w:rPr>
        <w:t xml:space="preserve"> (Schürmann</w:t>
      </w:r>
      <w:r w:rsidDel="00000000" w:rsidR="00000000" w:rsidRPr="00000000">
        <w:rPr>
          <w:rFonts w:ascii="Times New Roman" w:cs="Times New Roman" w:eastAsia="Times New Roman" w:hAnsi="Times New Roman"/>
          <w:i w:val="1"/>
          <w:iCs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2025).</w:t>
      </w:r>
    </w:p>
    <w:p w:rsidR="00000000" w:rsidDel="00000000" w:rsidP="00000000" w:rsidRDefault="00000000" w:rsidRPr="00000000" w14:paraId="00000040">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exposure to academic literature will help the students understand how professional writers structure arguments, integrate evidence, and apply referencing. Regular reading of academic journals can serve as a model for effective writing.</w:t>
      </w:r>
    </w:p>
    <w:p w:rsidR="00000000" w:rsidDel="00000000" w:rsidP="00000000" w:rsidRDefault="00000000" w:rsidRPr="00000000" w14:paraId="00000041">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Together, these opportunities (academic support services, digital tools, peer learning, and exposure to academic literature) offer multiple pathways/opportunities to improving academic writing skills.</w:t>
      </w:r>
    </w:p>
    <w:p w:rsidR="00000000" w:rsidDel="00000000" w:rsidP="00000000" w:rsidRDefault="00000000" w:rsidRPr="00000000" w14:paraId="00000042">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Threats</w:t>
      </w:r>
    </w:p>
    <w:p w:rsidR="00000000" w:rsidDel="00000000" w:rsidP="00000000" w:rsidRDefault="00000000" w:rsidRPr="00000000" w14:paraId="00000043">
      <w:pPr>
        <w:spacing w:line="480" w:lineRule="auto"/>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Several potential threats may hinder the student’s progress in improving academic writing. One significant threat is time pressure resulting from balancing academic work, clinical placements, and personal responsibilities. Heavy workload may reduce the amount of time available for thorough research, planning and revision, which can negatively affect writing quality. (Mahardika &amp; Utami, 2024) Stress and anxiety also pose a threat. High expectation and fear of poor performance may affect concentration and clarity. Recently, study among postgraduate nursing students found that academic stress increased “cognitive failure,” which then reduced academic self-efficacy. Suggesting stress disrupts attention/memory and undermines effective academic functioning</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(El-Sayed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w:t>
      </w:r>
      <w:r w:rsidDel="00000000" w:rsidR="00000000" w:rsidRPr="00000000">
        <w:rPr>
          <w:rtl w:val="0"/>
        </w:rPr>
        <w:t xml:space="preserve"> </w:t>
      </w:r>
      <w:r w:rsidDel="00000000" w:rsidR="00000000" w:rsidRPr="00000000">
        <w:rPr>
          <w:rFonts w:ascii="Times New Roman" w:cs="Times New Roman" w:eastAsia="Times New Roman" w:hAnsi="Times New Roman"/>
          <w:sz w:val="24"/>
          <w:szCs w:val="24"/>
          <w:rtl w:val="0"/>
        </w:rPr>
        <w:t xml:space="preserve">Limited access to relevant academic resources may hinder progress. When the student struggles to find appropriate literature, written arguments may lack depth.</w:t>
      </w:r>
      <w:r w:rsidDel="00000000" w:rsidR="00000000" w:rsidRPr="00000000">
        <w:rPr>
          <w:rtl w:val="0"/>
        </w:rPr>
        <w:t xml:space="preserve"> </w:t>
      </w:r>
      <w:r w:rsidDel="00000000" w:rsidR="00000000" w:rsidRPr="00000000">
        <w:rPr>
          <w:rFonts w:ascii="Calibri" w:cs="Calibri" w:eastAsia="Calibri" w:hAnsi="Calibri"/>
          <w:rtl w:val="0"/>
        </w:rPr>
        <w:t xml:space="preserve">(</w:t>
      </w:r>
      <w:r w:rsidDel="00000000" w:rsidR="00000000" w:rsidRPr="00000000">
        <w:rPr>
          <w:rFonts w:ascii="Times New Roman" w:cs="Times New Roman" w:eastAsia="Times New Roman" w:hAnsi="Times New Roman"/>
          <w:sz w:val="24"/>
          <w:szCs w:val="24"/>
          <w:rtl w:val="0"/>
        </w:rPr>
        <w:t xml:space="preserve">Ferrer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2024</w:t>
      </w:r>
      <w:r w:rsidDel="00000000" w:rsidR="00000000" w:rsidRPr="00000000">
        <w:rPr>
          <w:rFonts w:ascii="Calibri" w:cs="Calibri" w:eastAsia="Calibri" w:hAnsi="Calibri"/>
          <w:rtl w:val="0"/>
        </w:rPr>
        <w:t xml:space="preserve">)</w:t>
      </w:r>
      <w:r w:rsidDel="00000000" w:rsidR="00000000" w:rsidRPr="00000000">
        <w:rPr>
          <w:rFonts w:ascii="Times New Roman" w:cs="Times New Roman" w:eastAsia="Times New Roman" w:hAnsi="Times New Roman"/>
          <w:sz w:val="24"/>
          <w:szCs w:val="24"/>
          <w:rtl w:val="0"/>
        </w:rPr>
        <w:t xml:space="preserve"> shows that strong information-literacy skills and active engagement with library resources are significantly associated with better academic performance .Technical issues such as unstable internet connection may disrupt the research and writing process, particularly when using online databases.</w:t>
      </w:r>
      <w:r w:rsidDel="00000000" w:rsidR="00000000" w:rsidRPr="00000000">
        <w:rPr>
          <w:rtl w:val="0"/>
        </w:rPr>
      </w:r>
    </w:p>
    <w:p w:rsidR="00000000" w:rsidDel="00000000" w:rsidP="00000000" w:rsidRDefault="00000000" w:rsidRPr="00000000" w14:paraId="00000044">
      <w:pPr>
        <w:spacing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Collectively, these threats can negatively affect the student’s ability to develop strong academic writing skills if not managed effectively.</w:t>
      </w:r>
    </w:p>
    <w:p w:rsidR="00000000" w:rsidDel="00000000" w:rsidP="00000000" w:rsidRDefault="00000000" w:rsidRPr="00000000" w14:paraId="00000045">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48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48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References</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Academic literacy across the curriculum: Towards a collaborative instructional approach | Language Teaching | Cambridge Core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(n.d.). Retrieved December 4, 2025, from https://www.cambridge.org/core/journals/language-teaching/article/abs/academic-literacy-across-the-curriculum-towards-a-collaborative-instructional-approach/784BAFF04385BDBD2AD6C8EC481FDB6F</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Atilano, H. P. (2025).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The Impact of AI Paraphrasing Tools on the Paraphrasing Skills of Filipino ESL Students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Barasa, D. (2024). Demystifying the Discourse: Techniques to Effective Academic Writing.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Research and Academic Writing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1</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13–21. https://doi.org/10.58721/jraw.v1i1.571</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Clarity and Coherence in Academic Writing: Using Language as a Resourc</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(n.d.). Retrieved December 4, 2025, from https://www.routledge.com/Clarity-and-Coherence-in-Academic-Writing-Using-Language-as-a-Resource/Nunan-Choi/p/book/9781032013824?srsltid=AfmBOoqC5SM90MXZIn5NeS1KXB95tJFxfZKLIIslcy4KGVXcJYSdHYH-&amp;utm</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El-Sayed, M. M., AbdElhay, E. S., Hassan, B. H., &amp; Taha, S. M. (2025). Unraveling the interplay of stress, cognitive failure, and academic self-efficacy among postgraduate nursing candidates: A mediational path analysis.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BMC Nursing</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974. https://doi.org/10.1186/s12912-025-03630-8</w:t>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Feedback in Higher and Professional Education: Understanding it and do</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(n.d.). Retrieved December 4, 2025, from https://www.routledge.com/Feedback-in-Higher-and-Professional-Education-Understanding-it-and-doing-it-well/Boud-Molloy/p/book/9780415692298</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Interplay of Information Literacy, Library Engagement and Academic Performance Among State University Students. (n.d.).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International Journal of Research and Innovation in Social Science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Retrieved December 4, 2025, from https://rsisinternational.org/journals/ijriss/articles/interplay-of-information-literacy-library-engagement-and-academic-performance-among-state-university-students/</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Jochmann, A., Gusy, B., Lesener, T., &amp; Wolter, C. (2024). Procrastination, depression and anxiety symptoms in university students: A three-wave longitudinal study on the mediating role of perceived stress.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BMC Psychology</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12</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276. https://doi.org/10.1186/s40359-024-01761-2</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Kalule, J., Ssali, K. F., Ssebowa, D. K., &amp; Edward, M. (2024). Institutional Support as a Catalyst for Academic Writing and Research Skills among Graduate Students in the Selected Public Universities in Uganda.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East African Journal of Arts and Social Sciences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7</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375–393. https://doi.org/10.37284/eajass.7.2.2529</w:t>
      </w:r>
    </w:p>
    <w:p w:rsidR="00000000" w:rsidDel="00000000" w:rsidP="00000000" w:rsidRDefault="00000000" w:rsidRPr="00000000" w14:paraId="0000005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Murray, N. (with Hughes, G.). (2008).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Writing Up Your University Assignments And Research Projects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Open University Press.</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Panjaitan, A. O., Novelyn, S., &amp; Angreni, F. (2024). The Impact of Proper Citation on Academic Integrity and Scholarship.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Asian Journal of Advanced Research and Reports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18</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(10), 192–201. https://doi.org/10.9734/ajarr/2024/v18i10766</w:t>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Ramadhan, R. A., Abdul Rahim, Darmanto, &amp; Paris, A. S. (2024). Enhancing Academic Writing through Digital Tools: A Systematic Review.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Journal of Language and Literature Studies</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707–770. https://doi.org/10.36312/jolls.v4i4.2342</w:t>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Schürmann, V., Bodemer, D., &amp; Marquardt, N. (2025). Applying debriefings in the context of higher education: How joint reflection fosters students’ collaborative problem solving.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Social Psychology of Education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28</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62. https://doi.org/10.1007/s11218-024-09991-3</w:t>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Subandowo, D., Sárdi, C., &amp; Thresia, F. (2025). An investigation of English academic writing strategies employed by Indonesian graduate students in an English medium instruction (EMI) context.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Asian-Pacific Journal of Second and Foreign Language Education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10</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38. https://doi.org/10.1186/s40862-025-00345-w</w:t>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To Type or To Write: The Effect of Writing Modes and Time Constraints on Students’ Writing Quality | Journal of Language and Education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(n.d.). Retrieved December 4, 2025, from https://jle.hse.ru/article/view/16290</w:t>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Weidlich, J., Fink, A., Frey, A., Jivet, I., Gombert, S., Menzel, L., Giorgashvili, T., Yau, J., &amp; Drachsler, H. (2025). Highly informative feedback using learning analytics: How feedback literacy moderates student perceptions of feedback.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International Journal of Educational Technology in Higher Education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22</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43. https://doi.org/10.1186/s41239-025-00539-9</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Xu, X., Li, Z., Mackay, L., Li, N., Zhang, Y., Wu, Y., &amp; Zhang, Y. (2024). The state of health professions students’ self-directed learning ability during online study and the factors that influence it.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BMC Medical Education</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bCs w:val="0"/>
          <w:i w:val="1"/>
          <w:iCs w:val="1"/>
          <w:smallCaps w:val="0"/>
          <w:strike w:val="0"/>
          <w:color w:val="000000"/>
          <w:sz w:val="24"/>
          <w:szCs w:val="24"/>
          <w:u w:val="none"/>
          <w:shd w:fill="auto" w:val="clear"/>
          <w:vertAlign w:val="baseline"/>
          <w:rtl w:val="0"/>
        </w:rPr>
        <w:t xml:space="preserve">24</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25. https://doi.org/10.1186/s12909-023-04876-z</w:t>
      </w:r>
    </w:p>
    <w:p w:rsidR="00000000" w:rsidDel="00000000" w:rsidP="00000000" w:rsidRDefault="00000000" w:rsidRPr="00000000" w14:paraId="0000005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480" w:lineRule="auto"/>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04b7aedb-8e8d-4394-b045-6318f2752684</vt:lpwstr>
  </property>
  <property fmtid="{D5CDD505-2E9C-101B-9397-08002B2CF9AE}" pid="3" name="ZOTERO_PREF_1">
    <vt:lpwstr>&lt;data data-version="3" zotero-version="7.0.30"&gt;&lt;session id="2NG1ehsi"/&gt;&lt;style id="http://www.zotero.org/styles/apa" locale="en-US" hasBibliography="1" bibliographyStyleHasBeenSet="1"/&gt;&lt;prefs&gt;&lt;pref name="fieldType" value="Field"/&gt;&lt;/prefs&gt;&lt;/data&gt;</vt:lpwstr>
  </property>
</Properties>
</file>