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108E5B" w14:textId="77777777" w:rsidR="00D46DCB" w:rsidRPr="00D46DCB" w:rsidRDefault="00D46DCB" w:rsidP="00D46DCB">
      <w:pPr>
        <w:rPr>
          <w:rFonts w:ascii="Times New Roman" w:eastAsia="Times New Roman" w:hAnsi="Times New Roman" w:cs="Times New Roman"/>
        </w:rPr>
      </w:pPr>
      <w:r w:rsidRPr="00D46DCB">
        <w:rPr>
          <w:rFonts w:ascii="Verdana" w:eastAsia="Times New Roman" w:hAnsi="Verdana" w:cs="Times New Roman"/>
          <w:color w:val="373A3C"/>
          <w:shd w:val="clear" w:color="auto" w:fill="FFFFFF"/>
        </w:rPr>
        <w:t>Yr oedd y Phariseaid yn helpu i ddiogelu'r hyn oedd orau mewn Iddewiaeth'. Rhowch eich sylwadau ar y disgrifiad hwn a dadansoddwch arwyddocad y Phariseaid i Iddewiaeth</w:t>
      </w:r>
    </w:p>
    <w:p w14:paraId="60322A46" w14:textId="77777777" w:rsidR="00212FD5" w:rsidRDefault="00757572"/>
    <w:p w14:paraId="2571706A" w14:textId="77777777" w:rsidR="0054633A" w:rsidRDefault="0054633A" w:rsidP="0054633A"/>
    <w:p w14:paraId="367F096E" w14:textId="0BF26C0D" w:rsidR="0040362A" w:rsidRDefault="0054633A" w:rsidP="0054633A">
      <w:r>
        <w:t xml:space="preserve">Mae’n amlwg iawn wrth ystyried hanes yr Iddewon fod y Phariseaid yn hynod o bwysig i ddatblygiad Iddewiaeth. Er yn gyfnod y deml roedd yna tri grŵp o Iddewiaeth megis yr Sadwceaid, y Pharisead a’r Eseiniad. Roedd y tri </w:t>
      </w:r>
      <w:proofErr w:type="gramStart"/>
      <w:r>
        <w:t>grŵp  yn</w:t>
      </w:r>
      <w:proofErr w:type="gramEnd"/>
      <w:r>
        <w:t xml:space="preserve"> byw’n wrth ei ochr ei gilydd yn ystod y cyfnod, er bod amrywiaethau clir yn y myrdd roedd yn addoli a dilyn traddodiadau Iddewig. Er hyn wedi dinistriad y deml yn 70 CE, roedd yn amhosib i’r Sadwcead I ddatblygu ymhellach gan roedd ei holl addoliad a chred yn cylchdroi o gwmpas y deml. Ac wedi’r Deml nid oes sôn am yr Eseniaid, gan fod yn grŵp a oedd yn byw yn y gwyllt heb lawer o eiddo mae’n debygol ei fod wedi marw allan wedi’r cyfnod hyn. Ond mae angen ystyried pam allan o’r tri grŵp yma. Beth oedd y rheswm fod y Phariseaid wedi goroesi cyfnod gwael yn hanes Iddewiaeth ac wedi datblygu am ganrifoedd, ble nad </w:t>
      </w:r>
      <w:proofErr w:type="gramStart"/>
      <w:r>
        <w:t>oedd  y</w:t>
      </w:r>
      <w:proofErr w:type="gramEnd"/>
      <w:r>
        <w:t xml:space="preserve"> grwpiau eraill wedi cyflawni.</w:t>
      </w:r>
    </w:p>
    <w:p w14:paraId="112E52BC" w14:textId="77777777" w:rsidR="0054633A" w:rsidRDefault="0054633A" w:rsidP="0054633A"/>
    <w:p w14:paraId="4299A178" w14:textId="37A6B303" w:rsidR="0040362A" w:rsidRDefault="0054633A">
      <w:pPr>
        <w:rPr>
          <w:lang w:val="en-GB"/>
        </w:rPr>
      </w:pPr>
      <w:r w:rsidRPr="0054633A">
        <w:rPr>
          <w:lang w:val="en-GB"/>
        </w:rPr>
        <w:t xml:space="preserve">Yn Eiriadur Oxford mae’r Phariseaid yn cael ei disgrifio fel grŵp crefyddol hynod o ddylanwadol yn Iddewiaeth yn ystod y cyfnod Halenaidd hwyr a dechrau'r cyfnod Rhufeinig. Mae yna gyfeiriad at y Phariseaid yn Josephus a’r testament newydd gan gynnwys y sgroliau mor farw. Gallwn weld am y tro olaf fod unigolion dweud ei fod yn Phariseaid am y tro olaf yn 90 CE oedd Josephus ac roedd hyn o ganlyniad i’r faith nad oedd unrhyw grŵp Iddewig eraill felly roedd yn Iddew neu ddim yn Iddew wedi’r cyfnod hyn. </w:t>
      </w:r>
      <w:r w:rsidR="00296549">
        <w:rPr>
          <w:rStyle w:val="FootnoteReference"/>
          <w:lang w:val="en-GB"/>
        </w:rPr>
        <w:footnoteReference w:id="1"/>
      </w:r>
    </w:p>
    <w:p w14:paraId="2E1FF27C" w14:textId="77777777" w:rsidR="004B2A28" w:rsidRPr="004B2A28" w:rsidRDefault="004B2A28" w:rsidP="004B2A28">
      <w:pPr>
        <w:rPr>
          <w:lang w:val="en-GB"/>
        </w:rPr>
      </w:pPr>
    </w:p>
    <w:p w14:paraId="331E14C0" w14:textId="77777777" w:rsidR="00CC48E3" w:rsidRDefault="004B2A28" w:rsidP="00CC48E3">
      <w:pPr>
        <w:rPr>
          <w:lang w:val="en-GB"/>
        </w:rPr>
      </w:pPr>
      <w:r w:rsidRPr="004B2A28">
        <w:rPr>
          <w:lang w:val="en-GB"/>
        </w:rPr>
        <w:t>I ddechrau, mae angen ystyried sut daeth y Phariseaid dros y deml gan dyma oedd y digwyddiad fwyaf pwysig yn hanes Iddewon yn ystod y cyfnod rhwng dinistriad y deml gyntaf yn 587 BCE gan y babylonaidd a’r goresgyniad Palestine gan yr Arabs yn 640CE oedd dinistriad yr ail deml y gan y Rhufeiniad yn 70 CE. Roedd y digwyddiad hwn yn ddylanwadol yn hanes am y rheswm fod canolbwynt llywodraethol Iddewig yn dod oddi wrth lywodraeth y deml. Ond roedd bywyd yn Iddewig yn rhoi focws ar aberthu yn y deml. Er bod ychydig o grwpiau bach yn ceisio cael focws ar bywyd oddi wrth y deml i’r mwyafrif roedd y deml yn gynreichioli canolbwynt rhwng y nefoedd ac Uffern, Fe wnaeth Duw datgelu ei ewyllys i’r Iddewon trwy’r torah a’r datguddiad a’r Sinai</w:t>
      </w:r>
      <w:r w:rsidR="00D14CE9">
        <w:rPr>
          <w:lang w:val="en-GB"/>
        </w:rPr>
        <w:t xml:space="preserve">. </w:t>
      </w:r>
      <w:r w:rsidR="00CC48E3" w:rsidRPr="00CC48E3">
        <w:rPr>
          <w:lang w:val="en-GB"/>
        </w:rPr>
        <w:t xml:space="preserve">Roedd y datguddiad hwn yn gynnwys llawer o gyfreithiau, ac roedd y gyfraith hon yn cael ei gadw yn y deml, ble roedd aberthiad yn cael ei defnyddio i gynrychioli fod Israel a phobl ddewisedig Duw yn gwasanaethu Duw yn y nefoedd. Felly roedd y llinyn oedd rhwng y deml a Duw wedi cael ei ddinistrio pan dinistrwyr y deml. Gyda hyn yn gadael llawer o Iddewon heb syniad o sut a ddylen nawr addoli gan roedd Duw yn byw yn deml sydd wedi ei ddinistrio. Ond roedd y Pharisead wedi dinistriad y deml wedi canolbwyntio at gadw Iddewiaeth I fynd wedi’r amser caled. </w:t>
      </w:r>
      <w:proofErr w:type="gramStart"/>
      <w:r w:rsidR="00CC48E3" w:rsidRPr="00CC48E3">
        <w:rPr>
          <w:lang w:val="en-GB"/>
        </w:rPr>
        <w:t>Felly  fe</w:t>
      </w:r>
      <w:proofErr w:type="gramEnd"/>
      <w:r w:rsidR="00CC48E3" w:rsidRPr="00CC48E3">
        <w:rPr>
          <w:lang w:val="en-GB"/>
        </w:rPr>
        <w:t xml:space="preserve"> wnaeth y Pharisaic gan gynnwys Josephus canolbwyntio ar gadw'r hanes y daeth cyn nhw, ond y broblem oedd ceisio dadansoddi pe bai hanes yn y bywyd o Israel neu fywyd Iesu Christ. </w:t>
      </w:r>
      <w:r w:rsidR="00CC48E3">
        <w:rPr>
          <w:lang w:val="en-GB"/>
        </w:rPr>
        <w:t xml:space="preserve">.  </w:t>
      </w:r>
      <w:r w:rsidR="00CC48E3">
        <w:rPr>
          <w:rStyle w:val="FootnoteReference"/>
          <w:lang w:val="en-GB"/>
        </w:rPr>
        <w:footnoteReference w:id="2"/>
      </w:r>
    </w:p>
    <w:p w14:paraId="72A1B073" w14:textId="01B8D442" w:rsidR="00491655" w:rsidRDefault="00491655" w:rsidP="004B2A28">
      <w:pPr>
        <w:rPr>
          <w:lang w:val="en-GB"/>
        </w:rPr>
      </w:pPr>
    </w:p>
    <w:p w14:paraId="2AB38B1F" w14:textId="77777777" w:rsidR="00CC48E3" w:rsidRDefault="00CC48E3" w:rsidP="004B2A28">
      <w:pPr>
        <w:rPr>
          <w:lang w:val="en-GB"/>
        </w:rPr>
      </w:pPr>
    </w:p>
    <w:p w14:paraId="106827F9" w14:textId="702E3BD1" w:rsidR="004E6BB4" w:rsidRDefault="005E7DB7" w:rsidP="004E6BB4">
      <w:pPr>
        <w:rPr>
          <w:lang w:val="en-GB"/>
        </w:rPr>
      </w:pPr>
      <w:r w:rsidRPr="005E7DB7">
        <w:rPr>
          <w:lang w:val="en-GB"/>
        </w:rPr>
        <w:lastRenderedPageBreak/>
        <w:t xml:space="preserve">Mae’r Iddewon dal yn dilyn y gyfraith a roddwyd i Moses a’r Sinai, a trwy gadw perthynas heddychwyd efo’r Rhufeiniad. Hefyd mae’r Rabbi’s yn ceisio dweud wrth Iddewon fod dinistriad y deml ddim yn golygu fod wedi colli eich llinyn at Dduw. Mae’r torah yn llinyn at Dduw ac nid yw hyn wedi cael ei ddinistrio. Y torah yw’r ffordd mae’r Pharisead yn gwneud cysylltiad rhwng Sinai a chylch rabinaidd ar gyfer Yavneh. Gan gynnwys y torah llafar dal yn ddwylo pobl Israel sydd efo arwyddocaid tuag at Dduw. Felly roedd y Phariseaid wedi sicrhau fod Iddewiaeth wedi dod trwy'r dinistriad trwy sicrhau fod yna modd i gysylltu at Dduw heb y deml a bod modd addoli Duw.  </w:t>
      </w:r>
      <w:r w:rsidR="00EC6B82">
        <w:rPr>
          <w:rStyle w:val="FootnoteReference"/>
          <w:lang w:val="en-GB"/>
        </w:rPr>
        <w:footnoteReference w:id="3"/>
      </w:r>
    </w:p>
    <w:p w14:paraId="295E27C2" w14:textId="77777777" w:rsidR="00EC6B82" w:rsidRDefault="00EC6B82" w:rsidP="004E6BB4">
      <w:pPr>
        <w:rPr>
          <w:lang w:val="en-GB"/>
        </w:rPr>
      </w:pPr>
    </w:p>
    <w:p w14:paraId="1B338931" w14:textId="77777777" w:rsidR="006D5072" w:rsidRPr="006D5072" w:rsidRDefault="006D5072" w:rsidP="006D5072">
      <w:pPr>
        <w:rPr>
          <w:lang w:val="en-GB"/>
        </w:rPr>
      </w:pPr>
    </w:p>
    <w:p w14:paraId="22760116" w14:textId="77777777" w:rsidR="00FA60D6" w:rsidRPr="00FA60D6" w:rsidRDefault="006D5072" w:rsidP="00FA60D6">
      <w:pPr>
        <w:rPr>
          <w:lang w:val="en-GB"/>
        </w:rPr>
      </w:pPr>
      <w:r w:rsidRPr="006D5072">
        <w:rPr>
          <w:lang w:val="en-GB"/>
        </w:rPr>
        <w:t>Yn ystod y ganrif gyntaf yn Jerwsalem roedd yna lawer o gymunedau Phariseaid ar draws Jerwsalem, gyda llawer ohonynt hwy yn efo rheolau llym ynglŷn â mynedfa i’r grŵp, sydd yn ymddangos fod y Phariseaid cyn dinistriad y deml yn gymuned ynysig. Cyn I unrhyw un cael mynedfa i’r traddodiad bydda gyfnod o brawf a oedd yn cymryd o fis hyd at flwyddyn i gwblhau, ble byddai’runigolyn yn dangos ei fod efo’r gallu i ddilyn deddfau defodol.  Fe wnaeth Josephus dweud ei fod yn llwyddiannus yn ymuno a’r Phariseaid yn 19 mlwydd oed wedi cwblhau ei amser ar brawf. Yn y cyfnod yma byddai aelod newydd yn rhoi addewid i’r arweinydd ac yn dilyn pob dim oedd y Pharisead yn ei wneud.  Yn Jerwsalem, roedd y Phariseaid yn arwyddocaol iawn yn y cyfnod gan fod nifer o aelodau ganddyn, ac efo system glir o sut i ymdrin ag aelodau newydd, er bod polisi efo aelodau newydd. Roedd yn bosib fod yn rhan ohono. Yn wahanol iawn I Sadwceaid a oedd yn dod oddi wrth hierarchaidd yn gymunedau Jerwsalem.</w:t>
      </w:r>
      <w:r w:rsidR="005B4337">
        <w:rPr>
          <w:lang w:val="en-GB"/>
        </w:rPr>
        <w:t xml:space="preserve"> </w:t>
      </w:r>
      <w:r w:rsidR="00FA60D6" w:rsidRPr="00FA60D6">
        <w:rPr>
          <w:lang w:val="en-GB"/>
        </w:rPr>
        <w:t xml:space="preserve">Cafwyd Josephus gwybodaeth am niferoedd y Phariseaid </w:t>
      </w:r>
      <w:proofErr w:type="gramStart"/>
      <w:r w:rsidR="00FA60D6" w:rsidRPr="00FA60D6">
        <w:rPr>
          <w:lang w:val="en-GB"/>
        </w:rPr>
        <w:t>yn  ystod</w:t>
      </w:r>
      <w:proofErr w:type="gramEnd"/>
      <w:r w:rsidR="00FA60D6" w:rsidRPr="00FA60D6">
        <w:rPr>
          <w:lang w:val="en-GB"/>
        </w:rPr>
        <w:t xml:space="preserve"> y cyfnod hwn gan Nicholas o Damascus I fod tua chwe mil o Pharisead gyda phoblogaeth Jerwsalem I fod tua 25-30 mil. Er hyn mae’n anodd iawn i weld faint wir oedd yn Jerwsalem yn y cyfnod gan fod Matthew a Luc yn rhoi’r ysgrifenyddion a’r Phariseaid efo’i gilydd </w:t>
      </w:r>
      <w:proofErr w:type="gramStart"/>
      <w:r w:rsidR="00FA60D6" w:rsidRPr="00FA60D6">
        <w:rPr>
          <w:lang w:val="en-GB"/>
        </w:rPr>
        <w:t>e.e..</w:t>
      </w:r>
      <w:proofErr w:type="gramEnd"/>
      <w:r w:rsidR="00FA60D6" w:rsidRPr="00FA60D6">
        <w:rPr>
          <w:lang w:val="en-GB"/>
        </w:rPr>
        <w:t xml:space="preserve"> dywed ‘Gwae chi'r arbenigwyr yn y Gyfraith a Phariseaid! Dych chi mor ddauwynebog! Dych chi'n barod i deithio dros fôr a thir i gael un person i gredu'r un fath â chi. Wrth wneud hynny dych chi'n ei droi'n blentyn uffern – ddwywaith gwaeth na chi'ch hunain! (Matt 23:14)</w:t>
      </w:r>
    </w:p>
    <w:p w14:paraId="035B3A05" w14:textId="24146E01" w:rsidR="00EC6B82" w:rsidRDefault="00FA60D6" w:rsidP="00FA60D6">
      <w:pPr>
        <w:rPr>
          <w:color w:val="000000" w:themeColor="text1"/>
          <w:lang w:val="en-GB"/>
        </w:rPr>
      </w:pPr>
      <w:r w:rsidRPr="00FA60D6">
        <w:rPr>
          <w:lang w:val="en-GB"/>
        </w:rPr>
        <w:t>Ond mae gwahaniaeth clir rhwng yr ysgrifenyddion a’r Phariseaid, er mae angen cydnabod fod ychydig o aelodau o’r gymuned Pharisead hefyd yn ysgrifenyddion, A bod dim ond yn gwybod ychydig o enwau sydd yn rhan o’r ysgrifenyddion megis Joesephus a Hillel, ond yn debygol roedd y nifer yn llawer mwy</w:t>
      </w:r>
      <w:r w:rsidR="00175CE0">
        <w:rPr>
          <w:color w:val="000000" w:themeColor="text1"/>
          <w:lang w:val="en-GB"/>
        </w:rPr>
        <w:t xml:space="preserve">. </w:t>
      </w:r>
      <w:r w:rsidR="00FB2D58">
        <w:rPr>
          <w:color w:val="000000" w:themeColor="text1"/>
          <w:lang w:val="en-GB"/>
        </w:rPr>
        <w:t xml:space="preserve"> </w:t>
      </w:r>
      <w:r w:rsidR="00FB2D58">
        <w:rPr>
          <w:rStyle w:val="FootnoteReference"/>
          <w:color w:val="000000" w:themeColor="text1"/>
          <w:lang w:val="en-GB"/>
        </w:rPr>
        <w:footnoteReference w:id="4"/>
      </w:r>
    </w:p>
    <w:p w14:paraId="2E6250C1" w14:textId="77777777" w:rsidR="0038060C" w:rsidRDefault="0038060C" w:rsidP="004E6BB4">
      <w:pPr>
        <w:rPr>
          <w:color w:val="000000" w:themeColor="text1"/>
          <w:lang w:val="en-GB"/>
        </w:rPr>
      </w:pPr>
    </w:p>
    <w:p w14:paraId="2147129F" w14:textId="12CD2F2D" w:rsidR="00174B4E" w:rsidRDefault="00C46F6D" w:rsidP="004E6BB4">
      <w:pPr>
        <w:rPr>
          <w:color w:val="000000" w:themeColor="text1"/>
          <w:lang w:val="en-GB"/>
        </w:rPr>
      </w:pPr>
      <w:r w:rsidRPr="00C46F6D">
        <w:rPr>
          <w:color w:val="000000" w:themeColor="text1"/>
          <w:lang w:val="en-GB"/>
        </w:rPr>
        <w:t xml:space="preserve">Er yn glir, yn ystod cyfnod y Sadwceaid yn Jerwsalem, mae yna lawer o eiriau negyddol yn cael ei ddweud am y Phariseaid. Mae’r gair Phariseaid yn deillio oddi wrth y gair </w:t>
      </w:r>
      <w:r w:rsidRPr="00C46F6D">
        <w:rPr>
          <w:color w:val="000000" w:themeColor="text1"/>
          <w:lang w:val="en-GB"/>
        </w:rPr>
        <w:tab/>
        <w:t xml:space="preserve">Perushim sydd yn golygu'r rhai ‘sydd ar wahân’. Defnyddiwyd hwn yn debygol i’r faith fod ei chred yn canolbwyntio yn llym iawn at reolau purdeb a rheolau bwyd. Felly roedd hyn yn cadw nhw arwahanu i unigolion yn y gymuned a oedd ddim yn dilyn at y deddfai hyn. Nid yw Perushim yn cael ei defnyddio yn aml yn llenyddiaeth rabinaidd, a pan mae’n cael ei defnyddio mae fel arfer yn fodd negatif gan y Sawceaid fel stereoteip am y bobl oedd yn canolbwyntio gormod am bethau bach meddau purdeb fod yn amhosib canolbwyntio ar y moesau pwysig oedd yn rhan o’r grefydd. Yn debygol fe wnaeth y Phariseaid cael ei enw i ddechrau o bobl yn cymryd sbri am ei chred, ond yn y diwedd fe wnaeth defnyddio fel yr enw cywir am ei grŵp. </w:t>
      </w:r>
      <w:r w:rsidR="009963C4">
        <w:rPr>
          <w:color w:val="000000" w:themeColor="text1"/>
          <w:lang w:val="en-GB"/>
        </w:rPr>
        <w:t xml:space="preserve">Roedd y </w:t>
      </w:r>
      <w:r w:rsidR="00262DA0" w:rsidRPr="00262DA0">
        <w:rPr>
          <w:color w:val="000000" w:themeColor="text1"/>
          <w:lang w:val="en-GB"/>
        </w:rPr>
        <w:t>Pharisead yn canolbwyntio yn llwyr ar y torah, ac fe ddaeth hyn yn holl bwysig wedi cwymp yr ail deml, gan nad oedd duw nawr yn y deml ond yn y torah. Felly yn allweddol i ddatblygiad y grefydd. Ond yn wahanol iawn i’r sadwceaid a oedd dim ond yn credu yn y pum llyfr moses. Roedd y Pharisead efo cred yn y torah llafar a thraddodiadau hynafol wrth gyfochr yr ysgrythurau sanctaidd. O gyd-destun diwinyddol roedd hyn yn galluogi nhw i fagu syniadau megis bywyd ar ôl marwolaeth, er bod y Beibl Iddewig ddim yn codi’r syniad am fywyd ar ôl marwolaeth. Dywed y Phariseaid</w:t>
      </w:r>
    </w:p>
    <w:p w14:paraId="328B63D6" w14:textId="1654C88B" w:rsidR="00174B4E" w:rsidRDefault="00174B4E" w:rsidP="004E6BB4">
      <w:pPr>
        <w:rPr>
          <w:color w:val="000000" w:themeColor="text1"/>
          <w:lang w:val="en-GB"/>
        </w:rPr>
      </w:pPr>
      <w:r>
        <w:rPr>
          <w:color w:val="000000" w:themeColor="text1"/>
          <w:lang w:val="en-GB"/>
        </w:rPr>
        <w:t>Every soul, they maintain,is imperishable, but the soul of the good alone passes into another body, while sould of the wicked sufer eternal punishment</w:t>
      </w:r>
      <w:r>
        <w:rPr>
          <w:rStyle w:val="FootnoteReference"/>
          <w:color w:val="000000" w:themeColor="text1"/>
          <w:lang w:val="en-GB"/>
        </w:rPr>
        <w:footnoteReference w:id="5"/>
      </w:r>
    </w:p>
    <w:p w14:paraId="297BC825" w14:textId="1A7D8C67" w:rsidR="00174B4E" w:rsidRDefault="00174B4E" w:rsidP="004E6BB4">
      <w:pPr>
        <w:rPr>
          <w:color w:val="000000" w:themeColor="text1"/>
          <w:lang w:val="en-GB"/>
        </w:rPr>
      </w:pPr>
      <w:r>
        <w:rPr>
          <w:color w:val="000000" w:themeColor="text1"/>
          <w:lang w:val="en-GB"/>
        </w:rPr>
        <w:t>Roedd hyn yn wahanol iawn ac yn newydd I rhai iddewon gyda’r sadwceaid yn dweud hyn am bywyd wedi marolwaeth yn ol Josephus “As for the persistence of the soul after death, penalties in the underworld, and rewards they will have none of them’</w:t>
      </w:r>
      <w:r>
        <w:rPr>
          <w:rStyle w:val="FootnoteReference"/>
          <w:color w:val="000000" w:themeColor="text1"/>
          <w:lang w:val="en-GB"/>
        </w:rPr>
        <w:footnoteReference w:id="6"/>
      </w:r>
    </w:p>
    <w:p w14:paraId="749649F2" w14:textId="1C15B611" w:rsidR="0038060C" w:rsidRDefault="00C01909" w:rsidP="004E6BB4">
      <w:pPr>
        <w:rPr>
          <w:color w:val="000000" w:themeColor="text1"/>
          <w:lang w:val="en-GB"/>
        </w:rPr>
      </w:pPr>
      <w:r>
        <w:rPr>
          <w:color w:val="000000" w:themeColor="text1"/>
          <w:lang w:val="en-GB"/>
        </w:rPr>
        <w:t xml:space="preserve"> </w:t>
      </w:r>
      <w:r w:rsidR="0099632B">
        <w:rPr>
          <w:color w:val="000000" w:themeColor="text1"/>
          <w:lang w:val="en-GB"/>
        </w:rPr>
        <w:t xml:space="preserve"> </w:t>
      </w:r>
      <w:r w:rsidR="0090187B" w:rsidRPr="0090187B">
        <w:rPr>
          <w:color w:val="000000" w:themeColor="text1"/>
          <w:lang w:val="en-GB"/>
        </w:rPr>
        <w:t xml:space="preserve">Fyddai’r syniadau hyn wedi bod yn allweddol iawn i </w:t>
      </w:r>
      <w:proofErr w:type="gramStart"/>
      <w:r w:rsidR="0090187B" w:rsidRPr="0090187B">
        <w:rPr>
          <w:color w:val="000000" w:themeColor="text1"/>
          <w:lang w:val="en-GB"/>
        </w:rPr>
        <w:t>ddatblygiad  crefydd</w:t>
      </w:r>
      <w:proofErr w:type="gramEnd"/>
      <w:r w:rsidR="0090187B" w:rsidRPr="0090187B">
        <w:rPr>
          <w:color w:val="000000" w:themeColor="text1"/>
          <w:lang w:val="en-GB"/>
        </w:rPr>
        <w:t xml:space="preserve"> Iddewig, gan fyddai unigolion yn chwilio am atebion positif am fywyd wedi cyfnod anodd efo llawer o Iddewon bu farw yn ystod cyfnod gwrthryfel maccabiah a pan wnaeth Rhufain goresgyn Israel. Felly trwy’r syniadau newydd fodern hyn, roedd y grefydd yn apelio at fwy o bobl ac yn sicr roedd hyn yn helpu i sicrhau fod Iddewiaeth yn goroesi wedi cwymp yr ail deml. Roedd y Phariseaid yn ôl Joesephus yn defnyddio traddodiadau hynafol a syniadau oddi wrth ddiwylliant babylonaidd a Persiaidd ac yn datblygu nhw i mewn yw syniadau ei hun. Erbyn y cyfnod hwn roedd y Phariseaid yn ddigon dylanwadol er mwyn ddatblygu syniadau ei hun a bod unigolion yn dilyn y syniadau pan ar y dechrau ni fyddai’n derbyn y syniadau, gan roedd ddehongliad y Phariseaid am y deddfau yn cael ei weld y fwyaf cywir erbyn hyn</w:t>
      </w:r>
      <w:r w:rsidR="00671D71">
        <w:rPr>
          <w:color w:val="000000" w:themeColor="text1"/>
          <w:lang w:val="en-GB"/>
        </w:rPr>
        <w:t xml:space="preserve">. </w:t>
      </w:r>
      <w:r w:rsidR="00671D71">
        <w:rPr>
          <w:rStyle w:val="FootnoteReference"/>
          <w:color w:val="000000" w:themeColor="text1"/>
          <w:lang w:val="en-GB"/>
        </w:rPr>
        <w:footnoteReference w:id="7"/>
      </w:r>
    </w:p>
    <w:p w14:paraId="1099A947" w14:textId="77777777" w:rsidR="005D38F3" w:rsidRDefault="005D38F3" w:rsidP="004E6BB4">
      <w:pPr>
        <w:rPr>
          <w:color w:val="000000" w:themeColor="text1"/>
          <w:lang w:val="en-GB"/>
        </w:rPr>
      </w:pPr>
    </w:p>
    <w:p w14:paraId="71FFC87B" w14:textId="3571C1B4" w:rsidR="005D38F3" w:rsidRDefault="00DA6E24" w:rsidP="004E6BB4">
      <w:pPr>
        <w:rPr>
          <w:color w:val="000000" w:themeColor="text1"/>
          <w:lang w:val="en-GB"/>
        </w:rPr>
      </w:pPr>
      <w:r w:rsidRPr="00DA6E24">
        <w:rPr>
          <w:color w:val="000000" w:themeColor="text1"/>
          <w:lang w:val="en-GB"/>
        </w:rPr>
        <w:t xml:space="preserve">Mae’r syniad fod pwysigrwydd unigolion o fewn y grŵp yn cael ei nodi ar eich ysgolheigaidd ac eich dyfodiad tuag at astudio’r torah a deddfau Iddewig yn arwyddocaol hefyd. Gan roedd eich pwysigrwydd yn y sadwceaidd yn dod oddi wrth eich teulu pe bai hierarchaidd efo neu beidio. Ond pe bai eich teulu neu ddosbarth cymdeithasol mae eich pwysigrwydd yn dod at eich defosiwn at astudio’r gred. Un o brif ddysgeidiaeth y Phariseaid oedd ei fod y dilyn y syniadau am burdeb. Cred fod y syniad o sancteiddrwydd yn cael ei mynegi yn faith fod gwrthrych neu le sanctaidd ddim yn gallu cael ei chyfwrdd nac ymweld gan unrhyw berson neu rywbeth nad oedd un bur. Fe fyddai’n dilyn y deddfau am burdeb yn llym ofnadwy, er yn am lei fod yn cael ei chadw efo’r offeiriadaeth ac unrhyw berson a oedd yn delio efo unrhyw wrthrych sanctaidd. </w:t>
      </w:r>
      <w:r w:rsidR="0015529C" w:rsidRPr="0015529C">
        <w:rPr>
          <w:color w:val="000000" w:themeColor="text1"/>
          <w:lang w:val="en-GB"/>
        </w:rPr>
        <w:t xml:space="preserve">Felly mae purdeb bwyd yn holl bwysig iddynt hwy hyd yn oed i fwyd a oedd yn cael ei weld gan grwpiau Iddewig eraill i beidio fod yn sanctaidd. Nid yw unrhyw berson tu allan i’r gymuned Phariseaid yn gallu paratoi degwm iddynt hwy sef y cynnyrch a oedd yn cael ei rhoi i’r ochr ar gyfer offeiriad, y tlawd a ddylai cael ei deunawfed yn Jerwsalem. Felly pe bai’r degwm wedi dod oddi wrth unigolion nad oedd yn Phariseaid byddai angen ail wneud. Pe bai yn edrych ar waith Joseph ar y mater hwn byddwch yn gweld fod y Phariseaid efo edmygedd dros gymunedau yn ystod y cyfnod. Ond yn glir mae’n debygol fod yna tuedd yn waith gan ei fod yn Pharisead ei hun. Yn realiti mae’n debygol fod rheolau llym am gynnyrch degwm oddi wrth rhai tu allan o’r Phariseaid yn cael ei weld fod yn meddwl ei fod yn well na’r unigolion tu allan o’r grŵp yn y gymuned. Ond mae’n glir iawn, </w:t>
      </w:r>
      <w:r w:rsidR="00267A82">
        <w:rPr>
          <w:color w:val="000000" w:themeColor="text1"/>
          <w:lang w:val="en-GB"/>
        </w:rPr>
        <w:t xml:space="preserve">fod ei arwyddycad yn holl </w:t>
      </w:r>
      <w:proofErr w:type="gramStart"/>
      <w:r w:rsidR="00267A82">
        <w:rPr>
          <w:color w:val="000000" w:themeColor="text1"/>
          <w:lang w:val="en-GB"/>
        </w:rPr>
        <w:t>bwysig,gan</w:t>
      </w:r>
      <w:proofErr w:type="gramEnd"/>
      <w:r w:rsidR="00267A82">
        <w:rPr>
          <w:color w:val="000000" w:themeColor="text1"/>
          <w:lang w:val="en-GB"/>
        </w:rPr>
        <w:t xml:space="preserve"> heb y syniadau yma mae’n tebygol ni</w:t>
      </w:r>
      <w:r w:rsidR="00B47AB8">
        <w:rPr>
          <w:color w:val="000000" w:themeColor="text1"/>
          <w:lang w:val="en-GB"/>
        </w:rPr>
        <w:t>47 a 48</w:t>
      </w:r>
      <w:r w:rsidR="00267A82">
        <w:rPr>
          <w:color w:val="000000" w:themeColor="text1"/>
          <w:lang w:val="en-GB"/>
        </w:rPr>
        <w:t xml:space="preserve"> fyddai iddewiaeth wedi goroesi. </w:t>
      </w:r>
      <w:r w:rsidR="00686CC3">
        <w:rPr>
          <w:color w:val="000000" w:themeColor="text1"/>
          <w:lang w:val="en-GB"/>
        </w:rPr>
        <w:t xml:space="preserve"> </w:t>
      </w:r>
      <w:r w:rsidR="00033016">
        <w:rPr>
          <w:rStyle w:val="FootnoteReference"/>
          <w:color w:val="000000" w:themeColor="text1"/>
          <w:lang w:val="en-GB"/>
        </w:rPr>
        <w:footnoteReference w:id="8"/>
      </w:r>
    </w:p>
    <w:p w14:paraId="7EBF7147" w14:textId="77777777" w:rsidR="00033016" w:rsidRDefault="00033016" w:rsidP="004E6BB4">
      <w:pPr>
        <w:rPr>
          <w:color w:val="000000" w:themeColor="text1"/>
          <w:lang w:val="en-GB"/>
        </w:rPr>
      </w:pPr>
    </w:p>
    <w:p w14:paraId="722D0992" w14:textId="62F23500" w:rsidR="00033016" w:rsidRDefault="00C92A13" w:rsidP="004E6BB4">
      <w:pPr>
        <w:rPr>
          <w:color w:val="000000" w:themeColor="text1"/>
          <w:lang w:val="en-GB"/>
        </w:rPr>
      </w:pPr>
      <w:r w:rsidRPr="00C92A13">
        <w:rPr>
          <w:color w:val="000000" w:themeColor="text1"/>
          <w:lang w:val="en-GB"/>
        </w:rPr>
        <w:t xml:space="preserve">Wedi’r ail deml gwelwyd y diflaniad yr esseniaid a’r sadceaid a daeth Phariseaid yr uniewyllysIddewig y cyfod. A trwy hyn fe ddaeth ysgrythurau sanctaidd yn bwysig ac yn ganolbwynt i’r traddodiad am ganrifoedd. Y rheswm fod yr ysgrythurau wedi dod yn boblogaeth yw o ganlyniad fod y Phariseaid yn fudiad a oedd yn gul ac yn anhyblyg, a bod angen i bobl etholedig dduw i ddilyn ei ewyllys diamheuol. Yn glir, yr Iddewon oedd y bobl etholedig a bod angen dilyn awdurdod y Torah sef y llyfr sanctaidd yn gul. Mae’r torah, yn amlwg yn pob agwedd o fywyd ac mae angen ei ddilyn er mwyn cyflawni ei ewyllys. Yn llygaid Duw, nid all unrhyw Iddew cyflawni fwy iddo na ddilyn y torah air wrth air. A gallwn sicrhau fod y Phariseaid yn holl bwysig i ddatblygiad Iddewiaeth ar y sail hon. </w:t>
      </w:r>
      <w:r w:rsidR="00716C7E" w:rsidRPr="00716C7E">
        <w:rPr>
          <w:color w:val="000000" w:themeColor="text1"/>
          <w:lang w:val="en-GB"/>
        </w:rPr>
        <w:t xml:space="preserve">Mae yna gysylltiad clir efo’r Phariseaid a’r synagog yn hytrach na’r deml. Felly roedd modd addoli a chadw ei holl draddodiad wedi teml. Yn ogystal iddynt hwy nid oedd y torah yn gasgliad o ddeddfau crefyddol yn unig, ond mae’r torah yna i gael ei defnyddio am holl fywyd. Nod y Phariseaid oedd sicrhau fod y deddfau yn hysbys i bawb er mwyn sicrhau fod yn gallu ei ddilyn ac felly fod budd i gymdeithas. Felly yn glir, roedd y Phariseaid yn rhoi pwyslais fod yn hanfodol i ddysgu’r torah er mwyn ei myfyrio a bod unigolion yn gallu dilyn ewyllys Duw. I bob Iddew, mae’r torah a’r gyfraith yn gymhareb i fwyd a diod iddynt. Mae’r Phariseaid yn </w:t>
      </w:r>
      <w:proofErr w:type="gramStart"/>
      <w:r w:rsidR="00716C7E" w:rsidRPr="00716C7E">
        <w:rPr>
          <w:color w:val="000000" w:themeColor="text1"/>
          <w:lang w:val="en-GB"/>
        </w:rPr>
        <w:t>allweddol  yn</w:t>
      </w:r>
      <w:proofErr w:type="gramEnd"/>
      <w:r w:rsidR="00716C7E" w:rsidRPr="00716C7E">
        <w:rPr>
          <w:color w:val="000000" w:themeColor="text1"/>
          <w:lang w:val="en-GB"/>
        </w:rPr>
        <w:t xml:space="preserve"> ddatblygiad Iddewig, ganddyn nhw oedd y grŵp o bobl gyntaf i ysgrifennu’r torah rydyn yn adnabod nawr i lawr i bawb darllen y Rhun geiriau yn lle fod y torah yn cael ei throsglwyddo ar lafar. </w:t>
      </w:r>
      <w:r w:rsidR="006443F6" w:rsidRPr="006443F6">
        <w:rPr>
          <w:color w:val="000000" w:themeColor="text1"/>
          <w:lang w:val="en-GB"/>
        </w:rPr>
        <w:t xml:space="preserve">Felly heb y Phariseaid ni fyddai’r Torah ysgrifenedig (Torahse-Biktab). Trwy hyn roedd y Phariseaid wedi galluogi fod yr holl gyfraith sef y 248 o orchmynion cadarnhaol a’r 365 orchmynion negyddol wedi cael ei ysgrifennu i lawr, a bod bob unigoli dyn gallu ei adnabod er mwyn cyflawni ewyllys Duw. Ond aeth y Phariseaid ymhellach er mwyn sicrhau fod gorchmynion Duw mewn cyrhaeddiad pob Iddew. Crëwyd y torah llafar (Torah is-be’al peh). Ac roedd gwmws yr un faint o awdurdod efo’r torah llafar ac sydd gan y torah ysgrifenedig. Gan mae’r torah llafar yn helpu datblygu'r hyn mae’r torah ysgrifenedig yn ei ddweud. Gyda rhai gorchmynion nid oedd yn datblygu digon er mwyn sicrhau do Iddewon yn gallu ei ddilyn y gorau a gallwn. Megis mae’r deg orchymyn yn dweud ‘cofia'r dydd Saboth I’w sancteiddio ef’. Ond roedd hyn yn gadael </w:t>
      </w:r>
      <w:proofErr w:type="gramStart"/>
      <w:r w:rsidR="006443F6" w:rsidRPr="006443F6">
        <w:rPr>
          <w:color w:val="000000" w:themeColor="text1"/>
          <w:lang w:val="en-GB"/>
        </w:rPr>
        <w:t>Iddewon  cwestiynu'r</w:t>
      </w:r>
      <w:proofErr w:type="gramEnd"/>
      <w:r w:rsidR="006443F6" w:rsidRPr="006443F6">
        <w:rPr>
          <w:color w:val="000000" w:themeColor="text1"/>
          <w:lang w:val="en-GB"/>
        </w:rPr>
        <w:t xml:space="preserve"> hyn a oedd yn cael ei adnabod fel gwaith? Felly fe grëwyd y Phariseaid 39 o reolau a oedd yn atodiad i’r gorchymyn hyn, felly roedd yn bosib i bawb ei ddilyn gan fod yn dweud yn glir beth oedd yn cael ei weld fel gwaith.</w:t>
      </w:r>
      <w:r w:rsidR="009F415D">
        <w:rPr>
          <w:color w:val="000000" w:themeColor="text1"/>
          <w:lang w:val="en-GB"/>
        </w:rPr>
        <w:t xml:space="preserve"> </w:t>
      </w:r>
      <w:r w:rsidR="006443F6" w:rsidRPr="006443F6">
        <w:rPr>
          <w:color w:val="000000" w:themeColor="text1"/>
          <w:lang w:val="en-GB"/>
        </w:rPr>
        <w:t>Hawliwyd y Pharisead fod y torah llafar wedi cael ei rhoi i moses ar Sinai ar yr un cyfnod a’r torah sancteiddiwch yn ffurfio rhan o’r traddodiad hynafiad. Dywed un atodiad yn y gyfraith lafar</w:t>
      </w:r>
    </w:p>
    <w:p w14:paraId="01E2A43E" w14:textId="77777777" w:rsidR="009F415D" w:rsidRDefault="009F415D" w:rsidP="004E6BB4">
      <w:pPr>
        <w:rPr>
          <w:color w:val="000000" w:themeColor="text1"/>
          <w:lang w:val="en-GB"/>
        </w:rPr>
      </w:pPr>
    </w:p>
    <w:p w14:paraId="61C484A7" w14:textId="421CC6C0" w:rsidR="009F415D" w:rsidRDefault="009F415D" w:rsidP="004E6BB4">
      <w:pPr>
        <w:rPr>
          <w:color w:val="000000" w:themeColor="text1"/>
          <w:lang w:val="en-GB"/>
        </w:rPr>
      </w:pPr>
      <w:r>
        <w:rPr>
          <w:color w:val="000000" w:themeColor="text1"/>
          <w:lang w:val="en-GB"/>
        </w:rPr>
        <w:t xml:space="preserve">‘agor dy dy I fod yn fan cyfarfod doeth, eistedd wrth traed yn y llwch, ac y feu geiriai fel gwr sychiedig. Cadwdraw oddi weth gymydog dwrf, paid a chyfeillachu a’r drygious, a ohaida gwadu’r gred mewn barn. Byddwch yn ddisgyblion I Aaron, yn caru ac yn ddilyn tangnefoedd yn caru euch cyd-ddynion ac yn harwain yn nes at y torah’ </w:t>
      </w:r>
      <w:r>
        <w:rPr>
          <w:rStyle w:val="FootnoteReference"/>
          <w:color w:val="000000" w:themeColor="text1"/>
          <w:lang w:val="en-GB"/>
        </w:rPr>
        <w:footnoteReference w:id="9"/>
      </w:r>
    </w:p>
    <w:p w14:paraId="46734389" w14:textId="77777777" w:rsidR="00071668" w:rsidRPr="00071668" w:rsidRDefault="00071668" w:rsidP="00071668">
      <w:pPr>
        <w:rPr>
          <w:color w:val="000000" w:themeColor="text1"/>
          <w:lang w:val="en-GB"/>
        </w:rPr>
      </w:pPr>
    </w:p>
    <w:p w14:paraId="0BB193EB" w14:textId="4EF2C904" w:rsidR="00830487" w:rsidRDefault="00071668" w:rsidP="00071668">
      <w:pPr>
        <w:rPr>
          <w:color w:val="000000" w:themeColor="text1"/>
          <w:lang w:val="en-GB"/>
        </w:rPr>
      </w:pPr>
      <w:r w:rsidRPr="00071668">
        <w:rPr>
          <w:color w:val="000000" w:themeColor="text1"/>
          <w:lang w:val="en-GB"/>
        </w:rPr>
        <w:t>Felly mae’n amlwg fod y Phariseaid wedi bod yn awdurdodol yn fodd wnaeth creu'r torah llafar, mae’r torah hyn wedi galluogi Iddewon dros ganrifoedd i geisio fod yr Iddew gorau ac sy’n bosib o ganlyniad fod fwy o wybodaeth ganddynt hwy i ddilyn ewyllys Duw. Yn glir yn y cyfnod wedi’r deml byddai bobl yn edrych ar sut allwn addoli at Dduw heb y deml, a chred y Phariseaid yn rhoi’r atebion iddynt hwy ac felly byddai fwy a fwy yn ymuno gan mewn amser o drafferth byddai unigolion yn chwilio am atebion. Ac roedd yr atebon i gyd efo’r Phariseaid</w:t>
      </w:r>
      <w:r w:rsidR="00830487">
        <w:rPr>
          <w:color w:val="000000" w:themeColor="text1"/>
          <w:lang w:val="en-GB"/>
        </w:rPr>
        <w:t xml:space="preserve">. </w:t>
      </w:r>
      <w:r w:rsidR="001A25B7">
        <w:rPr>
          <w:rStyle w:val="FootnoteReference"/>
          <w:color w:val="000000" w:themeColor="text1"/>
          <w:lang w:val="en-GB"/>
        </w:rPr>
        <w:footnoteReference w:id="10"/>
      </w:r>
    </w:p>
    <w:p w14:paraId="370EFC00" w14:textId="77777777" w:rsidR="001A25B7" w:rsidRDefault="001A25B7" w:rsidP="004E6BB4">
      <w:pPr>
        <w:rPr>
          <w:color w:val="000000" w:themeColor="text1"/>
          <w:lang w:val="en-GB"/>
        </w:rPr>
      </w:pPr>
    </w:p>
    <w:p w14:paraId="191CE839" w14:textId="77777777" w:rsidR="004639F9" w:rsidRPr="004639F9" w:rsidRDefault="004639F9" w:rsidP="004639F9">
      <w:pPr>
        <w:rPr>
          <w:color w:val="000000" w:themeColor="text1"/>
          <w:lang w:val="en-GB"/>
        </w:rPr>
      </w:pPr>
      <w:r w:rsidRPr="004639F9">
        <w:rPr>
          <w:color w:val="000000" w:themeColor="text1"/>
          <w:lang w:val="en-GB"/>
        </w:rPr>
        <w:t>Fe ddaeth yr ysgrythurau yma yn bwysig i’r Phariseaid yn ystod cyfnod Yavneh, gyda Yavneh yn dre ar arfordir medertaranaidd, a dyma ble oedd rabbi’s yn ceisio parhau efo gwaith ysgolheigion wedi cwymp y deml. Rhwng 70 a 133-5 oedd cyfnod Yavneh ac roedd yn amser hynod o bwysig i’r grefydd Iddewig, gyda chanolbwyntio ar sicrhau fod y torah llafar yn cael ei chael yn ystod ysgol Hillel a shammai. Trwy’r cyfnod hyn fe ddaeth ysgrythur Tannaitic yn boblogaeth. Ac fe wnaeth ysgolheigion yn Yavneh hefyd canolbwyntio ar ailystyried y calendr flwyddyn Iddewiaeth, dewis pa ddefodau sydd yn gallu parhau wedi’r deml a Yavneh yn dod yn ailosod y llywodraeth oruchaf Iddewig sef y Sanhedrin a oedd yn gynharach yn y deml.  Heb y deml roedd angen lle arall i addoli a dyma ble mae pwysigrwydd y synagog yn dod yn amlwg. A trwy hyn mae ysgolheigion yn datblygu’r grefydd ymhellach megis Rabi Akiva Ben Joseph a wnaeth datblygu ysgol hermeneutical a oedd yn canolbwyntio ar y torah llafar.</w:t>
      </w:r>
    </w:p>
    <w:p w14:paraId="4D259F96" w14:textId="77777777" w:rsidR="00174B4E" w:rsidRDefault="00174B4E" w:rsidP="004E6BB4">
      <w:pPr>
        <w:rPr>
          <w:color w:val="000000" w:themeColor="text1"/>
          <w:lang w:val="en-GB"/>
        </w:rPr>
      </w:pPr>
    </w:p>
    <w:p w14:paraId="37682352" w14:textId="743C029E" w:rsidR="00174B4E" w:rsidRDefault="0085560A" w:rsidP="004E6BB4">
      <w:pPr>
        <w:rPr>
          <w:color w:val="000000" w:themeColor="text1"/>
          <w:lang w:val="en-GB"/>
        </w:rPr>
      </w:pPr>
      <w:r w:rsidRPr="0085560A">
        <w:rPr>
          <w:color w:val="000000" w:themeColor="text1"/>
          <w:lang w:val="en-GB"/>
        </w:rPr>
        <w:t xml:space="preserve">Felly i </w:t>
      </w:r>
      <w:proofErr w:type="gramStart"/>
      <w:r w:rsidRPr="0085560A">
        <w:rPr>
          <w:color w:val="000000" w:themeColor="text1"/>
          <w:lang w:val="en-GB"/>
        </w:rPr>
        <w:t>gloi,  mae’n</w:t>
      </w:r>
      <w:proofErr w:type="gramEnd"/>
      <w:r w:rsidRPr="0085560A">
        <w:rPr>
          <w:color w:val="000000" w:themeColor="text1"/>
          <w:lang w:val="en-GB"/>
        </w:rPr>
        <w:t xml:space="preserve"> amlwg iawn fod Phariseaid wedi bod yn arwyddocaol yn iawn dros y canrifoedd er mwyn creu’r Iddewiaeth rydyn yn adnabod heddiw. Wrth edrych ar hanes dim ond un grŵp a wnaeth oresgyn cwymp y deml pan wnaeth y grwpiau eraill diflannu. Er bod y Phariseaid efo hanes ei fod yn grŵp sydd yn cadw at ei hun o ganlyniad i’w ffordd llym o edrych ar burdeb nhw yn unig oedd yn sefyll wedi i gwymp Jerwsalem ei hun. Wrth gwestiynu a yw’r Phariseaid wedi cadw’r hyn a oedd yn diogelu'r hyn a oedd yn orau yn Iddewiaeth. Yn fy marn I, mae angen dweud ei fod wedi. Pe bai ddim efo syniadau da ar sut ddatblygu Iddewiaeth ni fyddai’r grŵp wedi goresgyn yn debyg i’r grwpiau eraill. Trwy ddatblygu ar syniadau’r torah trwy Dorah llafar</w:t>
      </w:r>
      <w:r w:rsidR="00174B4E">
        <w:rPr>
          <w:color w:val="000000" w:themeColor="text1"/>
          <w:lang w:val="en-GB"/>
        </w:rPr>
        <w:t xml:space="preserve">, </w:t>
      </w:r>
      <w:r w:rsidRPr="0085560A">
        <w:rPr>
          <w:color w:val="000000" w:themeColor="text1"/>
          <w:lang w:val="en-GB"/>
        </w:rPr>
        <w:t>roedd yn fwy agored i bobl i ddilyn y cred. Am y tro cyntaf roedd yna lyfr sanctaidd ble oedd pawb yn dilyn yr un beth gyda geiriau gwir Dduw. Heb hyn, mae’n debygol ni fyddai bobl wedi cymryd sylw iddo, roedd angen atebion ar bobl wedi’r cyfnod anodd ac roedd y Phariseaid yna i roi’r atebion. Pan nad oedd y grwpiau eraill. Felly yn fy marn I, heb i’r Phariseaid datblygu ei ffordd o addoli oddi wrth y deml. Ni fyddai Iddewiaeth yn grefydd, trwy gadw’r holl bethau orau fe wnaeth y Phariseaid creu crefydd a oedd efo dilynwyr cryf am ganrifoedd.</w:t>
      </w:r>
    </w:p>
    <w:p w14:paraId="06C2A6E0" w14:textId="77777777" w:rsidR="00E667FC" w:rsidRDefault="00E667FC" w:rsidP="004E6BB4">
      <w:pPr>
        <w:rPr>
          <w:color w:val="000000" w:themeColor="text1"/>
          <w:lang w:val="en-GB"/>
        </w:rPr>
      </w:pPr>
    </w:p>
    <w:p w14:paraId="74889446" w14:textId="77777777" w:rsidR="00E667FC" w:rsidRDefault="00E667FC" w:rsidP="004E6BB4">
      <w:pPr>
        <w:rPr>
          <w:color w:val="000000" w:themeColor="text1"/>
          <w:lang w:val="en-GB"/>
        </w:rPr>
      </w:pPr>
    </w:p>
    <w:p w14:paraId="36AD2469" w14:textId="77777777" w:rsidR="00E667FC" w:rsidRDefault="00E667FC" w:rsidP="004E6BB4">
      <w:pPr>
        <w:rPr>
          <w:color w:val="000000" w:themeColor="text1"/>
          <w:lang w:val="en-GB"/>
        </w:rPr>
      </w:pPr>
    </w:p>
    <w:p w14:paraId="2B5AA809" w14:textId="77777777" w:rsidR="00E667FC" w:rsidRDefault="00E667FC" w:rsidP="004E6BB4">
      <w:pPr>
        <w:rPr>
          <w:color w:val="000000" w:themeColor="text1"/>
          <w:lang w:val="en-GB"/>
        </w:rPr>
      </w:pPr>
    </w:p>
    <w:p w14:paraId="4FED3D95" w14:textId="77777777" w:rsidR="00E667FC" w:rsidRDefault="00E667FC" w:rsidP="004E6BB4">
      <w:pPr>
        <w:rPr>
          <w:color w:val="000000" w:themeColor="text1"/>
          <w:lang w:val="en-GB"/>
        </w:rPr>
      </w:pPr>
    </w:p>
    <w:p w14:paraId="5B604E93" w14:textId="77777777" w:rsidR="00E667FC" w:rsidRDefault="00E667FC" w:rsidP="004E6BB4">
      <w:pPr>
        <w:rPr>
          <w:color w:val="000000" w:themeColor="text1"/>
          <w:lang w:val="en-GB"/>
        </w:rPr>
      </w:pPr>
    </w:p>
    <w:p w14:paraId="18B34841" w14:textId="77777777" w:rsidR="00E667FC" w:rsidRDefault="00E667FC" w:rsidP="004E6BB4">
      <w:pPr>
        <w:rPr>
          <w:color w:val="000000" w:themeColor="text1"/>
          <w:lang w:val="en-GB"/>
        </w:rPr>
      </w:pPr>
    </w:p>
    <w:p w14:paraId="30E799D7" w14:textId="77777777" w:rsidR="00E667FC" w:rsidRDefault="00E667FC" w:rsidP="004E6BB4">
      <w:pPr>
        <w:rPr>
          <w:color w:val="000000" w:themeColor="text1"/>
          <w:lang w:val="en-GB"/>
        </w:rPr>
      </w:pPr>
    </w:p>
    <w:p w14:paraId="400597BC" w14:textId="77777777" w:rsidR="00E667FC" w:rsidRDefault="00E667FC" w:rsidP="004E6BB4">
      <w:pPr>
        <w:rPr>
          <w:color w:val="000000" w:themeColor="text1"/>
          <w:lang w:val="en-GB"/>
        </w:rPr>
      </w:pPr>
    </w:p>
    <w:p w14:paraId="319ADDD7" w14:textId="77777777" w:rsidR="00E667FC" w:rsidRDefault="00E667FC" w:rsidP="004E6BB4">
      <w:pPr>
        <w:rPr>
          <w:color w:val="000000" w:themeColor="text1"/>
          <w:lang w:val="en-GB"/>
        </w:rPr>
      </w:pPr>
    </w:p>
    <w:p w14:paraId="70D2305C" w14:textId="77777777" w:rsidR="00E667FC" w:rsidRDefault="00E667FC" w:rsidP="004E6BB4">
      <w:pPr>
        <w:rPr>
          <w:color w:val="000000" w:themeColor="text1"/>
          <w:lang w:val="en-GB"/>
        </w:rPr>
      </w:pPr>
    </w:p>
    <w:p w14:paraId="04CAA170" w14:textId="61983EB5" w:rsidR="002B7A13" w:rsidRDefault="002B7A13" w:rsidP="004E6BB4">
      <w:pPr>
        <w:rPr>
          <w:color w:val="000000" w:themeColor="text1"/>
          <w:lang w:val="en-GB"/>
        </w:rPr>
      </w:pPr>
      <w:r>
        <w:rPr>
          <w:color w:val="000000" w:themeColor="text1"/>
          <w:lang w:val="en-GB"/>
        </w:rPr>
        <w:t>Llyfryddiaeth</w:t>
      </w:r>
    </w:p>
    <w:p w14:paraId="14FDA464" w14:textId="77777777" w:rsidR="002B7A13" w:rsidRDefault="002B7A13" w:rsidP="004E6BB4">
      <w:pPr>
        <w:rPr>
          <w:color w:val="000000" w:themeColor="text1"/>
          <w:lang w:val="en-GB"/>
        </w:rPr>
      </w:pPr>
    </w:p>
    <w:p w14:paraId="0275F65E" w14:textId="77777777" w:rsidR="002B7A13" w:rsidRDefault="002B7A13" w:rsidP="002B7A13">
      <w:pPr>
        <w:pStyle w:val="NormalWeb"/>
        <w:spacing w:line="480" w:lineRule="auto"/>
        <w:ind w:left="450" w:hanging="450"/>
        <w:rPr>
          <w:rFonts w:ascii="Verdana" w:hAnsi="Verdana"/>
          <w:color w:val="000000"/>
          <w:sz w:val="18"/>
          <w:szCs w:val="18"/>
        </w:rPr>
      </w:pPr>
      <w:r>
        <w:rPr>
          <w:rFonts w:ascii="Verdana" w:hAnsi="Verdana"/>
          <w:color w:val="000000"/>
          <w:sz w:val="18"/>
          <w:szCs w:val="18"/>
        </w:rPr>
        <w:t>Blackburn, S.,</w:t>
      </w:r>
      <w:r>
        <w:rPr>
          <w:rStyle w:val="apple-converted-space"/>
          <w:rFonts w:ascii="Verdana" w:hAnsi="Verdana"/>
          <w:color w:val="000000"/>
          <w:sz w:val="18"/>
          <w:szCs w:val="18"/>
        </w:rPr>
        <w:t> </w:t>
      </w:r>
      <w:r>
        <w:rPr>
          <w:rFonts w:ascii="Verdana" w:hAnsi="Verdana"/>
          <w:i/>
          <w:iCs/>
          <w:color w:val="000000"/>
          <w:sz w:val="18"/>
          <w:szCs w:val="18"/>
        </w:rPr>
        <w:t>Pharisees,</w:t>
      </w:r>
      <w:r>
        <w:rPr>
          <w:rStyle w:val="apple-converted-space"/>
          <w:rFonts w:ascii="Verdana" w:hAnsi="Verdana"/>
          <w:i/>
          <w:iCs/>
          <w:color w:val="000000"/>
          <w:sz w:val="18"/>
          <w:szCs w:val="18"/>
        </w:rPr>
        <w:t> </w:t>
      </w:r>
      <w:r>
        <w:rPr>
          <w:rFonts w:ascii="Verdana" w:hAnsi="Verdana"/>
          <w:color w:val="000000"/>
          <w:sz w:val="18"/>
          <w:szCs w:val="18"/>
        </w:rPr>
        <w:t>(Oxford University Press, 2008)</w:t>
      </w:r>
    </w:p>
    <w:p w14:paraId="02792262" w14:textId="77777777" w:rsidR="002B7A13" w:rsidRDefault="002B7A13" w:rsidP="002B7A13">
      <w:pPr>
        <w:pStyle w:val="NormalWeb"/>
        <w:spacing w:line="480" w:lineRule="auto"/>
        <w:ind w:left="450" w:hanging="450"/>
        <w:rPr>
          <w:rFonts w:ascii="Verdana" w:hAnsi="Verdana"/>
          <w:color w:val="000000"/>
          <w:sz w:val="18"/>
          <w:szCs w:val="18"/>
        </w:rPr>
      </w:pPr>
      <w:r>
        <w:rPr>
          <w:rFonts w:ascii="Verdana" w:hAnsi="Verdana"/>
          <w:color w:val="000000"/>
          <w:sz w:val="18"/>
          <w:szCs w:val="18"/>
        </w:rPr>
        <w:t>Harris, Glyndwr J.,</w:t>
      </w:r>
      <w:r>
        <w:rPr>
          <w:rStyle w:val="apple-converted-space"/>
          <w:rFonts w:ascii="Verdana" w:hAnsi="Verdana"/>
          <w:color w:val="000000"/>
          <w:sz w:val="18"/>
          <w:szCs w:val="18"/>
        </w:rPr>
        <w:t> </w:t>
      </w:r>
      <w:r>
        <w:rPr>
          <w:rFonts w:ascii="Verdana" w:hAnsi="Verdana"/>
          <w:i/>
          <w:iCs/>
          <w:color w:val="000000"/>
          <w:sz w:val="18"/>
          <w:szCs w:val="18"/>
        </w:rPr>
        <w:t>Arweiniad at Iddewiaeth</w:t>
      </w:r>
      <w:r>
        <w:rPr>
          <w:rStyle w:val="apple-converted-space"/>
          <w:rFonts w:ascii="Verdana" w:hAnsi="Verdana"/>
          <w:color w:val="000000"/>
          <w:sz w:val="18"/>
          <w:szCs w:val="18"/>
        </w:rPr>
        <w:t> </w:t>
      </w:r>
      <w:r>
        <w:rPr>
          <w:rFonts w:ascii="Verdana" w:hAnsi="Verdana"/>
          <w:color w:val="000000"/>
          <w:sz w:val="18"/>
          <w:szCs w:val="18"/>
        </w:rPr>
        <w:t xml:space="preserve">(Caernarfon: </w:t>
      </w:r>
      <w:proofErr w:type="gramStart"/>
      <w:r>
        <w:rPr>
          <w:rFonts w:ascii="Verdana" w:hAnsi="Verdana"/>
          <w:color w:val="000000"/>
          <w:sz w:val="18"/>
          <w:szCs w:val="18"/>
        </w:rPr>
        <w:t>Caernarfon :</w:t>
      </w:r>
      <w:proofErr w:type="gramEnd"/>
      <w:r>
        <w:rPr>
          <w:rFonts w:ascii="Verdana" w:hAnsi="Verdana"/>
          <w:color w:val="000000"/>
          <w:sz w:val="18"/>
          <w:szCs w:val="18"/>
        </w:rPr>
        <w:t xml:space="preserve"> Gwasg Pantycelyn, 1983)</w:t>
      </w:r>
    </w:p>
    <w:p w14:paraId="728EC28C" w14:textId="77777777" w:rsidR="00122BBB" w:rsidRPr="00122BBB" w:rsidRDefault="00122BBB" w:rsidP="00122BBB">
      <w:pPr>
        <w:spacing w:before="240" w:line="276" w:lineRule="atLeast"/>
        <w:rPr>
          <w:rFonts w:ascii="Calibri" w:hAnsi="Calibri" w:cs="Times New Roman"/>
          <w:color w:val="000000"/>
        </w:rPr>
      </w:pPr>
      <w:r w:rsidRPr="00122BBB">
        <w:rPr>
          <w:rFonts w:ascii="Calibri" w:hAnsi="Calibri" w:cs="Times New Roman"/>
          <w:color w:val="000000"/>
        </w:rPr>
        <w:t> </w:t>
      </w:r>
      <w:r w:rsidRPr="00122BBB">
        <w:rPr>
          <w:rFonts w:ascii="Calibri" w:hAnsi="Calibri" w:cs="Times New Roman"/>
          <w:color w:val="000000"/>
          <w:lang w:val="cy-GB"/>
        </w:rPr>
        <w:t>Jeremias, J (1969), </w:t>
      </w:r>
      <w:r w:rsidRPr="00122BBB">
        <w:rPr>
          <w:rFonts w:ascii="Calibri" w:hAnsi="Calibri" w:cs="Times New Roman"/>
          <w:i/>
          <w:iCs/>
          <w:color w:val="000000"/>
          <w:lang w:val="cy-GB"/>
        </w:rPr>
        <w:t>Jerusalem in the Time of Jesus</w:t>
      </w:r>
      <w:r w:rsidRPr="00122BBB">
        <w:rPr>
          <w:rFonts w:ascii="Calibri" w:hAnsi="Calibri" w:cs="Times New Roman"/>
          <w:color w:val="000000"/>
          <w:lang w:val="cy-GB"/>
        </w:rPr>
        <w:t>, (Philadelphia: Fortress Press).</w:t>
      </w:r>
    </w:p>
    <w:p w14:paraId="69CA5956" w14:textId="77777777" w:rsidR="00122BBB" w:rsidRPr="00122BBB" w:rsidRDefault="00122BBB" w:rsidP="00122BBB">
      <w:pPr>
        <w:rPr>
          <w:rFonts w:ascii="Times New Roman" w:eastAsia="Times New Roman" w:hAnsi="Times New Roman" w:cs="Times New Roman"/>
        </w:rPr>
      </w:pPr>
    </w:p>
    <w:p w14:paraId="729178B1" w14:textId="77777777" w:rsidR="002B7A13" w:rsidRPr="00732621" w:rsidRDefault="002B7A13" w:rsidP="002B7A13">
      <w:pPr>
        <w:rPr>
          <w:color w:val="000000" w:themeColor="text1"/>
          <w:lang w:val="en-GB"/>
        </w:rPr>
      </w:pPr>
      <w:bookmarkStart w:id="0" w:name="_GoBack"/>
      <w:bookmarkEnd w:id="0"/>
      <w:r>
        <w:t xml:space="preserve">Neuser. Jacon, Chilton. Bruce </w:t>
      </w:r>
      <w:proofErr w:type="gramStart"/>
      <w:r w:rsidRPr="002F48A3">
        <w:rPr>
          <w:i/>
          <w:lang w:val="en-GB"/>
        </w:rPr>
        <w:t>In</w:t>
      </w:r>
      <w:proofErr w:type="gramEnd"/>
      <w:r w:rsidRPr="002F48A3">
        <w:rPr>
          <w:i/>
          <w:lang w:val="en-GB"/>
        </w:rPr>
        <w:t xml:space="preserve"> Quest of Historical Pharisees</w:t>
      </w:r>
      <w:r>
        <w:rPr>
          <w:lang w:val="en-GB"/>
        </w:rPr>
        <w:t xml:space="preserve"> (Baylor university Press, Texas, 2007</w:t>
      </w:r>
    </w:p>
    <w:p w14:paraId="56C4C563" w14:textId="6E4545BE" w:rsidR="002B7A13" w:rsidRDefault="002B7A13" w:rsidP="002B7A13">
      <w:pPr>
        <w:pStyle w:val="NormalWeb"/>
        <w:spacing w:line="480" w:lineRule="auto"/>
        <w:ind w:left="450" w:hanging="450"/>
        <w:rPr>
          <w:rFonts w:ascii="Verdana" w:hAnsi="Verdana"/>
          <w:color w:val="000000"/>
          <w:sz w:val="18"/>
          <w:szCs w:val="18"/>
        </w:rPr>
      </w:pPr>
    </w:p>
    <w:p w14:paraId="7C28BFD9" w14:textId="77777777" w:rsidR="002B7A13" w:rsidRDefault="002B7A13" w:rsidP="002B7A13">
      <w:pPr>
        <w:pStyle w:val="NormalWeb"/>
        <w:spacing w:line="480" w:lineRule="auto"/>
        <w:ind w:left="450" w:hanging="450"/>
        <w:rPr>
          <w:rFonts w:ascii="Verdana" w:hAnsi="Verdana"/>
          <w:color w:val="000000"/>
          <w:sz w:val="18"/>
          <w:szCs w:val="18"/>
        </w:rPr>
      </w:pPr>
      <w:r>
        <w:rPr>
          <w:rFonts w:ascii="Verdana" w:hAnsi="Verdana"/>
          <w:color w:val="000000"/>
          <w:sz w:val="18"/>
          <w:szCs w:val="18"/>
        </w:rPr>
        <w:t>Russell, D. S., (D,</w:t>
      </w:r>
      <w:r>
        <w:rPr>
          <w:rStyle w:val="apple-converted-space"/>
          <w:rFonts w:ascii="Verdana" w:hAnsi="Verdana"/>
          <w:color w:val="000000"/>
          <w:sz w:val="18"/>
          <w:szCs w:val="18"/>
        </w:rPr>
        <w:t> </w:t>
      </w:r>
      <w:r>
        <w:rPr>
          <w:rFonts w:ascii="Verdana" w:hAnsi="Verdana"/>
          <w:i/>
          <w:iCs/>
          <w:color w:val="000000"/>
          <w:sz w:val="18"/>
          <w:szCs w:val="18"/>
        </w:rPr>
        <w:t>From Early Judaism to Early Church</w:t>
      </w:r>
      <w:r>
        <w:rPr>
          <w:rStyle w:val="apple-converted-space"/>
          <w:rFonts w:ascii="Verdana" w:hAnsi="Verdana"/>
          <w:color w:val="000000"/>
          <w:sz w:val="18"/>
          <w:szCs w:val="18"/>
        </w:rPr>
        <w:t> </w:t>
      </w:r>
      <w:r>
        <w:rPr>
          <w:rFonts w:ascii="Verdana" w:hAnsi="Verdana"/>
          <w:color w:val="000000"/>
          <w:sz w:val="18"/>
          <w:szCs w:val="18"/>
        </w:rPr>
        <w:t xml:space="preserve">(London: </w:t>
      </w:r>
      <w:proofErr w:type="gramStart"/>
      <w:r>
        <w:rPr>
          <w:rFonts w:ascii="Verdana" w:hAnsi="Verdana"/>
          <w:color w:val="000000"/>
          <w:sz w:val="18"/>
          <w:szCs w:val="18"/>
        </w:rPr>
        <w:t>London :</w:t>
      </w:r>
      <w:proofErr w:type="gramEnd"/>
      <w:r>
        <w:rPr>
          <w:rFonts w:ascii="Verdana" w:hAnsi="Verdana"/>
          <w:color w:val="000000"/>
          <w:sz w:val="18"/>
          <w:szCs w:val="18"/>
        </w:rPr>
        <w:t xml:space="preserve"> SCM Press, 1986)</w:t>
      </w:r>
    </w:p>
    <w:p w14:paraId="4254EC27" w14:textId="77777777" w:rsidR="002B7A13" w:rsidRDefault="002B7A13" w:rsidP="002B7A13">
      <w:pPr>
        <w:pStyle w:val="NormalWeb"/>
        <w:spacing w:line="480" w:lineRule="auto"/>
        <w:ind w:left="450" w:hanging="450"/>
        <w:rPr>
          <w:rFonts w:ascii="Verdana" w:hAnsi="Verdana"/>
          <w:color w:val="000000"/>
          <w:sz w:val="18"/>
          <w:szCs w:val="18"/>
        </w:rPr>
      </w:pPr>
      <w:r>
        <w:rPr>
          <w:rFonts w:ascii="Verdana" w:hAnsi="Verdana"/>
          <w:color w:val="000000"/>
          <w:sz w:val="18"/>
          <w:szCs w:val="18"/>
        </w:rPr>
        <w:t>Segal, Eliezer,</w:t>
      </w:r>
      <w:r>
        <w:rPr>
          <w:rStyle w:val="apple-converted-space"/>
          <w:rFonts w:ascii="Verdana" w:hAnsi="Verdana"/>
          <w:color w:val="000000"/>
          <w:sz w:val="18"/>
          <w:szCs w:val="18"/>
        </w:rPr>
        <w:t> </w:t>
      </w:r>
      <w:r>
        <w:rPr>
          <w:rFonts w:ascii="Verdana" w:hAnsi="Verdana"/>
          <w:i/>
          <w:iCs/>
          <w:color w:val="000000"/>
          <w:sz w:val="18"/>
          <w:szCs w:val="18"/>
        </w:rPr>
        <w:t>Introducing Judaism</w:t>
      </w:r>
      <w:r>
        <w:rPr>
          <w:rStyle w:val="apple-converted-space"/>
          <w:rFonts w:ascii="Verdana" w:hAnsi="Verdana"/>
          <w:color w:val="000000"/>
          <w:sz w:val="18"/>
          <w:szCs w:val="18"/>
        </w:rPr>
        <w:t> </w:t>
      </w:r>
      <w:r>
        <w:rPr>
          <w:rFonts w:ascii="Verdana" w:hAnsi="Verdana"/>
          <w:color w:val="000000"/>
          <w:sz w:val="18"/>
          <w:szCs w:val="18"/>
        </w:rPr>
        <w:t xml:space="preserve">(London: </w:t>
      </w:r>
      <w:proofErr w:type="gramStart"/>
      <w:r>
        <w:rPr>
          <w:rFonts w:ascii="Verdana" w:hAnsi="Verdana"/>
          <w:color w:val="000000"/>
          <w:sz w:val="18"/>
          <w:szCs w:val="18"/>
        </w:rPr>
        <w:t>London :</w:t>
      </w:r>
      <w:proofErr w:type="gramEnd"/>
      <w:r>
        <w:rPr>
          <w:rFonts w:ascii="Verdana" w:hAnsi="Verdana"/>
          <w:color w:val="000000"/>
          <w:sz w:val="18"/>
          <w:szCs w:val="18"/>
        </w:rPr>
        <w:t xml:space="preserve"> Routledge, 2009)</w:t>
      </w:r>
    </w:p>
    <w:p w14:paraId="28AA904E" w14:textId="51D00314" w:rsidR="002B7A13" w:rsidRPr="00732621" w:rsidRDefault="002B7A13" w:rsidP="004E6BB4">
      <w:pPr>
        <w:rPr>
          <w:color w:val="000000" w:themeColor="text1"/>
          <w:lang w:val="en-GB"/>
        </w:rPr>
      </w:pPr>
    </w:p>
    <w:sectPr w:rsidR="002B7A13" w:rsidRPr="00732621" w:rsidSect="00DD27EF">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32296B" w14:textId="77777777" w:rsidR="00757572" w:rsidRDefault="00757572" w:rsidP="00296549">
      <w:r>
        <w:separator/>
      </w:r>
    </w:p>
  </w:endnote>
  <w:endnote w:type="continuationSeparator" w:id="0">
    <w:p w14:paraId="6A5D1A4F" w14:textId="77777777" w:rsidR="00757572" w:rsidRDefault="00757572" w:rsidP="002965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A55E41" w14:textId="77777777" w:rsidR="00757572" w:rsidRDefault="00757572" w:rsidP="00296549">
      <w:r>
        <w:separator/>
      </w:r>
    </w:p>
  </w:footnote>
  <w:footnote w:type="continuationSeparator" w:id="0">
    <w:p w14:paraId="1DABBDDA" w14:textId="77777777" w:rsidR="00757572" w:rsidRDefault="00757572" w:rsidP="00296549">
      <w:r>
        <w:continuationSeparator/>
      </w:r>
    </w:p>
  </w:footnote>
  <w:footnote w:id="1">
    <w:p w14:paraId="0D7E67A8" w14:textId="77777777" w:rsidR="00296549" w:rsidRPr="00296549" w:rsidRDefault="00296549">
      <w:pPr>
        <w:pStyle w:val="FootnoteText"/>
        <w:rPr>
          <w:lang w:val="en-GB"/>
        </w:rPr>
      </w:pPr>
      <w:r>
        <w:rPr>
          <w:rStyle w:val="FootnoteReference"/>
        </w:rPr>
        <w:footnoteRef/>
      </w:r>
      <w:r>
        <w:t xml:space="preserve"> </w:t>
      </w:r>
      <w:r>
        <w:rPr>
          <w:lang w:val="en-GB"/>
        </w:rPr>
        <w:t xml:space="preserve">Simon Hornblower, Antony Spawforth a Esther </w:t>
      </w:r>
      <w:proofErr w:type="gramStart"/>
      <w:r>
        <w:rPr>
          <w:lang w:val="en-GB"/>
        </w:rPr>
        <w:t xml:space="preserve">Eidinow,  </w:t>
      </w:r>
      <w:r>
        <w:rPr>
          <w:i/>
          <w:lang w:val="en-GB"/>
        </w:rPr>
        <w:t>The</w:t>
      </w:r>
      <w:proofErr w:type="gramEnd"/>
      <w:r>
        <w:rPr>
          <w:i/>
          <w:lang w:val="en-GB"/>
        </w:rPr>
        <w:t xml:space="preserve"> Oxford Classical Dictionary (4ed) </w:t>
      </w:r>
      <w:r>
        <w:rPr>
          <w:lang w:val="en-GB"/>
        </w:rPr>
        <w:t>(Oxford university Press, Oxford, 2012) ebook</w:t>
      </w:r>
    </w:p>
  </w:footnote>
  <w:footnote w:id="2">
    <w:p w14:paraId="240ECE89" w14:textId="6820DD0C" w:rsidR="00CC48E3" w:rsidRPr="002F48A3" w:rsidRDefault="00CC48E3" w:rsidP="002F48A3">
      <w:pPr>
        <w:rPr>
          <w:rFonts w:eastAsia="Times New Roman"/>
        </w:rPr>
      </w:pPr>
      <w:r>
        <w:rPr>
          <w:rStyle w:val="FootnoteReference"/>
        </w:rPr>
        <w:footnoteRef/>
      </w:r>
      <w:r>
        <w:t xml:space="preserve"> </w:t>
      </w:r>
      <w:r w:rsidR="002F48A3" w:rsidRPr="002F48A3">
        <w:rPr>
          <w:rFonts w:ascii="Arial" w:eastAsia="Times New Roman" w:hAnsi="Arial" w:cs="Arial"/>
          <w:color w:val="333333"/>
          <w:sz w:val="22"/>
          <w:szCs w:val="22"/>
          <w:shd w:val="clear" w:color="auto" w:fill="FFFFFF"/>
        </w:rPr>
        <w:t xml:space="preserve">Jacob Neusner, Bruce </w:t>
      </w:r>
      <w:proofErr w:type="gramStart"/>
      <w:r w:rsidR="002F48A3" w:rsidRPr="002F48A3">
        <w:rPr>
          <w:rFonts w:ascii="Arial" w:eastAsia="Times New Roman" w:hAnsi="Arial" w:cs="Arial"/>
          <w:color w:val="333333"/>
          <w:sz w:val="22"/>
          <w:szCs w:val="22"/>
          <w:shd w:val="clear" w:color="auto" w:fill="FFFFFF"/>
        </w:rPr>
        <w:t>Chilton</w:t>
      </w:r>
      <w:r w:rsidR="002F48A3">
        <w:rPr>
          <w:rFonts w:ascii="Arial" w:eastAsia="Times New Roman" w:hAnsi="Arial" w:cs="Arial"/>
          <w:color w:val="333333"/>
          <w:sz w:val="22"/>
          <w:szCs w:val="22"/>
          <w:shd w:val="clear" w:color="auto" w:fill="FFFFFF"/>
        </w:rPr>
        <w:t xml:space="preserve"> </w:t>
      </w:r>
      <w:r w:rsidR="002F48A3">
        <w:rPr>
          <w:lang w:val="en-GB"/>
        </w:rPr>
        <w:t xml:space="preserve"> </w:t>
      </w:r>
      <w:r w:rsidR="002F48A3" w:rsidRPr="002F48A3">
        <w:rPr>
          <w:i/>
          <w:lang w:val="en-GB"/>
        </w:rPr>
        <w:t>In</w:t>
      </w:r>
      <w:proofErr w:type="gramEnd"/>
      <w:r w:rsidR="002F48A3" w:rsidRPr="002F48A3">
        <w:rPr>
          <w:i/>
          <w:lang w:val="en-GB"/>
        </w:rPr>
        <w:t xml:space="preserve"> Quest of Historical Pharisees</w:t>
      </w:r>
      <w:r w:rsidR="002F48A3">
        <w:rPr>
          <w:lang w:val="en-GB"/>
        </w:rPr>
        <w:t xml:space="preserve"> (Baylor university Press, Texas, 2007 t. </w:t>
      </w:r>
      <w:r w:rsidR="00B47AB8">
        <w:rPr>
          <w:lang w:val="en-GB"/>
        </w:rPr>
        <w:t>47 a 48</w:t>
      </w:r>
    </w:p>
  </w:footnote>
  <w:footnote w:id="3">
    <w:p w14:paraId="467215B1" w14:textId="5D8CF1CF" w:rsidR="00EC6B82" w:rsidRPr="00EC6B82" w:rsidRDefault="00EC6B82">
      <w:pPr>
        <w:pStyle w:val="FootnoteText"/>
        <w:rPr>
          <w:lang w:val="en-GB"/>
        </w:rPr>
      </w:pPr>
      <w:r>
        <w:rPr>
          <w:rStyle w:val="FootnoteReference"/>
        </w:rPr>
        <w:footnoteRef/>
      </w:r>
      <w:r>
        <w:t xml:space="preserve"> </w:t>
      </w:r>
      <w:r w:rsidR="00B47AB8" w:rsidRPr="002F48A3">
        <w:rPr>
          <w:rFonts w:ascii="Arial" w:eastAsia="Times New Roman" w:hAnsi="Arial" w:cs="Arial"/>
          <w:color w:val="333333"/>
          <w:sz w:val="22"/>
          <w:szCs w:val="22"/>
          <w:shd w:val="clear" w:color="auto" w:fill="FFFFFF"/>
        </w:rPr>
        <w:t xml:space="preserve">Jacob Neusner, Bruce </w:t>
      </w:r>
      <w:proofErr w:type="gramStart"/>
      <w:r w:rsidR="00B47AB8" w:rsidRPr="002F48A3">
        <w:rPr>
          <w:rFonts w:ascii="Arial" w:eastAsia="Times New Roman" w:hAnsi="Arial" w:cs="Arial"/>
          <w:color w:val="333333"/>
          <w:sz w:val="22"/>
          <w:szCs w:val="22"/>
          <w:shd w:val="clear" w:color="auto" w:fill="FFFFFF"/>
        </w:rPr>
        <w:t>Chilton</w:t>
      </w:r>
      <w:r w:rsidR="00B47AB8">
        <w:rPr>
          <w:rFonts w:ascii="Arial" w:eastAsia="Times New Roman" w:hAnsi="Arial" w:cs="Arial"/>
          <w:color w:val="333333"/>
          <w:sz w:val="22"/>
          <w:szCs w:val="22"/>
          <w:shd w:val="clear" w:color="auto" w:fill="FFFFFF"/>
        </w:rPr>
        <w:t xml:space="preserve"> </w:t>
      </w:r>
      <w:r w:rsidR="00B47AB8">
        <w:rPr>
          <w:lang w:val="en-GB"/>
        </w:rPr>
        <w:t xml:space="preserve"> </w:t>
      </w:r>
      <w:r w:rsidR="00B47AB8" w:rsidRPr="002F48A3">
        <w:rPr>
          <w:i/>
          <w:lang w:val="en-GB"/>
        </w:rPr>
        <w:t>In</w:t>
      </w:r>
      <w:proofErr w:type="gramEnd"/>
      <w:r w:rsidR="00B47AB8" w:rsidRPr="002F48A3">
        <w:rPr>
          <w:i/>
          <w:lang w:val="en-GB"/>
        </w:rPr>
        <w:t xml:space="preserve"> Quest</w:t>
      </w:r>
      <w:r w:rsidR="00B47AB8">
        <w:rPr>
          <w:i/>
          <w:lang w:val="en-GB"/>
        </w:rPr>
        <w:t xml:space="preserve"> t. </w:t>
      </w:r>
      <w:r w:rsidR="00546BB1">
        <w:rPr>
          <w:i/>
          <w:lang w:val="en-GB"/>
        </w:rPr>
        <w:t>50</w:t>
      </w:r>
    </w:p>
  </w:footnote>
  <w:footnote w:id="4">
    <w:p w14:paraId="3FBDA86A" w14:textId="731C1FC9" w:rsidR="00122BBB" w:rsidRPr="00122BBB" w:rsidRDefault="0038060C" w:rsidP="00122BBB">
      <w:pPr>
        <w:pStyle w:val="xmsofootnotetext"/>
        <w:spacing w:before="240" w:beforeAutospacing="0" w:after="0" w:afterAutospacing="0" w:line="276" w:lineRule="atLeast"/>
        <w:rPr>
          <w:rFonts w:ascii="Calibri" w:hAnsi="Calibri"/>
          <w:color w:val="000000"/>
        </w:rPr>
      </w:pPr>
      <w:r>
        <w:rPr>
          <w:rStyle w:val="FootnoteReference"/>
        </w:rPr>
        <w:footnoteRef/>
      </w:r>
      <w:r w:rsidR="00FB2D58">
        <w:t xml:space="preserve"> </w:t>
      </w:r>
      <w:r w:rsidR="00122BBB" w:rsidRPr="00122BBB">
        <w:rPr>
          <w:rFonts w:ascii="Calibri" w:hAnsi="Calibri"/>
          <w:color w:val="000000"/>
        </w:rPr>
        <w:t> </w:t>
      </w:r>
      <w:r w:rsidR="00122BBB">
        <w:rPr>
          <w:rFonts w:ascii="Calibri" w:hAnsi="Calibri"/>
          <w:color w:val="000000"/>
        </w:rPr>
        <w:t xml:space="preserve">J. </w:t>
      </w:r>
      <w:r w:rsidR="00122BBB">
        <w:rPr>
          <w:rFonts w:ascii="Calibri" w:hAnsi="Calibri"/>
          <w:color w:val="000000"/>
          <w:lang w:val="cy-GB"/>
        </w:rPr>
        <w:t>Jeremias</w:t>
      </w:r>
      <w:r w:rsidR="00122BBB" w:rsidRPr="00122BBB">
        <w:rPr>
          <w:rFonts w:ascii="Calibri" w:hAnsi="Calibri"/>
          <w:color w:val="000000"/>
          <w:lang w:val="cy-GB"/>
        </w:rPr>
        <w:t xml:space="preserve"> (1969), </w:t>
      </w:r>
      <w:r w:rsidR="00122BBB" w:rsidRPr="00122BBB">
        <w:rPr>
          <w:rFonts w:ascii="Calibri" w:hAnsi="Calibri"/>
          <w:i/>
          <w:iCs/>
          <w:color w:val="000000"/>
          <w:lang w:val="cy-GB"/>
        </w:rPr>
        <w:t>Jerusalem in the Time of Jesus</w:t>
      </w:r>
      <w:r w:rsidR="00122BBB" w:rsidRPr="00122BBB">
        <w:rPr>
          <w:rFonts w:ascii="Calibri" w:hAnsi="Calibri"/>
          <w:color w:val="000000"/>
          <w:lang w:val="cy-GB"/>
        </w:rPr>
        <w:t>, (Philadelphia: Fortress Press).</w:t>
      </w:r>
    </w:p>
    <w:p w14:paraId="69F2BAE7" w14:textId="77777777" w:rsidR="00122BBB" w:rsidRPr="00122BBB" w:rsidRDefault="00122BBB" w:rsidP="00122BBB">
      <w:pPr>
        <w:rPr>
          <w:rFonts w:ascii="Times New Roman" w:eastAsia="Times New Roman" w:hAnsi="Times New Roman" w:cs="Times New Roman"/>
        </w:rPr>
      </w:pPr>
    </w:p>
    <w:p w14:paraId="5A300D49" w14:textId="21F499D1" w:rsidR="00FB2D58" w:rsidRPr="00FB2D58" w:rsidRDefault="00E22422">
      <w:pPr>
        <w:pStyle w:val="FootnoteText"/>
        <w:rPr>
          <w:lang w:val="en-GB"/>
        </w:rPr>
      </w:pPr>
      <w:r>
        <w:rPr>
          <w:lang w:val="en-GB"/>
        </w:rPr>
        <w:t>t. 254-256</w:t>
      </w:r>
    </w:p>
  </w:footnote>
  <w:footnote w:id="5">
    <w:p w14:paraId="4D9E294D" w14:textId="354EA298" w:rsidR="00174B4E" w:rsidRPr="00174B4E" w:rsidRDefault="00174B4E">
      <w:pPr>
        <w:pStyle w:val="FootnoteText"/>
        <w:rPr>
          <w:lang w:val="en-GB"/>
        </w:rPr>
      </w:pPr>
      <w:r>
        <w:rPr>
          <w:rStyle w:val="FootnoteReference"/>
        </w:rPr>
        <w:footnoteRef/>
      </w:r>
      <w:r>
        <w:t xml:space="preserve"> </w:t>
      </w:r>
      <w:r>
        <w:rPr>
          <w:lang w:val="en-GB"/>
        </w:rPr>
        <w:t>Elizer</w:t>
      </w:r>
      <w:r w:rsidR="00E22422">
        <w:rPr>
          <w:lang w:val="en-GB"/>
        </w:rPr>
        <w:tab/>
        <w:t xml:space="preserve">Siegal </w:t>
      </w:r>
      <w:r w:rsidR="00152777">
        <w:rPr>
          <w:i/>
          <w:lang w:val="en-GB"/>
        </w:rPr>
        <w:t xml:space="preserve">introducing Judiasm </w:t>
      </w:r>
      <w:r w:rsidR="00152777">
        <w:rPr>
          <w:lang w:val="en-GB"/>
        </w:rPr>
        <w:t xml:space="preserve">(Routledge, Oxon, </w:t>
      </w:r>
      <w:proofErr w:type="gramStart"/>
      <w:r w:rsidR="00152777">
        <w:rPr>
          <w:lang w:val="en-GB"/>
        </w:rPr>
        <w:t>2009)t</w:t>
      </w:r>
      <w:proofErr w:type="gramEnd"/>
      <w:r>
        <w:rPr>
          <w:lang w:val="en-GB"/>
        </w:rPr>
        <w:t xml:space="preserve"> 183</w:t>
      </w:r>
    </w:p>
  </w:footnote>
  <w:footnote w:id="6">
    <w:p w14:paraId="5D800AA8" w14:textId="5AAB57A6" w:rsidR="00174B4E" w:rsidRPr="00174B4E" w:rsidRDefault="00174B4E">
      <w:pPr>
        <w:pStyle w:val="FootnoteText"/>
        <w:rPr>
          <w:lang w:val="en-GB"/>
        </w:rPr>
      </w:pPr>
      <w:r>
        <w:rPr>
          <w:rStyle w:val="FootnoteReference"/>
        </w:rPr>
        <w:footnoteRef/>
      </w:r>
      <w:r>
        <w:t xml:space="preserve"> </w:t>
      </w:r>
      <w:r w:rsidR="00152777">
        <w:rPr>
          <w:lang w:val="en-GB"/>
        </w:rPr>
        <w:t>Elizer</w:t>
      </w:r>
      <w:r w:rsidR="00152777">
        <w:rPr>
          <w:lang w:val="en-GB"/>
        </w:rPr>
        <w:tab/>
        <w:t xml:space="preserve">Siegal </w:t>
      </w:r>
      <w:r w:rsidR="00152777">
        <w:rPr>
          <w:i/>
          <w:lang w:val="en-GB"/>
        </w:rPr>
        <w:t>introducing Judiasm t.</w:t>
      </w:r>
      <w:r>
        <w:rPr>
          <w:lang w:val="en-GB"/>
        </w:rPr>
        <w:t>183</w:t>
      </w:r>
    </w:p>
  </w:footnote>
  <w:footnote w:id="7">
    <w:p w14:paraId="5F8255CE" w14:textId="5B8CB29C" w:rsidR="00671D71" w:rsidRPr="00671D71" w:rsidRDefault="00671D71">
      <w:pPr>
        <w:pStyle w:val="FootnoteText"/>
        <w:rPr>
          <w:lang w:val="en-GB"/>
        </w:rPr>
      </w:pPr>
      <w:r>
        <w:rPr>
          <w:rStyle w:val="FootnoteReference"/>
        </w:rPr>
        <w:footnoteRef/>
      </w:r>
      <w:r>
        <w:t xml:space="preserve"> </w:t>
      </w:r>
      <w:r w:rsidR="00152777">
        <w:rPr>
          <w:lang w:val="en-GB"/>
        </w:rPr>
        <w:t>Elizer</w:t>
      </w:r>
      <w:r w:rsidR="00152777">
        <w:rPr>
          <w:lang w:val="en-GB"/>
        </w:rPr>
        <w:tab/>
        <w:t xml:space="preserve">Siegal </w:t>
      </w:r>
      <w:r w:rsidR="00152777">
        <w:rPr>
          <w:i/>
          <w:lang w:val="en-GB"/>
        </w:rPr>
        <w:t>introducing Judiasm t.148-49</w:t>
      </w:r>
    </w:p>
  </w:footnote>
  <w:footnote w:id="8">
    <w:p w14:paraId="25C43C04" w14:textId="2F9B66C5" w:rsidR="00033016" w:rsidRPr="00033016" w:rsidRDefault="00033016">
      <w:pPr>
        <w:pStyle w:val="FootnoteText"/>
        <w:rPr>
          <w:lang w:val="en-GB"/>
        </w:rPr>
      </w:pPr>
      <w:r>
        <w:rPr>
          <w:rStyle w:val="FootnoteReference"/>
        </w:rPr>
        <w:footnoteRef/>
      </w:r>
      <w:r>
        <w:t xml:space="preserve"> </w:t>
      </w:r>
      <w:r w:rsidR="00152777">
        <w:rPr>
          <w:lang w:val="en-GB"/>
        </w:rPr>
        <w:t>Elizer</w:t>
      </w:r>
      <w:r w:rsidR="00152777">
        <w:rPr>
          <w:lang w:val="en-GB"/>
        </w:rPr>
        <w:tab/>
        <w:t xml:space="preserve">Siegal </w:t>
      </w:r>
      <w:r w:rsidR="00152777">
        <w:rPr>
          <w:i/>
          <w:lang w:val="en-GB"/>
        </w:rPr>
        <w:t>introducing Judiasm t.182-83</w:t>
      </w:r>
    </w:p>
  </w:footnote>
  <w:footnote w:id="9">
    <w:p w14:paraId="65018EC9" w14:textId="7BDB1914" w:rsidR="009F415D" w:rsidRPr="00152777" w:rsidRDefault="009F415D">
      <w:pPr>
        <w:pStyle w:val="FootnoteText"/>
        <w:rPr>
          <w:i/>
          <w:lang w:val="en-GB"/>
        </w:rPr>
      </w:pPr>
      <w:r>
        <w:rPr>
          <w:rStyle w:val="FootnoteReference"/>
        </w:rPr>
        <w:footnoteRef/>
      </w:r>
      <w:r>
        <w:t xml:space="preserve"> </w:t>
      </w:r>
      <w:r>
        <w:rPr>
          <w:lang w:val="en-GB"/>
        </w:rPr>
        <w:t>J. Glyndwr Harris</w:t>
      </w:r>
      <w:r w:rsidR="00152777">
        <w:rPr>
          <w:i/>
          <w:lang w:val="en-GB"/>
        </w:rPr>
        <w:t xml:space="preserve"> Arweiniad at </w:t>
      </w:r>
      <w:proofErr w:type="gramStart"/>
      <w:r w:rsidR="00152777">
        <w:rPr>
          <w:i/>
          <w:lang w:val="en-GB"/>
        </w:rPr>
        <w:t xml:space="preserve">iddewiaeth </w:t>
      </w:r>
      <w:r w:rsidR="00152777">
        <w:rPr>
          <w:lang w:val="en-GB"/>
        </w:rPr>
        <w:t xml:space="preserve"> (</w:t>
      </w:r>
      <w:proofErr w:type="gramEnd"/>
      <w:r w:rsidR="00152777">
        <w:rPr>
          <w:lang w:val="en-GB"/>
        </w:rPr>
        <w:t>Wasg Pantycelyn, Caernarfon, 1983) t. 137-38</w:t>
      </w:r>
      <w:r w:rsidR="00152777">
        <w:rPr>
          <w:i/>
          <w:lang w:val="en-GB"/>
        </w:rPr>
        <w:t xml:space="preserve"> </w:t>
      </w:r>
    </w:p>
  </w:footnote>
  <w:footnote w:id="10">
    <w:p w14:paraId="3B3D10A4" w14:textId="3B0EF25E" w:rsidR="001A25B7" w:rsidRPr="001A25B7" w:rsidRDefault="001A25B7">
      <w:pPr>
        <w:pStyle w:val="FootnoteText"/>
        <w:rPr>
          <w:lang w:val="en-GB"/>
        </w:rPr>
      </w:pPr>
      <w:r>
        <w:rPr>
          <w:rStyle w:val="FootnoteReference"/>
        </w:rPr>
        <w:footnoteRef/>
      </w:r>
      <w:r>
        <w:t xml:space="preserve"> </w:t>
      </w:r>
      <w:r w:rsidR="00152777">
        <w:rPr>
          <w:lang w:val="en-GB"/>
        </w:rPr>
        <w:t>J. Glyndwr Harris</w:t>
      </w:r>
      <w:r w:rsidR="00152777">
        <w:rPr>
          <w:i/>
          <w:lang w:val="en-GB"/>
        </w:rPr>
        <w:t xml:space="preserve"> Arweiniad at </w:t>
      </w:r>
      <w:proofErr w:type="gramStart"/>
      <w:r w:rsidR="00152777">
        <w:rPr>
          <w:i/>
          <w:lang w:val="en-GB"/>
        </w:rPr>
        <w:t xml:space="preserve">iddewiaeth </w:t>
      </w:r>
      <w:r w:rsidR="00152777">
        <w:rPr>
          <w:lang w:val="en-GB"/>
        </w:rPr>
        <w:t xml:space="preserve"> t.137</w:t>
      </w:r>
      <w:proofErr w:type="gramEnd"/>
      <w:r w:rsidR="00152777">
        <w:rPr>
          <w:lang w:val="en-GB"/>
        </w:rPr>
        <w:t>-38</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F84411E"/>
    <w:multiLevelType w:val="hybridMultilevel"/>
    <w:tmpl w:val="C8167B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6DCB"/>
    <w:rsid w:val="00033016"/>
    <w:rsid w:val="00071668"/>
    <w:rsid w:val="00080757"/>
    <w:rsid w:val="000A1372"/>
    <w:rsid w:val="00122BBB"/>
    <w:rsid w:val="001251E1"/>
    <w:rsid w:val="00131B10"/>
    <w:rsid w:val="00152777"/>
    <w:rsid w:val="0015529C"/>
    <w:rsid w:val="00170F1F"/>
    <w:rsid w:val="00174B4E"/>
    <w:rsid w:val="00175CE0"/>
    <w:rsid w:val="001A25B7"/>
    <w:rsid w:val="001D3BA8"/>
    <w:rsid w:val="00262DA0"/>
    <w:rsid w:val="00267A82"/>
    <w:rsid w:val="00296549"/>
    <w:rsid w:val="002B7A13"/>
    <w:rsid w:val="002C20B3"/>
    <w:rsid w:val="002F48A3"/>
    <w:rsid w:val="00304E61"/>
    <w:rsid w:val="00365126"/>
    <w:rsid w:val="00367172"/>
    <w:rsid w:val="0038060C"/>
    <w:rsid w:val="00380AC9"/>
    <w:rsid w:val="0040362A"/>
    <w:rsid w:val="00424873"/>
    <w:rsid w:val="004639F9"/>
    <w:rsid w:val="00491655"/>
    <w:rsid w:val="004B2A28"/>
    <w:rsid w:val="004E14DF"/>
    <w:rsid w:val="004E6BB4"/>
    <w:rsid w:val="0054633A"/>
    <w:rsid w:val="00546BB1"/>
    <w:rsid w:val="005573BB"/>
    <w:rsid w:val="00572D90"/>
    <w:rsid w:val="00575BA2"/>
    <w:rsid w:val="0059272D"/>
    <w:rsid w:val="005A5891"/>
    <w:rsid w:val="005B3F69"/>
    <w:rsid w:val="005B4337"/>
    <w:rsid w:val="005D38F3"/>
    <w:rsid w:val="005E7DB7"/>
    <w:rsid w:val="00622706"/>
    <w:rsid w:val="006443F6"/>
    <w:rsid w:val="00671D71"/>
    <w:rsid w:val="006729A0"/>
    <w:rsid w:val="00686CC3"/>
    <w:rsid w:val="006D1724"/>
    <w:rsid w:val="006D5072"/>
    <w:rsid w:val="00710B83"/>
    <w:rsid w:val="00714D39"/>
    <w:rsid w:val="00716C7E"/>
    <w:rsid w:val="007261BD"/>
    <w:rsid w:val="00732621"/>
    <w:rsid w:val="00757572"/>
    <w:rsid w:val="007F7846"/>
    <w:rsid w:val="00830487"/>
    <w:rsid w:val="0085560A"/>
    <w:rsid w:val="00855962"/>
    <w:rsid w:val="008937B4"/>
    <w:rsid w:val="0090187B"/>
    <w:rsid w:val="00941508"/>
    <w:rsid w:val="00944032"/>
    <w:rsid w:val="0099632B"/>
    <w:rsid w:val="009963C4"/>
    <w:rsid w:val="009B6B4A"/>
    <w:rsid w:val="009F415D"/>
    <w:rsid w:val="00A25473"/>
    <w:rsid w:val="00A72CC1"/>
    <w:rsid w:val="00B268AD"/>
    <w:rsid w:val="00B47AB8"/>
    <w:rsid w:val="00B5627B"/>
    <w:rsid w:val="00B9176A"/>
    <w:rsid w:val="00BC3721"/>
    <w:rsid w:val="00BC4E0E"/>
    <w:rsid w:val="00C01909"/>
    <w:rsid w:val="00C46F6D"/>
    <w:rsid w:val="00C76E95"/>
    <w:rsid w:val="00C92A13"/>
    <w:rsid w:val="00CC48E3"/>
    <w:rsid w:val="00CF2590"/>
    <w:rsid w:val="00D14B99"/>
    <w:rsid w:val="00D14CE9"/>
    <w:rsid w:val="00D34E42"/>
    <w:rsid w:val="00D46DCB"/>
    <w:rsid w:val="00D67343"/>
    <w:rsid w:val="00DA6E24"/>
    <w:rsid w:val="00DD27EF"/>
    <w:rsid w:val="00DE7C1F"/>
    <w:rsid w:val="00E1159F"/>
    <w:rsid w:val="00E22422"/>
    <w:rsid w:val="00E667FC"/>
    <w:rsid w:val="00EC6B82"/>
    <w:rsid w:val="00EE0E30"/>
    <w:rsid w:val="00F249F6"/>
    <w:rsid w:val="00FA60D6"/>
    <w:rsid w:val="00FB2D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78D524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96549"/>
  </w:style>
  <w:style w:type="character" w:customStyle="1" w:styleId="FootnoteTextChar">
    <w:name w:val="Footnote Text Char"/>
    <w:basedOn w:val="DefaultParagraphFont"/>
    <w:link w:val="FootnoteText"/>
    <w:uiPriority w:val="99"/>
    <w:rsid w:val="00296549"/>
  </w:style>
  <w:style w:type="character" w:styleId="FootnoteReference">
    <w:name w:val="footnote reference"/>
    <w:basedOn w:val="DefaultParagraphFont"/>
    <w:uiPriority w:val="99"/>
    <w:unhideWhenUsed/>
    <w:rsid w:val="00296549"/>
    <w:rPr>
      <w:vertAlign w:val="superscript"/>
    </w:rPr>
  </w:style>
  <w:style w:type="paragraph" w:styleId="ListParagraph">
    <w:name w:val="List Paragraph"/>
    <w:basedOn w:val="Normal"/>
    <w:uiPriority w:val="34"/>
    <w:qFormat/>
    <w:rsid w:val="00B268AD"/>
    <w:pPr>
      <w:ind w:left="720"/>
      <w:contextualSpacing/>
    </w:pPr>
  </w:style>
  <w:style w:type="paragraph" w:styleId="NormalWeb">
    <w:name w:val="Normal (Web)"/>
    <w:basedOn w:val="Normal"/>
    <w:uiPriority w:val="99"/>
    <w:semiHidden/>
    <w:unhideWhenUsed/>
    <w:rsid w:val="002B7A13"/>
    <w:pPr>
      <w:spacing w:before="100" w:beforeAutospacing="1" w:after="100" w:afterAutospacing="1"/>
    </w:pPr>
    <w:rPr>
      <w:rFonts w:ascii="Times New Roman" w:hAnsi="Times New Roman" w:cs="Times New Roman"/>
    </w:rPr>
  </w:style>
  <w:style w:type="character" w:customStyle="1" w:styleId="apple-converted-space">
    <w:name w:val="apple-converted-space"/>
    <w:basedOn w:val="DefaultParagraphFont"/>
    <w:rsid w:val="002B7A13"/>
  </w:style>
  <w:style w:type="paragraph" w:customStyle="1" w:styleId="xmsofootnotetext">
    <w:name w:val="x_msofootnotetext"/>
    <w:basedOn w:val="Normal"/>
    <w:rsid w:val="00122BBB"/>
    <w:pPr>
      <w:spacing w:before="100" w:beforeAutospacing="1" w:after="100" w:afterAutospacing="1"/>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885688">
      <w:bodyDiv w:val="1"/>
      <w:marLeft w:val="0"/>
      <w:marRight w:val="0"/>
      <w:marTop w:val="0"/>
      <w:marBottom w:val="0"/>
      <w:divBdr>
        <w:top w:val="none" w:sz="0" w:space="0" w:color="auto"/>
        <w:left w:val="none" w:sz="0" w:space="0" w:color="auto"/>
        <w:bottom w:val="none" w:sz="0" w:space="0" w:color="auto"/>
        <w:right w:val="none" w:sz="0" w:space="0" w:color="auto"/>
      </w:divBdr>
    </w:div>
    <w:div w:id="104927820">
      <w:bodyDiv w:val="1"/>
      <w:marLeft w:val="0"/>
      <w:marRight w:val="0"/>
      <w:marTop w:val="0"/>
      <w:marBottom w:val="0"/>
      <w:divBdr>
        <w:top w:val="none" w:sz="0" w:space="0" w:color="auto"/>
        <w:left w:val="none" w:sz="0" w:space="0" w:color="auto"/>
        <w:bottom w:val="none" w:sz="0" w:space="0" w:color="auto"/>
        <w:right w:val="none" w:sz="0" w:space="0" w:color="auto"/>
      </w:divBdr>
    </w:div>
    <w:div w:id="504979329">
      <w:bodyDiv w:val="1"/>
      <w:marLeft w:val="0"/>
      <w:marRight w:val="0"/>
      <w:marTop w:val="0"/>
      <w:marBottom w:val="0"/>
      <w:divBdr>
        <w:top w:val="none" w:sz="0" w:space="0" w:color="auto"/>
        <w:left w:val="none" w:sz="0" w:space="0" w:color="auto"/>
        <w:bottom w:val="none" w:sz="0" w:space="0" w:color="auto"/>
        <w:right w:val="none" w:sz="0" w:space="0" w:color="auto"/>
      </w:divBdr>
    </w:div>
    <w:div w:id="622686339">
      <w:bodyDiv w:val="1"/>
      <w:marLeft w:val="0"/>
      <w:marRight w:val="0"/>
      <w:marTop w:val="0"/>
      <w:marBottom w:val="0"/>
      <w:divBdr>
        <w:top w:val="none" w:sz="0" w:space="0" w:color="auto"/>
        <w:left w:val="none" w:sz="0" w:space="0" w:color="auto"/>
        <w:bottom w:val="none" w:sz="0" w:space="0" w:color="auto"/>
        <w:right w:val="none" w:sz="0" w:space="0" w:color="auto"/>
      </w:divBdr>
    </w:div>
    <w:div w:id="724527122">
      <w:bodyDiv w:val="1"/>
      <w:marLeft w:val="0"/>
      <w:marRight w:val="0"/>
      <w:marTop w:val="0"/>
      <w:marBottom w:val="0"/>
      <w:divBdr>
        <w:top w:val="none" w:sz="0" w:space="0" w:color="auto"/>
        <w:left w:val="none" w:sz="0" w:space="0" w:color="auto"/>
        <w:bottom w:val="none" w:sz="0" w:space="0" w:color="auto"/>
        <w:right w:val="none" w:sz="0" w:space="0" w:color="auto"/>
      </w:divBdr>
    </w:div>
    <w:div w:id="21297361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74FD914-EE24-7D4F-B8F0-2E4F0D757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6</Pages>
  <Words>2498</Words>
  <Characters>14241</Characters>
  <Application>Microsoft Macintosh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16706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cp:lastModifiedBy>
  <cp:revision>12</cp:revision>
  <dcterms:created xsi:type="dcterms:W3CDTF">2017-12-04T10:33:00Z</dcterms:created>
  <dcterms:modified xsi:type="dcterms:W3CDTF">2017-12-08T10:14:00Z</dcterms:modified>
</cp:coreProperties>
</file>