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49048E" w14:textId="77777777" w:rsidR="00362626" w:rsidRDefault="00362626"/>
    <w:p w14:paraId="2E4027CA" w14:textId="77777777" w:rsidR="00316252" w:rsidRPr="0051457C" w:rsidRDefault="00316252" w:rsidP="00316252">
      <w:pPr>
        <w:pStyle w:val="NormalWeb"/>
        <w:rPr>
          <w:rStyle w:val="Strong"/>
          <w:rFonts w:ascii="Arial" w:hAnsi="Arial" w:cs="Arial"/>
          <w:color w:val="000000"/>
          <w:sz w:val="36"/>
          <w:szCs w:val="36"/>
        </w:rPr>
      </w:pPr>
      <w:r w:rsidRPr="0051457C">
        <w:rPr>
          <w:rStyle w:val="Strong"/>
          <w:rFonts w:ascii="Arial" w:hAnsi="Arial" w:cs="Arial"/>
          <w:color w:val="000000"/>
          <w:sz w:val="36"/>
          <w:szCs w:val="36"/>
        </w:rPr>
        <w:t>Student Name:</w:t>
      </w:r>
      <w:r w:rsidRPr="0051457C">
        <w:rPr>
          <w:rFonts w:ascii="Arial" w:hAnsi="Arial" w:cs="Arial"/>
          <w:color w:val="000000"/>
          <w:sz w:val="36"/>
          <w:szCs w:val="36"/>
        </w:rPr>
        <w:t xml:space="preserve"> </w:t>
      </w:r>
      <w:r w:rsidRPr="00E4636E">
        <w:rPr>
          <w:rFonts w:ascii="Arial" w:hAnsi="Arial" w:cs="Arial"/>
          <w:b/>
          <w:bCs/>
          <w:color w:val="000000"/>
          <w:sz w:val="36"/>
          <w:szCs w:val="36"/>
        </w:rPr>
        <w:t>Precious</w:t>
      </w:r>
      <w:r w:rsidRPr="0051457C">
        <w:rPr>
          <w:rFonts w:ascii="Arial" w:hAnsi="Arial" w:cs="Arial"/>
          <w:color w:val="000000"/>
          <w:sz w:val="36"/>
          <w:szCs w:val="36"/>
        </w:rPr>
        <w:t xml:space="preserve"> </w:t>
      </w:r>
      <w:r w:rsidRPr="0051457C">
        <w:rPr>
          <w:rStyle w:val="Strong"/>
          <w:rFonts w:ascii="Arial" w:hAnsi="Arial" w:cs="Arial"/>
          <w:color w:val="000000"/>
          <w:sz w:val="36"/>
          <w:szCs w:val="36"/>
        </w:rPr>
        <w:t>Grant Whittaker</w:t>
      </w:r>
    </w:p>
    <w:p w14:paraId="6E43352A" w14:textId="6CC0D50F" w:rsidR="00316252" w:rsidRPr="0051457C" w:rsidRDefault="00316252" w:rsidP="00316252">
      <w:pPr>
        <w:pStyle w:val="NormalWeb"/>
        <w:rPr>
          <w:rStyle w:val="Strong"/>
          <w:rFonts w:ascii="Arial" w:hAnsi="Arial" w:cs="Arial"/>
          <w:color w:val="000000"/>
          <w:sz w:val="36"/>
          <w:szCs w:val="36"/>
        </w:rPr>
      </w:pPr>
      <w:r w:rsidRPr="0051457C">
        <w:rPr>
          <w:rStyle w:val="Strong"/>
          <w:rFonts w:ascii="Arial" w:hAnsi="Arial" w:cs="Arial"/>
          <w:color w:val="000000"/>
          <w:sz w:val="36"/>
          <w:szCs w:val="36"/>
        </w:rPr>
        <w:t>Student number:</w:t>
      </w:r>
      <w:r w:rsidR="00E4636E">
        <w:rPr>
          <w:rStyle w:val="Strong"/>
          <w:rFonts w:ascii="Arial" w:hAnsi="Arial" w:cs="Arial"/>
          <w:color w:val="000000"/>
          <w:sz w:val="36"/>
          <w:szCs w:val="36"/>
        </w:rPr>
        <w:t xml:space="preserve"> </w:t>
      </w:r>
      <w:r w:rsidRPr="0051457C">
        <w:rPr>
          <w:rStyle w:val="Strong"/>
          <w:rFonts w:ascii="Arial" w:hAnsi="Arial" w:cs="Arial"/>
          <w:color w:val="000000"/>
          <w:sz w:val="36"/>
          <w:szCs w:val="36"/>
        </w:rPr>
        <w:t>2412252</w:t>
      </w:r>
    </w:p>
    <w:p w14:paraId="235B82B9" w14:textId="3575E596" w:rsidR="00316252" w:rsidRPr="0051457C" w:rsidRDefault="00316252" w:rsidP="00316252">
      <w:pPr>
        <w:pStyle w:val="NormalWeb"/>
        <w:rPr>
          <w:rStyle w:val="Strong"/>
          <w:rFonts w:ascii="Arial" w:hAnsi="Arial" w:cs="Arial"/>
          <w:color w:val="000000"/>
          <w:sz w:val="36"/>
          <w:szCs w:val="36"/>
        </w:rPr>
      </w:pPr>
      <w:r w:rsidRPr="0051457C">
        <w:rPr>
          <w:rStyle w:val="Strong"/>
          <w:rFonts w:ascii="Arial" w:hAnsi="Arial" w:cs="Arial"/>
          <w:color w:val="000000"/>
          <w:sz w:val="36"/>
          <w:szCs w:val="36"/>
        </w:rPr>
        <w:t xml:space="preserve">Module code: </w:t>
      </w:r>
      <w:r w:rsidR="009A6222">
        <w:rPr>
          <w:rStyle w:val="Strong"/>
          <w:rFonts w:ascii="Arial" w:hAnsi="Arial" w:cs="Arial"/>
          <w:color w:val="000000"/>
          <w:sz w:val="36"/>
          <w:szCs w:val="36"/>
        </w:rPr>
        <w:t>BM</w:t>
      </w:r>
      <w:r w:rsidR="008A5BDB">
        <w:rPr>
          <w:rStyle w:val="Strong"/>
          <w:rFonts w:ascii="Arial" w:hAnsi="Arial" w:cs="Arial"/>
          <w:color w:val="000000"/>
          <w:sz w:val="36"/>
          <w:szCs w:val="36"/>
        </w:rPr>
        <w:t>HP6026</w:t>
      </w:r>
    </w:p>
    <w:p w14:paraId="08B2AD6E" w14:textId="4F436C5C" w:rsidR="00316252" w:rsidRPr="0051457C" w:rsidRDefault="00316252" w:rsidP="00316252">
      <w:pPr>
        <w:pStyle w:val="NormalWeb"/>
        <w:rPr>
          <w:rStyle w:val="Strong"/>
          <w:rFonts w:ascii="Arial" w:hAnsi="Arial" w:cs="Arial"/>
          <w:color w:val="000000"/>
          <w:sz w:val="36"/>
          <w:szCs w:val="36"/>
        </w:rPr>
      </w:pPr>
      <w:r w:rsidRPr="0051457C">
        <w:rPr>
          <w:rStyle w:val="Strong"/>
          <w:rFonts w:ascii="Arial" w:hAnsi="Arial" w:cs="Arial"/>
          <w:color w:val="000000"/>
          <w:sz w:val="36"/>
          <w:szCs w:val="36"/>
        </w:rPr>
        <w:t>Module</w:t>
      </w:r>
      <w:r w:rsidR="00E4636E">
        <w:rPr>
          <w:rStyle w:val="Strong"/>
          <w:rFonts w:ascii="Arial" w:hAnsi="Arial" w:cs="Arial"/>
          <w:color w:val="000000"/>
          <w:sz w:val="36"/>
          <w:szCs w:val="36"/>
        </w:rPr>
        <w:t>:</w:t>
      </w:r>
      <w:r w:rsidRPr="0051457C">
        <w:rPr>
          <w:rStyle w:val="Strong"/>
          <w:rFonts w:ascii="Arial" w:hAnsi="Arial" w:cs="Arial"/>
          <w:color w:val="000000"/>
          <w:sz w:val="36"/>
          <w:szCs w:val="36"/>
        </w:rPr>
        <w:t xml:space="preserve"> </w:t>
      </w:r>
      <w:r w:rsidR="008A5BDB">
        <w:rPr>
          <w:rStyle w:val="Strong"/>
          <w:rFonts w:ascii="Arial" w:hAnsi="Arial" w:cs="Arial"/>
          <w:color w:val="000000"/>
          <w:sz w:val="36"/>
          <w:szCs w:val="36"/>
        </w:rPr>
        <w:t>Dig</w:t>
      </w:r>
      <w:r w:rsidR="00AF23E8">
        <w:rPr>
          <w:rStyle w:val="Strong"/>
          <w:rFonts w:ascii="Arial" w:hAnsi="Arial" w:cs="Arial"/>
          <w:color w:val="000000"/>
          <w:sz w:val="36"/>
          <w:szCs w:val="36"/>
        </w:rPr>
        <w:t>ital Trans</w:t>
      </w:r>
      <w:r w:rsidR="00574C7E">
        <w:rPr>
          <w:rStyle w:val="Strong"/>
          <w:rFonts w:ascii="Arial" w:hAnsi="Arial" w:cs="Arial"/>
          <w:color w:val="000000"/>
          <w:sz w:val="36"/>
          <w:szCs w:val="36"/>
        </w:rPr>
        <w:t>formation in the health and social care</w:t>
      </w:r>
    </w:p>
    <w:p w14:paraId="15C121DB" w14:textId="0CCD666E" w:rsidR="00E4636E" w:rsidRDefault="00316252" w:rsidP="00316252">
      <w:pPr>
        <w:pStyle w:val="NormalWeb"/>
        <w:rPr>
          <w:rStyle w:val="Strong"/>
          <w:rFonts w:ascii="Arial" w:hAnsi="Arial" w:cs="Arial"/>
          <w:color w:val="000000"/>
          <w:sz w:val="36"/>
          <w:szCs w:val="36"/>
        </w:rPr>
      </w:pPr>
      <w:r w:rsidRPr="0051457C">
        <w:rPr>
          <w:rStyle w:val="Strong"/>
          <w:rFonts w:ascii="Arial" w:hAnsi="Arial" w:cs="Arial"/>
          <w:color w:val="000000"/>
          <w:sz w:val="36"/>
          <w:szCs w:val="36"/>
        </w:rPr>
        <w:t>Assignment Title:</w:t>
      </w:r>
      <w:r w:rsidR="008263DB">
        <w:rPr>
          <w:rStyle w:val="Strong"/>
          <w:rFonts w:ascii="Arial" w:hAnsi="Arial" w:cs="Arial"/>
          <w:color w:val="000000"/>
          <w:sz w:val="36"/>
          <w:szCs w:val="36"/>
        </w:rPr>
        <w:t xml:space="preserve"> </w:t>
      </w:r>
      <w:r w:rsidR="0033145D">
        <w:rPr>
          <w:rStyle w:val="Strong"/>
          <w:rFonts w:ascii="Arial" w:hAnsi="Arial" w:cs="Arial"/>
          <w:color w:val="000000"/>
          <w:sz w:val="36"/>
          <w:szCs w:val="36"/>
        </w:rPr>
        <w:t xml:space="preserve">Component 1 written </w:t>
      </w:r>
      <w:r w:rsidR="00211073">
        <w:rPr>
          <w:rStyle w:val="Strong"/>
          <w:rFonts w:ascii="Arial" w:hAnsi="Arial" w:cs="Arial"/>
          <w:color w:val="000000"/>
          <w:sz w:val="36"/>
          <w:szCs w:val="36"/>
        </w:rPr>
        <w:t xml:space="preserve">Report </w:t>
      </w:r>
    </w:p>
    <w:p w14:paraId="1B7AD970" w14:textId="02D1869E" w:rsidR="00316252" w:rsidRPr="0051457C" w:rsidRDefault="00316252" w:rsidP="00316252">
      <w:pPr>
        <w:pStyle w:val="NormalWeb"/>
        <w:rPr>
          <w:rStyle w:val="Strong"/>
          <w:rFonts w:ascii="Arial" w:hAnsi="Arial" w:cs="Arial"/>
          <w:color w:val="000000"/>
          <w:sz w:val="36"/>
          <w:szCs w:val="36"/>
        </w:rPr>
      </w:pPr>
      <w:r w:rsidRPr="0051457C">
        <w:rPr>
          <w:rStyle w:val="Strong"/>
          <w:rFonts w:ascii="Arial" w:hAnsi="Arial" w:cs="Arial"/>
          <w:color w:val="000000"/>
          <w:sz w:val="36"/>
          <w:szCs w:val="36"/>
        </w:rPr>
        <w:t xml:space="preserve">Lecturer </w:t>
      </w:r>
      <w:r w:rsidR="005C0FCA">
        <w:rPr>
          <w:rStyle w:val="Strong"/>
          <w:rFonts w:ascii="Arial" w:hAnsi="Arial" w:cs="Arial"/>
          <w:color w:val="000000"/>
          <w:sz w:val="36"/>
          <w:szCs w:val="36"/>
        </w:rPr>
        <w:t xml:space="preserve">Name: </w:t>
      </w:r>
      <w:proofErr w:type="spellStart"/>
      <w:r w:rsidR="005C0FCA">
        <w:rPr>
          <w:rStyle w:val="Strong"/>
          <w:rFonts w:ascii="Arial" w:hAnsi="Arial" w:cs="Arial"/>
          <w:color w:val="000000"/>
          <w:sz w:val="36"/>
          <w:szCs w:val="36"/>
        </w:rPr>
        <w:t>Mart</w:t>
      </w:r>
      <w:r w:rsidR="0025567D">
        <w:rPr>
          <w:rStyle w:val="Strong"/>
          <w:rFonts w:ascii="Arial" w:hAnsi="Arial" w:cs="Arial"/>
          <w:color w:val="000000"/>
          <w:sz w:val="36"/>
          <w:szCs w:val="36"/>
        </w:rPr>
        <w:t>rin</w:t>
      </w:r>
      <w:proofErr w:type="spellEnd"/>
      <w:r w:rsidR="0025567D">
        <w:rPr>
          <w:rStyle w:val="Strong"/>
          <w:rFonts w:ascii="Arial" w:hAnsi="Arial" w:cs="Arial"/>
          <w:color w:val="000000"/>
          <w:sz w:val="36"/>
          <w:szCs w:val="36"/>
        </w:rPr>
        <w:t xml:space="preserve"> Svejda</w:t>
      </w:r>
      <w:r w:rsidR="009A6222">
        <w:rPr>
          <w:rStyle w:val="Strong"/>
          <w:rFonts w:ascii="Arial" w:hAnsi="Arial" w:cs="Arial"/>
          <w:color w:val="000000"/>
          <w:sz w:val="36"/>
          <w:szCs w:val="36"/>
        </w:rPr>
        <w:t xml:space="preserve"> </w:t>
      </w:r>
    </w:p>
    <w:p w14:paraId="52F46744" w14:textId="77777777" w:rsidR="00316252" w:rsidRDefault="00316252" w:rsidP="00316252">
      <w:pPr>
        <w:pStyle w:val="NormalWeb"/>
        <w:rPr>
          <w:rStyle w:val="Strong"/>
          <w:color w:val="000000"/>
        </w:rPr>
      </w:pPr>
    </w:p>
    <w:p w14:paraId="052A83C8" w14:textId="77777777" w:rsidR="00316252" w:rsidRDefault="00316252" w:rsidP="00316252">
      <w:pPr>
        <w:pStyle w:val="NormalWeb"/>
        <w:rPr>
          <w:rStyle w:val="Strong"/>
          <w:color w:val="000000"/>
        </w:rPr>
      </w:pPr>
    </w:p>
    <w:p w14:paraId="4B0E4E98" w14:textId="77777777" w:rsidR="00316252" w:rsidRDefault="00316252" w:rsidP="00316252">
      <w:pPr>
        <w:pStyle w:val="NormalWeb"/>
        <w:rPr>
          <w:rStyle w:val="Strong"/>
          <w:color w:val="000000"/>
        </w:rPr>
      </w:pPr>
    </w:p>
    <w:p w14:paraId="7EEA0D3C" w14:textId="77777777" w:rsidR="00316252" w:rsidRDefault="00316252" w:rsidP="00316252">
      <w:pPr>
        <w:pStyle w:val="NormalWeb"/>
        <w:rPr>
          <w:rStyle w:val="Strong"/>
          <w:color w:val="000000"/>
        </w:rPr>
      </w:pPr>
    </w:p>
    <w:p w14:paraId="740AA5D6" w14:textId="77777777" w:rsidR="00316252" w:rsidRDefault="00316252" w:rsidP="00316252">
      <w:pPr>
        <w:pStyle w:val="NormalWeb"/>
        <w:rPr>
          <w:rStyle w:val="Strong"/>
          <w:color w:val="000000"/>
        </w:rPr>
      </w:pPr>
    </w:p>
    <w:p w14:paraId="57890A49" w14:textId="77777777" w:rsidR="00316252" w:rsidRDefault="00316252" w:rsidP="00316252">
      <w:pPr>
        <w:pStyle w:val="NormalWeb"/>
        <w:rPr>
          <w:rStyle w:val="Strong"/>
          <w:color w:val="000000"/>
        </w:rPr>
      </w:pPr>
    </w:p>
    <w:p w14:paraId="3F5C82FD" w14:textId="77777777" w:rsidR="00316252" w:rsidRDefault="00316252" w:rsidP="00316252">
      <w:pPr>
        <w:pStyle w:val="NormalWeb"/>
        <w:rPr>
          <w:rStyle w:val="Strong"/>
          <w:color w:val="000000"/>
        </w:rPr>
      </w:pPr>
    </w:p>
    <w:p w14:paraId="5B19F009" w14:textId="77777777" w:rsidR="00316252" w:rsidRDefault="00316252" w:rsidP="00316252">
      <w:pPr>
        <w:pStyle w:val="NormalWeb"/>
        <w:rPr>
          <w:rStyle w:val="Strong"/>
          <w:color w:val="000000"/>
        </w:rPr>
      </w:pPr>
    </w:p>
    <w:p w14:paraId="0D1A7818" w14:textId="77777777" w:rsidR="00316252" w:rsidRDefault="00316252" w:rsidP="00316252">
      <w:pPr>
        <w:pStyle w:val="NormalWeb"/>
        <w:rPr>
          <w:rStyle w:val="Strong"/>
          <w:color w:val="000000"/>
        </w:rPr>
      </w:pPr>
    </w:p>
    <w:p w14:paraId="4B7DD6A2" w14:textId="77777777" w:rsidR="00316252" w:rsidRDefault="00316252" w:rsidP="00316252">
      <w:pPr>
        <w:pStyle w:val="NormalWeb"/>
        <w:rPr>
          <w:rStyle w:val="Strong"/>
          <w:color w:val="000000"/>
        </w:rPr>
      </w:pPr>
    </w:p>
    <w:p w14:paraId="359FDB3F" w14:textId="77777777" w:rsidR="00316252" w:rsidRDefault="00316252" w:rsidP="00316252">
      <w:pPr>
        <w:pStyle w:val="NormalWeb"/>
        <w:rPr>
          <w:rStyle w:val="Strong"/>
          <w:color w:val="000000"/>
        </w:rPr>
      </w:pPr>
    </w:p>
    <w:p w14:paraId="50AAC3EC" w14:textId="77777777" w:rsidR="00316252" w:rsidRDefault="00316252" w:rsidP="00316252">
      <w:pPr>
        <w:pStyle w:val="NormalWeb"/>
        <w:rPr>
          <w:rStyle w:val="Strong"/>
          <w:color w:val="000000"/>
        </w:rPr>
      </w:pPr>
    </w:p>
    <w:p w14:paraId="422B0BE0" w14:textId="77777777" w:rsidR="00316252" w:rsidRDefault="00316252" w:rsidP="00316252">
      <w:pPr>
        <w:pStyle w:val="NormalWeb"/>
        <w:rPr>
          <w:rStyle w:val="Strong"/>
          <w:color w:val="000000"/>
        </w:rPr>
      </w:pPr>
    </w:p>
    <w:p w14:paraId="087373BC" w14:textId="77777777" w:rsidR="00316252" w:rsidRDefault="00316252" w:rsidP="00316252">
      <w:pPr>
        <w:pStyle w:val="NormalWeb"/>
        <w:rPr>
          <w:rStyle w:val="Strong"/>
          <w:color w:val="000000"/>
        </w:rPr>
      </w:pPr>
    </w:p>
    <w:p w14:paraId="07A0D286" w14:textId="77777777" w:rsidR="001C49E2" w:rsidRDefault="001C49E2" w:rsidP="00316252">
      <w:pPr>
        <w:pStyle w:val="NormalWeb"/>
        <w:rPr>
          <w:rStyle w:val="Strong"/>
          <w:color w:val="000000"/>
        </w:rPr>
      </w:pPr>
    </w:p>
    <w:p w14:paraId="4C56113F" w14:textId="77777777" w:rsidR="0049700F" w:rsidRDefault="0049700F" w:rsidP="00316252">
      <w:pPr>
        <w:pStyle w:val="NormalWeb"/>
        <w:rPr>
          <w:rStyle w:val="Strong"/>
          <w:color w:val="000000"/>
        </w:rPr>
      </w:pPr>
    </w:p>
    <w:p w14:paraId="0552DF0B" w14:textId="7A208332" w:rsidR="00316252" w:rsidRPr="00800E33" w:rsidRDefault="00316252" w:rsidP="000E417E">
      <w:pPr>
        <w:pStyle w:val="Title"/>
        <w:rPr>
          <w:rFonts w:ascii="Arial" w:hAnsi="Arial" w:cs="Arial"/>
          <w:b/>
          <w:bCs/>
          <w:sz w:val="36"/>
          <w:szCs w:val="36"/>
        </w:rPr>
      </w:pPr>
      <w:r w:rsidRPr="00800E33">
        <w:rPr>
          <w:rFonts w:ascii="Arial" w:hAnsi="Arial" w:cs="Arial"/>
          <w:b/>
          <w:bCs/>
          <w:sz w:val="36"/>
          <w:szCs w:val="36"/>
        </w:rPr>
        <w:lastRenderedPageBreak/>
        <w:t xml:space="preserve">Table of contents </w:t>
      </w:r>
    </w:p>
    <w:p w14:paraId="35ED382D" w14:textId="7F04D6A1" w:rsidR="00316252" w:rsidRPr="000E417E" w:rsidRDefault="00316252" w:rsidP="00316252">
      <w:pPr>
        <w:pStyle w:val="NormalWeb"/>
        <w:rPr>
          <w:rFonts w:ascii="Arial" w:hAnsi="Arial" w:cs="Arial"/>
          <w:b/>
          <w:bCs/>
        </w:rPr>
      </w:pPr>
      <w:r w:rsidRPr="000E417E">
        <w:rPr>
          <w:rFonts w:ascii="Arial" w:hAnsi="Arial" w:cs="Arial"/>
          <w:b/>
          <w:bCs/>
        </w:rPr>
        <w:t xml:space="preserve"> Introduction</w:t>
      </w:r>
      <w:r w:rsidR="00270A39" w:rsidRPr="000E417E">
        <w:rPr>
          <w:rFonts w:ascii="Arial" w:hAnsi="Arial" w:cs="Arial"/>
          <w:b/>
          <w:bCs/>
        </w:rPr>
        <w:t xml:space="preserve">…………………………………………………………. Page </w:t>
      </w:r>
      <w:r w:rsidR="00CC77A1" w:rsidRPr="000E417E">
        <w:rPr>
          <w:rFonts w:ascii="Arial" w:hAnsi="Arial" w:cs="Arial"/>
          <w:b/>
          <w:bCs/>
        </w:rPr>
        <w:t>3</w:t>
      </w:r>
    </w:p>
    <w:p w14:paraId="1D7B5D5E" w14:textId="3C03799E" w:rsidR="00F86161" w:rsidRPr="000E417E" w:rsidRDefault="00F86161" w:rsidP="00F86161">
      <w:pPr>
        <w:pStyle w:val="NormalWeb"/>
        <w:spacing w:line="360" w:lineRule="auto"/>
        <w:rPr>
          <w:rFonts w:ascii="Arial" w:hAnsi="Arial" w:cs="Arial"/>
          <w:b/>
          <w:bCs/>
          <w:color w:val="000000"/>
        </w:rPr>
      </w:pPr>
      <w:r w:rsidRPr="000E417E">
        <w:rPr>
          <w:rFonts w:ascii="Arial" w:hAnsi="Arial" w:cs="Arial"/>
          <w:b/>
          <w:bCs/>
          <w:color w:val="000000"/>
        </w:rPr>
        <w:t>Impact of Virtual Wards on Service Delivery</w:t>
      </w:r>
      <w:r w:rsidR="00767A5C" w:rsidRPr="000E417E">
        <w:rPr>
          <w:rFonts w:ascii="Arial" w:hAnsi="Arial" w:cs="Arial"/>
          <w:b/>
          <w:bCs/>
          <w:color w:val="000000"/>
        </w:rPr>
        <w:t>………………</w:t>
      </w:r>
      <w:proofErr w:type="gramStart"/>
      <w:r w:rsidR="00767A5C" w:rsidRPr="000E417E">
        <w:rPr>
          <w:rFonts w:ascii="Arial" w:hAnsi="Arial" w:cs="Arial"/>
          <w:b/>
          <w:bCs/>
          <w:color w:val="000000"/>
        </w:rPr>
        <w:t>…..</w:t>
      </w:r>
      <w:proofErr w:type="gramEnd"/>
      <w:r w:rsidR="00767A5C" w:rsidRPr="000E417E">
        <w:rPr>
          <w:rFonts w:ascii="Arial" w:hAnsi="Arial" w:cs="Arial"/>
          <w:b/>
          <w:bCs/>
          <w:color w:val="000000"/>
        </w:rPr>
        <w:t xml:space="preserve"> Page 4 - 6</w:t>
      </w:r>
    </w:p>
    <w:p w14:paraId="2E649F8E" w14:textId="2F71C205" w:rsidR="009D09F5" w:rsidRPr="000E417E" w:rsidRDefault="009D09F5" w:rsidP="009D09F5">
      <w:pPr>
        <w:spacing w:before="100" w:beforeAutospacing="1" w:after="100" w:afterAutospacing="1" w:line="360" w:lineRule="auto"/>
        <w:rPr>
          <w:rStyle w:val="Strong"/>
          <w:rFonts w:ascii="Arial" w:hAnsi="Arial" w:cs="Arial"/>
          <w:color w:val="000000"/>
        </w:rPr>
      </w:pPr>
      <w:r w:rsidRPr="000E417E">
        <w:rPr>
          <w:rStyle w:val="Strong"/>
          <w:rFonts w:ascii="Arial" w:hAnsi="Arial" w:cs="Arial"/>
          <w:color w:val="000000"/>
        </w:rPr>
        <w:t>Impact of Virtual Wards on Patients/Service Users</w:t>
      </w:r>
      <w:r w:rsidR="000E417E" w:rsidRPr="000E417E">
        <w:rPr>
          <w:rStyle w:val="Strong"/>
          <w:rFonts w:ascii="Arial" w:hAnsi="Arial" w:cs="Arial"/>
          <w:color w:val="000000"/>
        </w:rPr>
        <w:t>…………. Page 7- 8</w:t>
      </w:r>
    </w:p>
    <w:p w14:paraId="0DF77D81" w14:textId="1C7101E8" w:rsidR="00CE4EE1" w:rsidRPr="000E417E" w:rsidRDefault="00CE4EE1" w:rsidP="00CE4EE1">
      <w:pPr>
        <w:pStyle w:val="Heading2"/>
        <w:spacing w:line="360" w:lineRule="auto"/>
        <w:rPr>
          <w:rFonts w:ascii="Arial" w:hAnsi="Arial" w:cs="Arial"/>
          <w:b/>
          <w:bCs/>
          <w:color w:val="000000"/>
          <w:sz w:val="24"/>
          <w:szCs w:val="24"/>
        </w:rPr>
      </w:pPr>
      <w:r w:rsidRPr="000E417E">
        <w:rPr>
          <w:rFonts w:ascii="Arial" w:hAnsi="Arial" w:cs="Arial"/>
          <w:b/>
          <w:bCs/>
          <w:color w:val="000000"/>
          <w:sz w:val="24"/>
          <w:szCs w:val="24"/>
        </w:rPr>
        <w:t>Conclusion and Recommendations</w:t>
      </w:r>
      <w:r w:rsidR="000E417E" w:rsidRPr="000E417E">
        <w:rPr>
          <w:rFonts w:ascii="Arial" w:hAnsi="Arial" w:cs="Arial"/>
          <w:b/>
          <w:bCs/>
          <w:color w:val="000000"/>
          <w:sz w:val="24"/>
          <w:szCs w:val="24"/>
        </w:rPr>
        <w:t>…………………………</w:t>
      </w:r>
      <w:proofErr w:type="gramStart"/>
      <w:r w:rsidR="000E417E" w:rsidRPr="000E417E">
        <w:rPr>
          <w:rFonts w:ascii="Arial" w:hAnsi="Arial" w:cs="Arial"/>
          <w:b/>
          <w:bCs/>
          <w:color w:val="000000"/>
          <w:sz w:val="24"/>
          <w:szCs w:val="24"/>
        </w:rPr>
        <w:t>….</w:t>
      </w:r>
      <w:r w:rsidR="000E417E">
        <w:rPr>
          <w:rFonts w:ascii="Arial" w:hAnsi="Arial" w:cs="Arial"/>
          <w:b/>
          <w:bCs/>
          <w:color w:val="000000"/>
          <w:sz w:val="24"/>
          <w:szCs w:val="24"/>
        </w:rPr>
        <w:t>.</w:t>
      </w:r>
      <w:proofErr w:type="gramEnd"/>
      <w:r w:rsidR="000E417E">
        <w:rPr>
          <w:rFonts w:ascii="Arial" w:hAnsi="Arial" w:cs="Arial"/>
          <w:b/>
          <w:bCs/>
          <w:color w:val="000000"/>
          <w:sz w:val="24"/>
          <w:szCs w:val="24"/>
        </w:rPr>
        <w:t xml:space="preserve"> </w:t>
      </w:r>
      <w:r w:rsidR="000E417E" w:rsidRPr="000E417E">
        <w:rPr>
          <w:rFonts w:ascii="Arial" w:hAnsi="Arial" w:cs="Arial"/>
          <w:b/>
          <w:bCs/>
          <w:color w:val="000000"/>
          <w:sz w:val="24"/>
          <w:szCs w:val="24"/>
        </w:rPr>
        <w:t>Page 9</w:t>
      </w:r>
    </w:p>
    <w:p w14:paraId="07A7E028" w14:textId="3B988365" w:rsidR="000E417E" w:rsidRPr="000E417E" w:rsidRDefault="000E417E" w:rsidP="000E417E">
      <w:pPr>
        <w:rPr>
          <w:rFonts w:ascii="Arial" w:hAnsi="Arial" w:cs="Arial"/>
          <w:b/>
          <w:bCs/>
        </w:rPr>
      </w:pPr>
      <w:r w:rsidRPr="000E417E">
        <w:rPr>
          <w:rFonts w:ascii="Arial" w:hAnsi="Arial" w:cs="Arial"/>
          <w:b/>
          <w:bCs/>
        </w:rPr>
        <w:t>References…………………………………………………………</w:t>
      </w:r>
      <w:r>
        <w:rPr>
          <w:rFonts w:ascii="Arial" w:hAnsi="Arial" w:cs="Arial"/>
          <w:b/>
          <w:bCs/>
        </w:rPr>
        <w:t xml:space="preserve">… </w:t>
      </w:r>
      <w:r w:rsidRPr="000E417E">
        <w:rPr>
          <w:rFonts w:ascii="Arial" w:hAnsi="Arial" w:cs="Arial"/>
          <w:b/>
          <w:bCs/>
        </w:rPr>
        <w:t>Page 10</w:t>
      </w:r>
      <w:r w:rsidR="00565DC7">
        <w:rPr>
          <w:rFonts w:ascii="Arial" w:hAnsi="Arial" w:cs="Arial"/>
          <w:b/>
          <w:bCs/>
        </w:rPr>
        <w:t>-11</w:t>
      </w:r>
    </w:p>
    <w:p w14:paraId="27669FB3" w14:textId="77777777" w:rsidR="00CE4EE1" w:rsidRPr="00483DC8" w:rsidRDefault="00CE4EE1" w:rsidP="009D09F5">
      <w:pPr>
        <w:spacing w:before="100" w:beforeAutospacing="1" w:after="100" w:afterAutospacing="1" w:line="360" w:lineRule="auto"/>
        <w:rPr>
          <w:rStyle w:val="Strong"/>
          <w:rFonts w:ascii="Arial" w:eastAsia="Times New Roman" w:hAnsi="Arial" w:cs="Arial"/>
          <w:b w:val="0"/>
          <w:bCs w:val="0"/>
          <w:i/>
          <w:iCs/>
          <w:color w:val="000000"/>
          <w:kern w:val="0"/>
          <w:sz w:val="22"/>
          <w:szCs w:val="22"/>
          <w:lang w:eastAsia="en-GB"/>
          <w14:ligatures w14:val="none"/>
        </w:rPr>
      </w:pPr>
    </w:p>
    <w:p w14:paraId="51B23EB6" w14:textId="77777777" w:rsidR="009D09F5" w:rsidRPr="007D6372" w:rsidRDefault="009D09F5" w:rsidP="00F86161">
      <w:pPr>
        <w:pStyle w:val="NormalWeb"/>
        <w:spacing w:line="360" w:lineRule="auto"/>
        <w:rPr>
          <w:rFonts w:ascii="Arial" w:hAnsi="Arial" w:cs="Arial"/>
          <w:color w:val="000000"/>
          <w:sz w:val="22"/>
          <w:szCs w:val="22"/>
        </w:rPr>
      </w:pPr>
    </w:p>
    <w:p w14:paraId="0DE5B3FC" w14:textId="77777777" w:rsidR="00362626" w:rsidRDefault="00362626"/>
    <w:p w14:paraId="19743BA3" w14:textId="77777777" w:rsidR="000E417E" w:rsidRDefault="000E417E"/>
    <w:p w14:paraId="4DEFCB8C" w14:textId="77777777" w:rsidR="000E417E" w:rsidRDefault="000E417E"/>
    <w:p w14:paraId="2A657355" w14:textId="77777777" w:rsidR="000E417E" w:rsidRDefault="000E417E"/>
    <w:p w14:paraId="38667A22" w14:textId="77777777" w:rsidR="000E417E" w:rsidRDefault="000E417E"/>
    <w:p w14:paraId="07426A33" w14:textId="77777777" w:rsidR="00362626" w:rsidRDefault="00362626"/>
    <w:p w14:paraId="45F4008A" w14:textId="77777777" w:rsidR="00362626" w:rsidRDefault="00362626"/>
    <w:p w14:paraId="7F26C256" w14:textId="77777777" w:rsidR="00362626" w:rsidRDefault="00362626"/>
    <w:p w14:paraId="799B0A48" w14:textId="77777777" w:rsidR="00362626" w:rsidRDefault="00362626"/>
    <w:p w14:paraId="61173FC2" w14:textId="77777777" w:rsidR="00362626" w:rsidRDefault="00362626"/>
    <w:p w14:paraId="19303BD0" w14:textId="77777777" w:rsidR="00362626" w:rsidRDefault="00362626"/>
    <w:p w14:paraId="69065371" w14:textId="77777777" w:rsidR="00362626" w:rsidRDefault="00362626"/>
    <w:p w14:paraId="742D331A" w14:textId="77777777" w:rsidR="00362626" w:rsidRDefault="00362626"/>
    <w:p w14:paraId="146559C0" w14:textId="77777777" w:rsidR="00362626" w:rsidRDefault="00362626"/>
    <w:p w14:paraId="5D088864" w14:textId="77777777" w:rsidR="00362626" w:rsidRDefault="00362626"/>
    <w:p w14:paraId="33D3E3C4" w14:textId="77777777" w:rsidR="00647370" w:rsidRDefault="00647370" w:rsidP="004D5FAB"/>
    <w:p w14:paraId="3B22C3EB" w14:textId="77777777" w:rsidR="00647370" w:rsidRDefault="00647370" w:rsidP="004D5FAB"/>
    <w:p w14:paraId="07DBC21C" w14:textId="77777777" w:rsidR="00A12123" w:rsidRDefault="00A12123" w:rsidP="004D5FAB">
      <w:pPr>
        <w:rPr>
          <w:rFonts w:ascii="Arial" w:hAnsi="Arial" w:cs="Arial"/>
          <w:b/>
          <w:bCs/>
        </w:rPr>
      </w:pPr>
    </w:p>
    <w:p w14:paraId="79148A75" w14:textId="67FA4952" w:rsidR="004D5FAB" w:rsidRPr="00DA74C0" w:rsidRDefault="00C015F0" w:rsidP="004D5FAB">
      <w:pPr>
        <w:rPr>
          <w:rFonts w:ascii="Arial" w:hAnsi="Arial" w:cs="Arial"/>
          <w:b/>
          <w:bCs/>
          <w:color w:val="000000"/>
        </w:rPr>
      </w:pPr>
      <w:r w:rsidRPr="004D5FAB">
        <w:rPr>
          <w:rFonts w:ascii="Arial" w:hAnsi="Arial" w:cs="Arial"/>
          <w:b/>
          <w:bCs/>
        </w:rPr>
        <w:lastRenderedPageBreak/>
        <w:t>A</w:t>
      </w:r>
      <w:r w:rsidRPr="004D5FAB">
        <w:rPr>
          <w:rStyle w:val="apple-converted-space"/>
          <w:rFonts w:ascii="Arial" w:hAnsi="Arial" w:cs="Arial"/>
          <w:b/>
          <w:bCs/>
          <w:color w:val="000000"/>
        </w:rPr>
        <w:t> </w:t>
      </w:r>
      <w:r w:rsidRPr="004D5FAB">
        <w:rPr>
          <w:rFonts w:ascii="Arial" w:hAnsi="Arial" w:cs="Arial"/>
          <w:b/>
          <w:bCs/>
        </w:rPr>
        <w:t>Critical</w:t>
      </w:r>
      <w:r w:rsidRPr="004D5FAB">
        <w:rPr>
          <w:rStyle w:val="apple-converted-space"/>
          <w:rFonts w:ascii="Arial" w:hAnsi="Arial" w:cs="Arial"/>
          <w:b/>
          <w:bCs/>
          <w:color w:val="000000"/>
        </w:rPr>
        <w:t> </w:t>
      </w:r>
      <w:r w:rsidRPr="004D5FAB">
        <w:rPr>
          <w:rFonts w:ascii="Arial" w:hAnsi="Arial" w:cs="Arial"/>
          <w:b/>
          <w:bCs/>
        </w:rPr>
        <w:t>Evaluation</w:t>
      </w:r>
      <w:r w:rsidRPr="004D5FAB">
        <w:rPr>
          <w:rStyle w:val="apple-converted-space"/>
          <w:rFonts w:ascii="Arial" w:hAnsi="Arial" w:cs="Arial"/>
          <w:b/>
          <w:bCs/>
          <w:color w:val="000000"/>
        </w:rPr>
        <w:t> </w:t>
      </w:r>
      <w:r w:rsidRPr="004D5FAB">
        <w:rPr>
          <w:rFonts w:ascii="Arial" w:hAnsi="Arial" w:cs="Arial"/>
          <w:b/>
          <w:bCs/>
        </w:rPr>
        <w:t>of</w:t>
      </w:r>
      <w:r w:rsidRPr="004D5FAB">
        <w:rPr>
          <w:rStyle w:val="apple-converted-space"/>
          <w:rFonts w:ascii="Arial" w:hAnsi="Arial" w:cs="Arial"/>
          <w:b/>
          <w:bCs/>
          <w:color w:val="000000"/>
        </w:rPr>
        <w:t> </w:t>
      </w:r>
      <w:r w:rsidRPr="004D5FAB">
        <w:rPr>
          <w:rFonts w:ascii="Arial" w:hAnsi="Arial" w:cs="Arial"/>
          <w:b/>
          <w:bCs/>
        </w:rPr>
        <w:t>Virtual</w:t>
      </w:r>
      <w:r w:rsidRPr="004D5FAB">
        <w:rPr>
          <w:rStyle w:val="apple-converted-space"/>
          <w:rFonts w:ascii="Arial" w:hAnsi="Arial" w:cs="Arial"/>
          <w:b/>
          <w:bCs/>
          <w:color w:val="000000"/>
        </w:rPr>
        <w:t> </w:t>
      </w:r>
      <w:r w:rsidRPr="004D5FAB">
        <w:rPr>
          <w:rFonts w:ascii="Arial" w:hAnsi="Arial" w:cs="Arial"/>
          <w:b/>
          <w:bCs/>
        </w:rPr>
        <w:t>Wards</w:t>
      </w:r>
      <w:r w:rsidRPr="004D5FAB">
        <w:rPr>
          <w:rStyle w:val="apple-converted-space"/>
          <w:rFonts w:ascii="Arial" w:hAnsi="Arial" w:cs="Arial"/>
          <w:b/>
          <w:bCs/>
          <w:color w:val="000000"/>
        </w:rPr>
        <w:t> </w:t>
      </w:r>
      <w:r w:rsidRPr="004D5FAB">
        <w:rPr>
          <w:rFonts w:ascii="Arial" w:hAnsi="Arial" w:cs="Arial"/>
          <w:b/>
          <w:bCs/>
        </w:rPr>
        <w:t>as</w:t>
      </w:r>
      <w:r w:rsidRPr="004D5FAB">
        <w:rPr>
          <w:rStyle w:val="apple-converted-space"/>
          <w:rFonts w:ascii="Arial" w:hAnsi="Arial" w:cs="Arial"/>
          <w:b/>
          <w:bCs/>
          <w:color w:val="000000"/>
        </w:rPr>
        <w:t> </w:t>
      </w:r>
      <w:r w:rsidRPr="004D5FAB">
        <w:rPr>
          <w:rFonts w:ascii="Arial" w:hAnsi="Arial" w:cs="Arial"/>
          <w:b/>
          <w:bCs/>
        </w:rPr>
        <w:t>a</w:t>
      </w:r>
      <w:r w:rsidRPr="004D5FAB">
        <w:rPr>
          <w:rStyle w:val="apple-converted-space"/>
          <w:rFonts w:ascii="Arial" w:hAnsi="Arial" w:cs="Arial"/>
          <w:b/>
          <w:bCs/>
          <w:color w:val="000000"/>
        </w:rPr>
        <w:t> </w:t>
      </w:r>
      <w:r w:rsidRPr="004D5FAB">
        <w:rPr>
          <w:rFonts w:ascii="Arial" w:hAnsi="Arial" w:cs="Arial"/>
          <w:b/>
          <w:bCs/>
        </w:rPr>
        <w:t>Digital</w:t>
      </w:r>
      <w:r w:rsidRPr="004D5FAB">
        <w:rPr>
          <w:rStyle w:val="apple-converted-space"/>
          <w:rFonts w:ascii="Arial" w:hAnsi="Arial" w:cs="Arial"/>
          <w:b/>
          <w:bCs/>
          <w:color w:val="000000"/>
        </w:rPr>
        <w:t> </w:t>
      </w:r>
      <w:r w:rsidR="002D6AE2" w:rsidRPr="004D5FAB">
        <w:rPr>
          <w:rFonts w:ascii="Arial" w:hAnsi="Arial" w:cs="Arial"/>
          <w:b/>
          <w:bCs/>
        </w:rPr>
        <w:t>Innovation: The</w:t>
      </w:r>
      <w:r w:rsidRPr="004D5FAB">
        <w:rPr>
          <w:rStyle w:val="apple-converted-space"/>
          <w:rFonts w:ascii="Arial" w:hAnsi="Arial" w:cs="Arial"/>
          <w:b/>
          <w:bCs/>
          <w:color w:val="000000"/>
        </w:rPr>
        <w:t> </w:t>
      </w:r>
      <w:r w:rsidRPr="004D5FAB">
        <w:rPr>
          <w:rFonts w:ascii="Arial" w:hAnsi="Arial" w:cs="Arial"/>
          <w:b/>
          <w:bCs/>
        </w:rPr>
        <w:t>Impact</w:t>
      </w:r>
      <w:r w:rsidRPr="004D5FAB">
        <w:rPr>
          <w:rStyle w:val="apple-converted-space"/>
          <w:rFonts w:ascii="Arial" w:hAnsi="Arial" w:cs="Arial"/>
          <w:b/>
          <w:bCs/>
          <w:color w:val="000000"/>
        </w:rPr>
        <w:t> </w:t>
      </w:r>
      <w:r w:rsidRPr="004D5FAB">
        <w:rPr>
          <w:rFonts w:ascii="Arial" w:hAnsi="Arial" w:cs="Arial"/>
          <w:b/>
          <w:bCs/>
        </w:rPr>
        <w:t>on</w:t>
      </w:r>
    </w:p>
    <w:p w14:paraId="763BCFA4" w14:textId="2D377396" w:rsidR="00362626" w:rsidRPr="004D5FAB" w:rsidRDefault="00C015F0" w:rsidP="004D5FAB">
      <w:pPr>
        <w:rPr>
          <w:rFonts w:ascii="Arial" w:hAnsi="Arial" w:cs="Arial"/>
          <w:b/>
          <w:bCs/>
        </w:rPr>
      </w:pPr>
      <w:r w:rsidRPr="004D5FAB">
        <w:rPr>
          <w:rFonts w:ascii="Arial" w:hAnsi="Arial" w:cs="Arial"/>
          <w:b/>
          <w:bCs/>
        </w:rPr>
        <w:t>service</w:t>
      </w:r>
      <w:r w:rsidRPr="004D5FAB">
        <w:rPr>
          <w:rStyle w:val="apple-converted-space"/>
          <w:rFonts w:ascii="Arial" w:hAnsi="Arial" w:cs="Arial"/>
          <w:b/>
          <w:bCs/>
          <w:color w:val="000000"/>
        </w:rPr>
        <w:t> </w:t>
      </w:r>
      <w:r w:rsidRPr="004D5FAB">
        <w:rPr>
          <w:rFonts w:ascii="Arial" w:hAnsi="Arial" w:cs="Arial"/>
          <w:b/>
          <w:bCs/>
        </w:rPr>
        <w:t>Delivery</w:t>
      </w:r>
      <w:r w:rsidRPr="004D5FAB">
        <w:rPr>
          <w:rStyle w:val="apple-converted-space"/>
          <w:rFonts w:ascii="Arial" w:hAnsi="Arial" w:cs="Arial"/>
          <w:b/>
          <w:bCs/>
          <w:color w:val="000000"/>
        </w:rPr>
        <w:t> </w:t>
      </w:r>
      <w:r w:rsidRPr="004D5FAB">
        <w:rPr>
          <w:rFonts w:ascii="Arial" w:hAnsi="Arial" w:cs="Arial"/>
          <w:b/>
          <w:bCs/>
        </w:rPr>
        <w:t>and</w:t>
      </w:r>
      <w:r w:rsidRPr="004D5FAB">
        <w:rPr>
          <w:rStyle w:val="apple-converted-space"/>
          <w:rFonts w:ascii="Arial" w:hAnsi="Arial" w:cs="Arial"/>
          <w:b/>
          <w:bCs/>
          <w:color w:val="000000"/>
        </w:rPr>
        <w:t> </w:t>
      </w:r>
      <w:r w:rsidRPr="004D5FAB">
        <w:rPr>
          <w:rFonts w:ascii="Arial" w:hAnsi="Arial" w:cs="Arial"/>
          <w:b/>
          <w:bCs/>
        </w:rPr>
        <w:t>Patients/Service</w:t>
      </w:r>
      <w:r w:rsidRPr="004D5FAB">
        <w:rPr>
          <w:rStyle w:val="apple-converted-space"/>
          <w:rFonts w:ascii="Arial" w:hAnsi="Arial" w:cs="Arial"/>
          <w:b/>
          <w:bCs/>
          <w:color w:val="000000"/>
        </w:rPr>
        <w:t> </w:t>
      </w:r>
      <w:r w:rsidRPr="004D5FAB">
        <w:rPr>
          <w:rFonts w:ascii="Arial" w:hAnsi="Arial" w:cs="Arial"/>
          <w:b/>
          <w:bCs/>
        </w:rPr>
        <w:t>Users</w:t>
      </w:r>
      <w:r w:rsidRPr="004D5FAB">
        <w:rPr>
          <w:rStyle w:val="apple-converted-space"/>
          <w:rFonts w:ascii="Arial" w:hAnsi="Arial" w:cs="Arial"/>
          <w:b/>
          <w:bCs/>
          <w:color w:val="000000"/>
        </w:rPr>
        <w:t> </w:t>
      </w:r>
      <w:r w:rsidRPr="004D5FAB">
        <w:rPr>
          <w:rFonts w:ascii="Arial" w:hAnsi="Arial" w:cs="Arial"/>
          <w:b/>
          <w:bCs/>
        </w:rPr>
        <w:t>in</w:t>
      </w:r>
      <w:r w:rsidRPr="004D5FAB">
        <w:rPr>
          <w:rStyle w:val="apple-converted-space"/>
          <w:rFonts w:ascii="Arial" w:hAnsi="Arial" w:cs="Arial"/>
          <w:b/>
          <w:bCs/>
          <w:color w:val="000000"/>
        </w:rPr>
        <w:t> </w:t>
      </w:r>
      <w:r w:rsidRPr="004D5FAB">
        <w:rPr>
          <w:rFonts w:ascii="Arial" w:hAnsi="Arial" w:cs="Arial"/>
          <w:b/>
          <w:bCs/>
        </w:rPr>
        <w:t>UK</w:t>
      </w:r>
      <w:r w:rsidRPr="004D5FAB">
        <w:rPr>
          <w:rStyle w:val="apple-converted-space"/>
          <w:rFonts w:ascii="Arial" w:hAnsi="Arial" w:cs="Arial"/>
          <w:b/>
          <w:bCs/>
          <w:color w:val="000000"/>
        </w:rPr>
        <w:t> </w:t>
      </w:r>
      <w:r w:rsidRPr="004D5FAB">
        <w:rPr>
          <w:rFonts w:ascii="Arial" w:hAnsi="Arial" w:cs="Arial"/>
          <w:b/>
          <w:bCs/>
        </w:rPr>
        <w:t>Health</w:t>
      </w:r>
      <w:r w:rsidRPr="004D5FAB">
        <w:rPr>
          <w:rStyle w:val="apple-converted-space"/>
          <w:rFonts w:ascii="Arial" w:hAnsi="Arial" w:cs="Arial"/>
          <w:b/>
          <w:bCs/>
          <w:color w:val="000000"/>
        </w:rPr>
        <w:t> </w:t>
      </w:r>
      <w:r w:rsidRPr="004D5FAB">
        <w:rPr>
          <w:rFonts w:ascii="Arial" w:hAnsi="Arial" w:cs="Arial"/>
          <w:b/>
          <w:bCs/>
        </w:rPr>
        <w:t>and</w:t>
      </w:r>
      <w:r w:rsidRPr="004D5FAB">
        <w:rPr>
          <w:rStyle w:val="apple-converted-space"/>
          <w:rFonts w:ascii="Arial" w:hAnsi="Arial" w:cs="Arial"/>
          <w:b/>
          <w:bCs/>
          <w:color w:val="000000"/>
        </w:rPr>
        <w:t> </w:t>
      </w:r>
      <w:r w:rsidRPr="004D5FAB">
        <w:rPr>
          <w:rFonts w:ascii="Arial" w:hAnsi="Arial" w:cs="Arial"/>
          <w:b/>
          <w:bCs/>
        </w:rPr>
        <w:t>Social</w:t>
      </w:r>
      <w:r w:rsidRPr="004D5FAB">
        <w:rPr>
          <w:rStyle w:val="apple-converted-space"/>
          <w:rFonts w:ascii="Arial" w:hAnsi="Arial" w:cs="Arial"/>
          <w:b/>
          <w:bCs/>
          <w:color w:val="000000"/>
        </w:rPr>
        <w:t> </w:t>
      </w:r>
      <w:r w:rsidRPr="004D5FAB">
        <w:rPr>
          <w:rFonts w:ascii="Arial" w:hAnsi="Arial" w:cs="Arial"/>
          <w:b/>
          <w:bCs/>
        </w:rPr>
        <w:t>Care.</w:t>
      </w:r>
    </w:p>
    <w:p w14:paraId="777D4EA5" w14:textId="77777777" w:rsidR="00362626" w:rsidRDefault="00362626"/>
    <w:p w14:paraId="0E7A2AAF" w14:textId="306CEE65" w:rsidR="00A52490" w:rsidRPr="00F03D34" w:rsidRDefault="00362626" w:rsidP="00055992">
      <w:pPr>
        <w:rPr>
          <w:rStyle w:val="Strong"/>
          <w:rFonts w:ascii="Arial" w:hAnsi="Arial" w:cs="Arial"/>
          <w:color w:val="000000"/>
        </w:rPr>
      </w:pPr>
      <w:r w:rsidRPr="00BD573D">
        <w:rPr>
          <w:rStyle w:val="Strong"/>
          <w:rFonts w:ascii="Arial" w:hAnsi="Arial" w:cs="Arial"/>
          <w:color w:val="000000"/>
        </w:rPr>
        <w:t>Introduction</w:t>
      </w:r>
    </w:p>
    <w:p w14:paraId="1B8ED234" w14:textId="0BA46864" w:rsidR="00055992" w:rsidRPr="00055992" w:rsidRDefault="00B375DB" w:rsidP="00055992">
      <w:pPr>
        <w:spacing w:line="360" w:lineRule="auto"/>
        <w:rPr>
          <w:rFonts w:ascii="Arial" w:hAnsi="Arial" w:cs="Arial"/>
          <w:sz w:val="22"/>
          <w:szCs w:val="22"/>
        </w:rPr>
      </w:pPr>
      <w:r w:rsidRPr="00055992">
        <w:rPr>
          <w:rFonts w:ascii="Arial" w:hAnsi="Arial" w:cs="Arial"/>
          <w:sz w:val="22"/>
          <w:szCs w:val="22"/>
        </w:rPr>
        <w:t xml:space="preserve">Digital technology has </w:t>
      </w:r>
      <w:r w:rsidR="00070B39" w:rsidRPr="00055992">
        <w:rPr>
          <w:rFonts w:ascii="Arial" w:hAnsi="Arial" w:cs="Arial"/>
          <w:sz w:val="22"/>
          <w:szCs w:val="22"/>
        </w:rPr>
        <w:t>developed</w:t>
      </w:r>
      <w:r w:rsidRPr="00055992">
        <w:rPr>
          <w:rFonts w:ascii="Arial" w:hAnsi="Arial" w:cs="Arial"/>
          <w:sz w:val="22"/>
          <w:szCs w:val="22"/>
        </w:rPr>
        <w:t xml:space="preserve"> </w:t>
      </w:r>
      <w:r w:rsidR="00070B39" w:rsidRPr="00055992">
        <w:rPr>
          <w:rFonts w:ascii="Arial" w:hAnsi="Arial" w:cs="Arial"/>
          <w:sz w:val="22"/>
          <w:szCs w:val="22"/>
        </w:rPr>
        <w:t>progressively</w:t>
      </w:r>
      <w:r w:rsidRPr="00055992">
        <w:rPr>
          <w:rFonts w:ascii="Arial" w:hAnsi="Arial" w:cs="Arial"/>
          <w:sz w:val="22"/>
          <w:szCs w:val="22"/>
        </w:rPr>
        <w:t xml:space="preserve"> </w:t>
      </w:r>
      <w:r w:rsidR="00070B39" w:rsidRPr="00055992">
        <w:rPr>
          <w:rFonts w:ascii="Arial" w:hAnsi="Arial" w:cs="Arial"/>
          <w:sz w:val="22"/>
          <w:szCs w:val="22"/>
        </w:rPr>
        <w:t>essential</w:t>
      </w:r>
      <w:r w:rsidRPr="00055992">
        <w:rPr>
          <w:rFonts w:ascii="Arial" w:hAnsi="Arial" w:cs="Arial"/>
          <w:sz w:val="22"/>
          <w:szCs w:val="22"/>
        </w:rPr>
        <w:t xml:space="preserve"> within UK health and social care as services seek new approaches to delivering safe and effective care while responding to pressures on hospital services. One digital innovation that has expanded within the </w:t>
      </w:r>
      <w:r w:rsidR="00037542">
        <w:rPr>
          <w:rFonts w:ascii="Arial" w:hAnsi="Arial" w:cs="Arial"/>
          <w:sz w:val="22"/>
          <w:szCs w:val="22"/>
        </w:rPr>
        <w:t>Nat</w:t>
      </w:r>
      <w:r w:rsidR="00571C51">
        <w:rPr>
          <w:rFonts w:ascii="Arial" w:hAnsi="Arial" w:cs="Arial"/>
          <w:sz w:val="22"/>
          <w:szCs w:val="22"/>
        </w:rPr>
        <w:t xml:space="preserve">ional Health </w:t>
      </w:r>
      <w:r w:rsidR="001B2DB7">
        <w:rPr>
          <w:rFonts w:ascii="Arial" w:hAnsi="Arial" w:cs="Arial"/>
          <w:sz w:val="22"/>
          <w:szCs w:val="22"/>
        </w:rPr>
        <w:t>Service</w:t>
      </w:r>
      <w:r w:rsidRPr="00055992">
        <w:rPr>
          <w:rFonts w:ascii="Arial" w:hAnsi="Arial" w:cs="Arial"/>
          <w:sz w:val="22"/>
          <w:szCs w:val="22"/>
        </w:rPr>
        <w:t xml:space="preserve"> is the technology</w:t>
      </w:r>
      <w:r w:rsidR="00B2441F">
        <w:rPr>
          <w:rFonts w:ascii="Arial" w:hAnsi="Arial" w:cs="Arial"/>
          <w:sz w:val="22"/>
          <w:szCs w:val="22"/>
        </w:rPr>
        <w:t xml:space="preserve"> </w:t>
      </w:r>
      <w:r w:rsidRPr="00055992">
        <w:rPr>
          <w:rFonts w:ascii="Arial" w:hAnsi="Arial" w:cs="Arial"/>
          <w:sz w:val="22"/>
          <w:szCs w:val="22"/>
        </w:rPr>
        <w:t>enabled virtual ward, also known as Hospital at Home. NHS England recommended the rollout of COVID virtual wards in 2021, followed by guidance supporting the development of technology</w:t>
      </w:r>
      <w:r w:rsidR="003C1029">
        <w:rPr>
          <w:rFonts w:ascii="Arial" w:hAnsi="Arial" w:cs="Arial"/>
          <w:sz w:val="22"/>
          <w:szCs w:val="22"/>
        </w:rPr>
        <w:t xml:space="preserve"> </w:t>
      </w:r>
      <w:r w:rsidRPr="00055992">
        <w:rPr>
          <w:rFonts w:ascii="Arial" w:hAnsi="Arial" w:cs="Arial"/>
          <w:sz w:val="22"/>
          <w:szCs w:val="22"/>
        </w:rPr>
        <w:t>enabled virtual wards (NHS England, 2021a; NHS England, 2021b).</w:t>
      </w:r>
    </w:p>
    <w:p w14:paraId="33FA9B9B" w14:textId="44D19636" w:rsidR="00590508" w:rsidRPr="002246FE" w:rsidRDefault="00570C4D" w:rsidP="002246FE">
      <w:pPr>
        <w:pStyle w:val="NormalWeb"/>
        <w:spacing w:line="360" w:lineRule="auto"/>
        <w:rPr>
          <w:color w:val="000000"/>
          <w:sz w:val="27"/>
          <w:szCs w:val="27"/>
        </w:rPr>
      </w:pPr>
      <w:r w:rsidRPr="00570C4D">
        <w:rPr>
          <w:rFonts w:ascii="Arial" w:hAnsi="Arial" w:cs="Arial"/>
          <w:color w:val="000000"/>
          <w:sz w:val="22"/>
          <w:szCs w:val="22"/>
        </w:rPr>
        <w:t xml:space="preserve">Virtual wards may support admission avoidance and enable some patients to </w:t>
      </w:r>
      <w:r w:rsidR="00312A3D" w:rsidRPr="00570C4D">
        <w:rPr>
          <w:rFonts w:ascii="Arial" w:hAnsi="Arial" w:cs="Arial"/>
          <w:color w:val="000000"/>
          <w:sz w:val="22"/>
          <w:szCs w:val="22"/>
        </w:rPr>
        <w:t>depart</w:t>
      </w:r>
      <w:r w:rsidRPr="00570C4D">
        <w:rPr>
          <w:rFonts w:ascii="Arial" w:hAnsi="Arial" w:cs="Arial"/>
          <w:color w:val="000000"/>
          <w:sz w:val="22"/>
          <w:szCs w:val="22"/>
        </w:rPr>
        <w:t xml:space="preserve"> hospital earlier while </w:t>
      </w:r>
      <w:r w:rsidR="00312A3D" w:rsidRPr="00570C4D">
        <w:rPr>
          <w:rFonts w:ascii="Arial" w:hAnsi="Arial" w:cs="Arial"/>
          <w:color w:val="000000"/>
          <w:sz w:val="22"/>
          <w:szCs w:val="22"/>
        </w:rPr>
        <w:t>remaining</w:t>
      </w:r>
      <w:r w:rsidRPr="00570C4D">
        <w:rPr>
          <w:rFonts w:ascii="Arial" w:hAnsi="Arial" w:cs="Arial"/>
          <w:color w:val="000000"/>
          <w:sz w:val="22"/>
          <w:szCs w:val="22"/>
        </w:rPr>
        <w:t xml:space="preserve"> to </w:t>
      </w:r>
      <w:r w:rsidR="00312A3D" w:rsidRPr="00570C4D">
        <w:rPr>
          <w:rFonts w:ascii="Arial" w:hAnsi="Arial" w:cs="Arial"/>
          <w:color w:val="000000"/>
          <w:sz w:val="22"/>
          <w:szCs w:val="22"/>
        </w:rPr>
        <w:t>accept</w:t>
      </w:r>
      <w:r w:rsidRPr="00570C4D">
        <w:rPr>
          <w:rFonts w:ascii="Arial" w:hAnsi="Arial" w:cs="Arial"/>
          <w:color w:val="000000"/>
          <w:sz w:val="22"/>
          <w:szCs w:val="22"/>
        </w:rPr>
        <w:t xml:space="preserve"> appropriate clinical care at home (NHS England, 2022). However, implementation also raises important considerations relating to service integration, cost-effectiveness, patient safety, digital exclusion, equitable access and information governance</w:t>
      </w:r>
      <w:r w:rsidR="009E1F85">
        <w:rPr>
          <w:rFonts w:ascii="Arial" w:hAnsi="Arial" w:cs="Arial"/>
          <w:color w:val="000000"/>
          <w:sz w:val="22"/>
          <w:szCs w:val="22"/>
        </w:rPr>
        <w:t xml:space="preserve">. </w:t>
      </w:r>
      <w:r w:rsidR="003A5873" w:rsidRPr="007D7EC5">
        <w:rPr>
          <w:rStyle w:val="Strong"/>
          <w:rFonts w:ascii="Arial" w:hAnsi="Arial" w:cs="Arial"/>
          <w:b w:val="0"/>
          <w:bCs w:val="0"/>
          <w:color w:val="000000"/>
          <w:sz w:val="22"/>
          <w:szCs w:val="22"/>
        </w:rPr>
        <w:t>This report adopts a thematic approach to critically evaluate technology</w:t>
      </w:r>
      <w:r w:rsidR="001F7BCC">
        <w:rPr>
          <w:rStyle w:val="Strong"/>
          <w:rFonts w:ascii="Arial" w:hAnsi="Arial" w:cs="Arial"/>
          <w:b w:val="0"/>
          <w:bCs w:val="0"/>
          <w:color w:val="000000"/>
          <w:sz w:val="22"/>
          <w:szCs w:val="22"/>
        </w:rPr>
        <w:t xml:space="preserve"> </w:t>
      </w:r>
      <w:r w:rsidR="003A5873" w:rsidRPr="007D7EC5">
        <w:rPr>
          <w:rStyle w:val="Strong"/>
          <w:rFonts w:ascii="Arial" w:hAnsi="Arial" w:cs="Arial"/>
          <w:b w:val="0"/>
          <w:bCs w:val="0"/>
          <w:color w:val="000000"/>
          <w:sz w:val="22"/>
          <w:szCs w:val="22"/>
        </w:rPr>
        <w:t xml:space="preserve">enabled virtual wards, focusing on two themes: service delivery and </w:t>
      </w:r>
      <w:proofErr w:type="gramStart"/>
      <w:r w:rsidR="003A5873" w:rsidRPr="007D7EC5">
        <w:rPr>
          <w:rStyle w:val="Strong"/>
          <w:rFonts w:ascii="Arial" w:hAnsi="Arial" w:cs="Arial"/>
          <w:b w:val="0"/>
          <w:bCs w:val="0"/>
          <w:color w:val="000000"/>
          <w:sz w:val="22"/>
          <w:szCs w:val="22"/>
        </w:rPr>
        <w:t>patients</w:t>
      </w:r>
      <w:proofErr w:type="gramEnd"/>
      <w:r w:rsidR="003A5873" w:rsidRPr="007D7EC5">
        <w:rPr>
          <w:rStyle w:val="Strong"/>
          <w:rFonts w:ascii="Arial" w:hAnsi="Arial" w:cs="Arial"/>
          <w:b w:val="0"/>
          <w:bCs w:val="0"/>
          <w:color w:val="000000"/>
          <w:sz w:val="22"/>
          <w:szCs w:val="22"/>
        </w:rPr>
        <w:t>/service users</w:t>
      </w:r>
      <w:r w:rsidRPr="00570C4D">
        <w:rPr>
          <w:rFonts w:ascii="Arial" w:hAnsi="Arial" w:cs="Arial"/>
          <w:color w:val="000000"/>
          <w:sz w:val="22"/>
          <w:szCs w:val="22"/>
        </w:rPr>
        <w:t>. Both the potential benefits and limitations of this model of care will be considered.</w:t>
      </w:r>
      <w:r w:rsidR="0055139F">
        <w:rPr>
          <w:rFonts w:ascii="Arial" w:hAnsi="Arial" w:cs="Arial"/>
          <w:color w:val="000000"/>
          <w:sz w:val="22"/>
          <w:szCs w:val="22"/>
        </w:rPr>
        <w:t xml:space="preserve"> </w:t>
      </w:r>
    </w:p>
    <w:p w14:paraId="3CD98C1E" w14:textId="3084A9D2" w:rsidR="00D918D1" w:rsidRPr="00D918D1" w:rsidRDefault="00055992" w:rsidP="00D918D1">
      <w:pPr>
        <w:pStyle w:val="NormalWeb"/>
        <w:rPr>
          <w:rFonts w:ascii="Arial" w:hAnsi="Arial" w:cs="Arial"/>
          <w:color w:val="000000"/>
        </w:rPr>
      </w:pPr>
      <w:r w:rsidRPr="00055992">
        <w:rPr>
          <w:rStyle w:val="Strong"/>
          <w:rFonts w:ascii="Arial" w:hAnsi="Arial" w:cs="Arial"/>
          <w:color w:val="000000"/>
        </w:rPr>
        <w:t>Overview of the Digital Innovation</w:t>
      </w:r>
    </w:p>
    <w:p w14:paraId="3A5CC42A" w14:textId="7E64C770" w:rsidR="007D6372" w:rsidRDefault="00D918D1" w:rsidP="007D6372">
      <w:pPr>
        <w:pStyle w:val="NormalWeb"/>
        <w:spacing w:line="360" w:lineRule="auto"/>
        <w:rPr>
          <w:rFonts w:ascii="Arial" w:hAnsi="Arial" w:cs="Arial"/>
          <w:color w:val="000000"/>
          <w:sz w:val="22"/>
          <w:szCs w:val="22"/>
        </w:rPr>
      </w:pPr>
      <w:r w:rsidRPr="00D918D1">
        <w:rPr>
          <w:rFonts w:ascii="Arial" w:hAnsi="Arial" w:cs="Arial"/>
          <w:color w:val="000000"/>
          <w:sz w:val="22"/>
          <w:szCs w:val="22"/>
        </w:rPr>
        <w:t>Technology</w:t>
      </w:r>
      <w:r w:rsidR="00483DD2">
        <w:rPr>
          <w:rFonts w:ascii="Arial" w:hAnsi="Arial" w:cs="Arial"/>
          <w:color w:val="000000"/>
          <w:sz w:val="22"/>
          <w:szCs w:val="22"/>
        </w:rPr>
        <w:t xml:space="preserve"> </w:t>
      </w:r>
      <w:r w:rsidRPr="00D918D1">
        <w:rPr>
          <w:rFonts w:ascii="Arial" w:hAnsi="Arial" w:cs="Arial"/>
          <w:color w:val="000000"/>
          <w:sz w:val="22"/>
          <w:szCs w:val="22"/>
        </w:rPr>
        <w:t xml:space="preserve">enabled virtual wards allow selected patients to </w:t>
      </w:r>
      <w:r w:rsidR="00AC3791" w:rsidRPr="00D918D1">
        <w:rPr>
          <w:rFonts w:ascii="Arial" w:hAnsi="Arial" w:cs="Arial"/>
          <w:color w:val="000000"/>
          <w:sz w:val="22"/>
          <w:szCs w:val="22"/>
        </w:rPr>
        <w:t>get</w:t>
      </w:r>
      <w:r w:rsidRPr="00D918D1">
        <w:rPr>
          <w:rFonts w:ascii="Arial" w:hAnsi="Arial" w:cs="Arial"/>
          <w:color w:val="000000"/>
          <w:sz w:val="22"/>
          <w:szCs w:val="22"/>
        </w:rPr>
        <w:t xml:space="preserve"> hospital</w:t>
      </w:r>
      <w:r w:rsidR="007B3292">
        <w:rPr>
          <w:rFonts w:ascii="Arial" w:hAnsi="Arial" w:cs="Arial"/>
          <w:color w:val="000000"/>
          <w:sz w:val="22"/>
          <w:szCs w:val="22"/>
        </w:rPr>
        <w:t xml:space="preserve"> </w:t>
      </w:r>
      <w:r w:rsidRPr="00D918D1">
        <w:rPr>
          <w:rFonts w:ascii="Arial" w:hAnsi="Arial" w:cs="Arial"/>
          <w:color w:val="000000"/>
          <w:sz w:val="22"/>
          <w:szCs w:val="22"/>
        </w:rPr>
        <w:t xml:space="preserve">care </w:t>
      </w:r>
      <w:r w:rsidR="00AC3791" w:rsidRPr="00D918D1">
        <w:rPr>
          <w:rFonts w:ascii="Arial" w:hAnsi="Arial" w:cs="Arial"/>
          <w:color w:val="000000"/>
          <w:sz w:val="22"/>
          <w:szCs w:val="22"/>
        </w:rPr>
        <w:t>inside</w:t>
      </w:r>
      <w:r w:rsidRPr="00D918D1">
        <w:rPr>
          <w:rFonts w:ascii="Arial" w:hAnsi="Arial" w:cs="Arial"/>
          <w:color w:val="000000"/>
          <w:sz w:val="22"/>
          <w:szCs w:val="22"/>
        </w:rPr>
        <w:t xml:space="preserve"> their own </w:t>
      </w:r>
      <w:r w:rsidR="00AC3791" w:rsidRPr="00D918D1">
        <w:rPr>
          <w:rFonts w:ascii="Arial" w:hAnsi="Arial" w:cs="Arial"/>
          <w:color w:val="000000"/>
          <w:sz w:val="22"/>
          <w:szCs w:val="22"/>
        </w:rPr>
        <w:t>households</w:t>
      </w:r>
      <w:r w:rsidRPr="00D918D1">
        <w:rPr>
          <w:rFonts w:ascii="Arial" w:hAnsi="Arial" w:cs="Arial"/>
          <w:color w:val="000000"/>
          <w:sz w:val="22"/>
          <w:szCs w:val="22"/>
        </w:rPr>
        <w:t xml:space="preserve"> rather than remaining in hospital. Patients are supported by multidisciplinary clinical teams through home visits, remote consultations and regular clinical reviews (NHS England, 2021b). Digital technologies, including mobile app</w:t>
      </w:r>
      <w:r w:rsidR="000E475F">
        <w:rPr>
          <w:rFonts w:ascii="Arial" w:hAnsi="Arial" w:cs="Arial"/>
          <w:color w:val="000000"/>
          <w:sz w:val="22"/>
          <w:szCs w:val="22"/>
        </w:rPr>
        <w:t>s</w:t>
      </w:r>
      <w:r w:rsidRPr="00D918D1">
        <w:rPr>
          <w:rFonts w:ascii="Arial" w:hAnsi="Arial" w:cs="Arial"/>
          <w:color w:val="000000"/>
          <w:sz w:val="22"/>
          <w:szCs w:val="22"/>
        </w:rPr>
        <w:t>, wearable devices and remote</w:t>
      </w:r>
      <w:r w:rsidR="002C2B58">
        <w:rPr>
          <w:rFonts w:ascii="Arial" w:hAnsi="Arial" w:cs="Arial"/>
          <w:color w:val="000000"/>
          <w:sz w:val="22"/>
          <w:szCs w:val="22"/>
        </w:rPr>
        <w:t xml:space="preserve"> </w:t>
      </w:r>
      <w:r w:rsidRPr="00D918D1">
        <w:rPr>
          <w:rFonts w:ascii="Arial" w:hAnsi="Arial" w:cs="Arial"/>
          <w:color w:val="000000"/>
          <w:sz w:val="22"/>
          <w:szCs w:val="22"/>
        </w:rPr>
        <w:t xml:space="preserve">monitoring equipment, enable healthcare professionals to </w:t>
      </w:r>
      <w:r w:rsidR="008D67AE" w:rsidRPr="00D918D1">
        <w:rPr>
          <w:rFonts w:ascii="Arial" w:hAnsi="Arial" w:cs="Arial"/>
          <w:color w:val="000000"/>
          <w:sz w:val="22"/>
          <w:szCs w:val="22"/>
        </w:rPr>
        <w:t>observe</w:t>
      </w:r>
      <w:r w:rsidR="008D67AE">
        <w:rPr>
          <w:rFonts w:ascii="Arial" w:hAnsi="Arial" w:cs="Arial"/>
          <w:color w:val="000000"/>
          <w:sz w:val="22"/>
          <w:szCs w:val="22"/>
        </w:rPr>
        <w:t xml:space="preserve"> </w:t>
      </w:r>
      <w:proofErr w:type="gramStart"/>
      <w:r w:rsidRPr="00D918D1">
        <w:rPr>
          <w:rFonts w:ascii="Arial" w:hAnsi="Arial" w:cs="Arial"/>
          <w:color w:val="000000"/>
          <w:sz w:val="22"/>
          <w:szCs w:val="22"/>
        </w:rPr>
        <w:t>patients</w:t>
      </w:r>
      <w:proofErr w:type="gramEnd"/>
      <w:r w:rsidR="002C2B58">
        <w:rPr>
          <w:rFonts w:ascii="Arial" w:hAnsi="Arial" w:cs="Arial"/>
          <w:color w:val="000000"/>
          <w:sz w:val="22"/>
          <w:szCs w:val="22"/>
        </w:rPr>
        <w:t xml:space="preserve"> </w:t>
      </w:r>
      <w:r w:rsidRPr="00D918D1">
        <w:rPr>
          <w:rFonts w:ascii="Arial" w:hAnsi="Arial" w:cs="Arial"/>
          <w:color w:val="000000"/>
          <w:sz w:val="22"/>
          <w:szCs w:val="22"/>
        </w:rPr>
        <w:t>conditions and identify when further clinical assessment may be required (NHS England, 2021b). Virtual wards have been implemented across NHS services in England, including at Wrightington, Wigan and Leigh Teaching Hospitals NHS Foundation Trust, where their impact on hospital bed use and costs has been evaluated (Jalilian et al., 2024).</w:t>
      </w:r>
    </w:p>
    <w:p w14:paraId="545D6222" w14:textId="77777777" w:rsidR="007D6372" w:rsidRDefault="007D6372" w:rsidP="007D6372">
      <w:pPr>
        <w:pStyle w:val="NormalWeb"/>
        <w:spacing w:line="360" w:lineRule="auto"/>
        <w:rPr>
          <w:rFonts w:ascii="Arial" w:hAnsi="Arial" w:cs="Arial"/>
          <w:color w:val="000000"/>
          <w:sz w:val="22"/>
          <w:szCs w:val="22"/>
        </w:rPr>
      </w:pPr>
    </w:p>
    <w:p w14:paraId="60DD73A0" w14:textId="77777777" w:rsidR="00B1028A" w:rsidRDefault="00B1028A" w:rsidP="007D6372">
      <w:pPr>
        <w:pStyle w:val="NormalWeb"/>
        <w:spacing w:line="360" w:lineRule="auto"/>
        <w:rPr>
          <w:rFonts w:ascii="Arial" w:hAnsi="Arial" w:cs="Arial"/>
          <w:color w:val="000000"/>
          <w:sz w:val="22"/>
          <w:szCs w:val="22"/>
        </w:rPr>
      </w:pPr>
    </w:p>
    <w:p w14:paraId="5A4DC414" w14:textId="77777777" w:rsidR="00CC77A1" w:rsidRDefault="00CC77A1" w:rsidP="007D6372">
      <w:pPr>
        <w:pStyle w:val="NormalWeb"/>
        <w:spacing w:line="360" w:lineRule="auto"/>
        <w:rPr>
          <w:rFonts w:ascii="Arial" w:hAnsi="Arial" w:cs="Arial"/>
          <w:color w:val="000000"/>
          <w:sz w:val="22"/>
          <w:szCs w:val="22"/>
        </w:rPr>
      </w:pPr>
    </w:p>
    <w:p w14:paraId="57C64328" w14:textId="246F3B97" w:rsidR="00CA3A1A" w:rsidRPr="007D6372" w:rsidRDefault="00CA3A1A" w:rsidP="007D6372">
      <w:pPr>
        <w:pStyle w:val="NormalWeb"/>
        <w:spacing w:line="360" w:lineRule="auto"/>
        <w:rPr>
          <w:rFonts w:ascii="Arial" w:hAnsi="Arial" w:cs="Arial"/>
          <w:color w:val="000000"/>
          <w:sz w:val="22"/>
          <w:szCs w:val="22"/>
        </w:rPr>
      </w:pPr>
      <w:r w:rsidRPr="00AC6FF4">
        <w:rPr>
          <w:rFonts w:ascii="Arial" w:hAnsi="Arial" w:cs="Arial"/>
          <w:b/>
          <w:bCs/>
          <w:color w:val="000000"/>
        </w:rPr>
        <w:lastRenderedPageBreak/>
        <w:t>Impact of Virtual Wards on Service Delivery</w:t>
      </w:r>
    </w:p>
    <w:p w14:paraId="006991DE" w14:textId="5615392C" w:rsidR="005A62BD" w:rsidRDefault="00CA3A1A" w:rsidP="00270D32">
      <w:pPr>
        <w:pStyle w:val="NormalWeb"/>
        <w:spacing w:line="360" w:lineRule="auto"/>
        <w:rPr>
          <w:rFonts w:ascii="Arial" w:hAnsi="Arial" w:cs="Arial"/>
          <w:color w:val="000000"/>
          <w:sz w:val="22"/>
          <w:szCs w:val="22"/>
        </w:rPr>
      </w:pPr>
      <w:r w:rsidRPr="00270D32">
        <w:rPr>
          <w:rFonts w:ascii="Arial" w:hAnsi="Arial" w:cs="Arial"/>
          <w:color w:val="000000"/>
          <w:sz w:val="22"/>
          <w:szCs w:val="22"/>
        </w:rPr>
        <w:t xml:space="preserve">Virtual wards may improve NHS service delivery by reducing avoidable hospital admissions and supporting earlier discharge. NHS England (2024c) identifies these benefits as important for improving patient flow and releasing hospital capacity. An evaluation of 29 virtual ward pathways in </w:t>
      </w:r>
      <w:r w:rsidR="00CC77A1" w:rsidRPr="00270D32">
        <w:rPr>
          <w:rFonts w:ascii="Arial" w:hAnsi="Arial" w:cs="Arial"/>
          <w:color w:val="000000"/>
          <w:sz w:val="22"/>
          <w:szCs w:val="22"/>
        </w:rPr>
        <w:t>Southeast</w:t>
      </w:r>
      <w:r w:rsidRPr="00270D32">
        <w:rPr>
          <w:rFonts w:ascii="Arial" w:hAnsi="Arial" w:cs="Arial"/>
          <w:color w:val="000000"/>
          <w:sz w:val="22"/>
          <w:szCs w:val="22"/>
        </w:rPr>
        <w:t xml:space="preserve"> England </w:t>
      </w:r>
      <w:r w:rsidR="00574046" w:rsidRPr="00270D32">
        <w:rPr>
          <w:rFonts w:ascii="Arial" w:hAnsi="Arial" w:cs="Arial"/>
          <w:color w:val="000000"/>
          <w:sz w:val="22"/>
          <w:szCs w:val="22"/>
        </w:rPr>
        <w:t>creates</w:t>
      </w:r>
      <w:r w:rsidRPr="00270D32">
        <w:rPr>
          <w:rFonts w:ascii="Arial" w:hAnsi="Arial" w:cs="Arial"/>
          <w:color w:val="000000"/>
          <w:sz w:val="22"/>
          <w:szCs w:val="22"/>
        </w:rPr>
        <w:t xml:space="preserve"> approximately one non-elective admission avoided for every 2.5 virtual ward admissions, with stronger results in more established services (NHS England, 2024b).</w:t>
      </w:r>
    </w:p>
    <w:p w14:paraId="59B973F9" w14:textId="097AE20B" w:rsidR="007716A9" w:rsidRDefault="00CA3A1A" w:rsidP="00270D32">
      <w:pPr>
        <w:pStyle w:val="NormalWeb"/>
        <w:spacing w:line="360" w:lineRule="auto"/>
        <w:rPr>
          <w:rFonts w:ascii="Arial" w:hAnsi="Arial" w:cs="Arial"/>
          <w:color w:val="000000"/>
          <w:sz w:val="22"/>
          <w:szCs w:val="22"/>
        </w:rPr>
      </w:pPr>
      <w:r w:rsidRPr="00270D32">
        <w:rPr>
          <w:rFonts w:ascii="Arial" w:hAnsi="Arial" w:cs="Arial"/>
          <w:color w:val="000000"/>
          <w:sz w:val="22"/>
          <w:szCs w:val="22"/>
        </w:rPr>
        <w:t xml:space="preserve">However, this association does not establish that virtual wards directly caused fewer admissions. Norman </w:t>
      </w:r>
      <w:r w:rsidRPr="009A3CB6">
        <w:rPr>
          <w:rFonts w:ascii="Arial" w:hAnsi="Arial" w:cs="Arial"/>
          <w:i/>
          <w:iCs/>
          <w:color w:val="000000"/>
          <w:sz w:val="22"/>
          <w:szCs w:val="22"/>
        </w:rPr>
        <w:t>et al.</w:t>
      </w:r>
      <w:r w:rsidRPr="00270D32">
        <w:rPr>
          <w:rFonts w:ascii="Arial" w:hAnsi="Arial" w:cs="Arial"/>
          <w:color w:val="000000"/>
          <w:sz w:val="22"/>
          <w:szCs w:val="22"/>
        </w:rPr>
        <w:t xml:space="preserve"> (2023) found encouraging evidence for Hospital at Home models but highlighted that research specifically examining virtual wards was more </w:t>
      </w:r>
      <w:r w:rsidR="009855D8" w:rsidRPr="00270D32">
        <w:rPr>
          <w:rFonts w:ascii="Arial" w:hAnsi="Arial" w:cs="Arial"/>
          <w:color w:val="000000"/>
          <w:sz w:val="22"/>
          <w:szCs w:val="22"/>
        </w:rPr>
        <w:t>limited. Therefore</w:t>
      </w:r>
      <w:r w:rsidRPr="00270D32">
        <w:rPr>
          <w:rFonts w:ascii="Arial" w:hAnsi="Arial" w:cs="Arial"/>
          <w:color w:val="000000"/>
          <w:sz w:val="22"/>
          <w:szCs w:val="22"/>
        </w:rPr>
        <w:t xml:space="preserve">, although NHS evaluations suggest operational benefits, further independent research is </w:t>
      </w:r>
      <w:r w:rsidR="00372E55" w:rsidRPr="00270D32">
        <w:rPr>
          <w:rFonts w:ascii="Arial" w:hAnsi="Arial" w:cs="Arial"/>
          <w:color w:val="000000"/>
          <w:sz w:val="22"/>
          <w:szCs w:val="22"/>
        </w:rPr>
        <w:t>required</w:t>
      </w:r>
      <w:r w:rsidRPr="00270D32">
        <w:rPr>
          <w:rFonts w:ascii="Arial" w:hAnsi="Arial" w:cs="Arial"/>
          <w:color w:val="000000"/>
          <w:sz w:val="22"/>
          <w:szCs w:val="22"/>
        </w:rPr>
        <w:t xml:space="preserve"> to establish whether these improvements can be sustained across different patient groups and healthcare settings.</w:t>
      </w:r>
    </w:p>
    <w:p w14:paraId="00307A32" w14:textId="02DA505B" w:rsidR="003F7D36" w:rsidRPr="00270D32" w:rsidRDefault="003F7D36" w:rsidP="00270D32">
      <w:pPr>
        <w:pStyle w:val="NormalWeb"/>
        <w:spacing w:line="360" w:lineRule="auto"/>
        <w:rPr>
          <w:rFonts w:ascii="Arial" w:hAnsi="Arial" w:cs="Arial"/>
          <w:color w:val="000000"/>
          <w:sz w:val="22"/>
          <w:szCs w:val="22"/>
        </w:rPr>
      </w:pPr>
      <w:r w:rsidRPr="00270D32">
        <w:rPr>
          <w:rFonts w:ascii="Arial" w:hAnsi="Arial" w:cs="Arial"/>
          <w:color w:val="000000"/>
          <w:sz w:val="22"/>
          <w:szCs w:val="22"/>
        </w:rPr>
        <w:t xml:space="preserve">An important limitation is that the </w:t>
      </w:r>
      <w:r w:rsidR="00F1195F" w:rsidRPr="00270D32">
        <w:rPr>
          <w:rFonts w:ascii="Arial" w:hAnsi="Arial" w:cs="Arial"/>
          <w:color w:val="000000"/>
          <w:sz w:val="22"/>
          <w:szCs w:val="22"/>
        </w:rPr>
        <w:t>Southeast</w:t>
      </w:r>
      <w:r w:rsidRPr="00270D32">
        <w:rPr>
          <w:rFonts w:ascii="Arial" w:hAnsi="Arial" w:cs="Arial"/>
          <w:color w:val="000000"/>
          <w:sz w:val="22"/>
          <w:szCs w:val="22"/>
        </w:rPr>
        <w:t xml:space="preserve"> England evaluation examined established and developing virtual ward pathways, which may have differed in staffing, patient selection and clinical arrangements (NHS England, 2024b). Consequently, improvements reported in one region may not be reproduced across all NHS organisations. This supports the need for evaluations that consider local service conditions alongside admission rates, rather than treating reduced hospital activity as evidence of effectiveness on its own.</w:t>
      </w:r>
    </w:p>
    <w:p w14:paraId="25E70F90" w14:textId="6CD78903" w:rsidR="00C35FA7" w:rsidRDefault="00CA3A1A" w:rsidP="00AC6FF4">
      <w:pPr>
        <w:pStyle w:val="NormalWeb"/>
        <w:spacing w:line="360" w:lineRule="auto"/>
        <w:rPr>
          <w:rFonts w:ascii="Arial" w:hAnsi="Arial" w:cs="Arial"/>
          <w:color w:val="000000"/>
          <w:sz w:val="22"/>
          <w:szCs w:val="22"/>
        </w:rPr>
      </w:pPr>
      <w:r w:rsidRPr="00F62729">
        <w:rPr>
          <w:rFonts w:ascii="Arial" w:hAnsi="Arial" w:cs="Arial"/>
          <w:color w:val="000000"/>
          <w:sz w:val="22"/>
          <w:szCs w:val="22"/>
        </w:rPr>
        <w:t xml:space="preserve">Cost-effectiveness is another important consideration because reducing hospital bed use does not necessarily produce financial savings. At Wrightington, Wigan and Leigh Teaching Hospitals NHS Foundation Trust, virtual ward patients had approximately 3.07 fewer inpatient bed days, while the estimated cost per hospital bed day </w:t>
      </w:r>
      <w:r w:rsidR="00684D7B" w:rsidRPr="00F62729">
        <w:rPr>
          <w:rFonts w:ascii="Arial" w:hAnsi="Arial" w:cs="Arial"/>
          <w:color w:val="000000"/>
          <w:sz w:val="22"/>
          <w:szCs w:val="22"/>
        </w:rPr>
        <w:t>s</w:t>
      </w:r>
      <w:r w:rsidR="00684D7B">
        <w:rPr>
          <w:rFonts w:ascii="Arial" w:hAnsi="Arial" w:cs="Arial"/>
          <w:color w:val="000000"/>
          <w:sz w:val="22"/>
          <w:szCs w:val="22"/>
        </w:rPr>
        <w:t>aved</w:t>
      </w:r>
      <w:r w:rsidRPr="00F62729">
        <w:rPr>
          <w:rFonts w:ascii="Arial" w:hAnsi="Arial" w:cs="Arial"/>
          <w:color w:val="000000"/>
          <w:sz w:val="22"/>
          <w:szCs w:val="22"/>
        </w:rPr>
        <w:t xml:space="preserve"> was £935 </w:t>
      </w:r>
      <w:r w:rsidR="00684D7B" w:rsidRPr="00F62729">
        <w:rPr>
          <w:rFonts w:ascii="Arial" w:hAnsi="Arial" w:cs="Arial"/>
          <w:color w:val="000000"/>
          <w:sz w:val="22"/>
          <w:szCs w:val="22"/>
        </w:rPr>
        <w:t>matched</w:t>
      </w:r>
      <w:r w:rsidRPr="00F62729">
        <w:rPr>
          <w:rFonts w:ascii="Arial" w:hAnsi="Arial" w:cs="Arial"/>
          <w:color w:val="000000"/>
          <w:sz w:val="22"/>
          <w:szCs w:val="22"/>
        </w:rPr>
        <w:t xml:space="preserve"> with £536 for </w:t>
      </w:r>
      <w:r w:rsidR="00CC77A1" w:rsidRPr="00F62729">
        <w:rPr>
          <w:rFonts w:ascii="Arial" w:hAnsi="Arial" w:cs="Arial"/>
          <w:color w:val="000000"/>
          <w:sz w:val="22"/>
          <w:szCs w:val="22"/>
        </w:rPr>
        <w:t>an</w:t>
      </w:r>
      <w:r w:rsidRPr="00F62729">
        <w:rPr>
          <w:rFonts w:ascii="Arial" w:hAnsi="Arial" w:cs="Arial"/>
          <w:color w:val="000000"/>
          <w:sz w:val="22"/>
          <w:szCs w:val="22"/>
        </w:rPr>
        <w:t xml:space="preserve"> </w:t>
      </w:r>
      <w:r w:rsidR="00777E8F" w:rsidRPr="00F62729">
        <w:rPr>
          <w:rFonts w:ascii="Arial" w:hAnsi="Arial" w:cs="Arial"/>
          <w:color w:val="000000"/>
          <w:sz w:val="22"/>
          <w:szCs w:val="22"/>
        </w:rPr>
        <w:t>established</w:t>
      </w:r>
      <w:r w:rsidRPr="00F62729">
        <w:rPr>
          <w:rFonts w:ascii="Arial" w:hAnsi="Arial" w:cs="Arial"/>
          <w:color w:val="000000"/>
          <w:sz w:val="22"/>
          <w:szCs w:val="22"/>
        </w:rPr>
        <w:t xml:space="preserve"> non-elective hospital bed day (Jalilian </w:t>
      </w:r>
      <w:r w:rsidRPr="00A56720">
        <w:rPr>
          <w:rFonts w:ascii="Arial" w:hAnsi="Arial" w:cs="Arial"/>
          <w:i/>
          <w:iCs/>
          <w:color w:val="000000"/>
          <w:sz w:val="22"/>
          <w:szCs w:val="22"/>
        </w:rPr>
        <w:t>et al.,</w:t>
      </w:r>
      <w:r w:rsidRPr="00F62729">
        <w:rPr>
          <w:rFonts w:ascii="Arial" w:hAnsi="Arial" w:cs="Arial"/>
          <w:color w:val="000000"/>
          <w:sz w:val="22"/>
          <w:szCs w:val="22"/>
        </w:rPr>
        <w:t xml:space="preserve"> 2024).</w:t>
      </w:r>
    </w:p>
    <w:p w14:paraId="62754DFA" w14:textId="181F26DC" w:rsidR="006937A1" w:rsidRDefault="00CA3A1A" w:rsidP="00AC6FF4">
      <w:pPr>
        <w:pStyle w:val="NormalWeb"/>
        <w:spacing w:line="360" w:lineRule="auto"/>
        <w:rPr>
          <w:rFonts w:ascii="Arial" w:hAnsi="Arial" w:cs="Arial"/>
          <w:color w:val="000000"/>
          <w:sz w:val="22"/>
          <w:szCs w:val="22"/>
        </w:rPr>
      </w:pPr>
      <w:r w:rsidRPr="00F62729">
        <w:rPr>
          <w:rFonts w:ascii="Arial" w:hAnsi="Arial" w:cs="Arial"/>
          <w:color w:val="000000"/>
          <w:sz w:val="22"/>
          <w:szCs w:val="22"/>
        </w:rPr>
        <w:t xml:space="preserve">Similarly, Norman </w:t>
      </w:r>
      <w:r w:rsidRPr="00A56720">
        <w:rPr>
          <w:rFonts w:ascii="Arial" w:hAnsi="Arial" w:cs="Arial"/>
          <w:i/>
          <w:iCs/>
          <w:color w:val="000000"/>
          <w:sz w:val="22"/>
          <w:szCs w:val="22"/>
        </w:rPr>
        <w:t>et al.</w:t>
      </w:r>
      <w:r w:rsidRPr="00F62729">
        <w:rPr>
          <w:rFonts w:ascii="Arial" w:hAnsi="Arial" w:cs="Arial"/>
          <w:color w:val="000000"/>
          <w:sz w:val="22"/>
          <w:szCs w:val="22"/>
        </w:rPr>
        <w:t xml:space="preserve"> (2023) identified methodological limitations in the available economic evidence. Shi </w:t>
      </w:r>
      <w:r w:rsidRPr="00820E88">
        <w:rPr>
          <w:rFonts w:ascii="Arial" w:hAnsi="Arial" w:cs="Arial"/>
          <w:i/>
          <w:iCs/>
          <w:color w:val="000000"/>
          <w:sz w:val="22"/>
          <w:szCs w:val="22"/>
        </w:rPr>
        <w:t>et al</w:t>
      </w:r>
      <w:r w:rsidRPr="00F62729">
        <w:rPr>
          <w:rFonts w:ascii="Arial" w:hAnsi="Arial" w:cs="Arial"/>
          <w:color w:val="000000"/>
          <w:sz w:val="22"/>
          <w:szCs w:val="22"/>
        </w:rPr>
        <w:t>. (2024) also found insufficient cost</w:t>
      </w:r>
      <w:r w:rsidR="005B07EC">
        <w:rPr>
          <w:rFonts w:ascii="Arial" w:hAnsi="Arial" w:cs="Arial"/>
          <w:color w:val="000000"/>
          <w:sz w:val="22"/>
          <w:szCs w:val="22"/>
        </w:rPr>
        <w:t xml:space="preserve"> </w:t>
      </w:r>
      <w:r w:rsidRPr="00F62729">
        <w:rPr>
          <w:rFonts w:ascii="Arial" w:hAnsi="Arial" w:cs="Arial"/>
          <w:color w:val="000000"/>
          <w:sz w:val="22"/>
          <w:szCs w:val="22"/>
        </w:rPr>
        <w:t xml:space="preserve">effectiveness evidence for models using higher levels of technology. </w:t>
      </w:r>
    </w:p>
    <w:p w14:paraId="45E87EFD" w14:textId="77777777" w:rsidR="008F5B90" w:rsidRDefault="00CA3A1A" w:rsidP="00AC6FF4">
      <w:pPr>
        <w:pStyle w:val="NormalWeb"/>
        <w:spacing w:line="360" w:lineRule="auto"/>
        <w:rPr>
          <w:rFonts w:ascii="Arial" w:hAnsi="Arial" w:cs="Arial"/>
          <w:color w:val="000000"/>
          <w:sz w:val="22"/>
          <w:szCs w:val="22"/>
        </w:rPr>
      </w:pPr>
      <w:r w:rsidRPr="00F62729">
        <w:rPr>
          <w:rFonts w:ascii="Arial" w:hAnsi="Arial" w:cs="Arial"/>
          <w:color w:val="000000"/>
          <w:sz w:val="22"/>
          <w:szCs w:val="22"/>
        </w:rPr>
        <w:t>Together, these findings challenge the assumption that virtual wards automatically offer better value for money. Their financial sustainability may depend on patient numbers, service utilisation and the resources required to deliver safe care.</w:t>
      </w:r>
    </w:p>
    <w:p w14:paraId="7D534384" w14:textId="516F91BA" w:rsidR="000B7638" w:rsidRPr="006B19B8" w:rsidRDefault="00F62729" w:rsidP="00AC6FF4">
      <w:pPr>
        <w:pStyle w:val="NormalWeb"/>
        <w:spacing w:line="360" w:lineRule="auto"/>
        <w:rPr>
          <w:rFonts w:ascii="Arial" w:hAnsi="Arial" w:cs="Arial"/>
          <w:color w:val="000000"/>
          <w:sz w:val="22"/>
          <w:szCs w:val="22"/>
        </w:rPr>
      </w:pPr>
      <w:r w:rsidRPr="00F62729">
        <w:rPr>
          <w:rFonts w:ascii="Arial" w:hAnsi="Arial" w:cs="Arial"/>
          <w:color w:val="000000"/>
          <w:sz w:val="22"/>
          <w:szCs w:val="22"/>
        </w:rPr>
        <w:lastRenderedPageBreak/>
        <w:t xml:space="preserve">Furthermore, the findings from Wrightington, Wigan and Leigh represent one hospital setting and may not reflect the costs of virtual wards operating with different staffing models or patient populations (Jalilian </w:t>
      </w:r>
      <w:r w:rsidRPr="007438C7">
        <w:rPr>
          <w:rFonts w:ascii="Arial" w:hAnsi="Arial" w:cs="Arial"/>
          <w:i/>
          <w:iCs/>
          <w:color w:val="000000"/>
          <w:sz w:val="22"/>
          <w:szCs w:val="22"/>
        </w:rPr>
        <w:t>et al.</w:t>
      </w:r>
      <w:r w:rsidRPr="00F62729">
        <w:rPr>
          <w:rFonts w:ascii="Arial" w:hAnsi="Arial" w:cs="Arial"/>
          <w:color w:val="000000"/>
          <w:sz w:val="22"/>
          <w:szCs w:val="22"/>
        </w:rPr>
        <w:t>, 2024). Although reducing inpatient bed days could improve patient flow, financial savings may be limited if hospitals continue to maintain the same staffing and infrastructure. Therefore, NHS organisations should consider the overall cost of delivering care across hospital and community settings rather than focusing only on the number of hospital beds released</w:t>
      </w:r>
      <w:r>
        <w:rPr>
          <w:color w:val="000000"/>
          <w:sz w:val="27"/>
          <w:szCs w:val="27"/>
        </w:rPr>
        <w:t>.</w:t>
      </w:r>
    </w:p>
    <w:p w14:paraId="697C2288" w14:textId="77777777" w:rsidR="00F95AD6" w:rsidRDefault="00CA3A1A" w:rsidP="00AC6FF4">
      <w:pPr>
        <w:pStyle w:val="NormalWeb"/>
        <w:spacing w:line="360" w:lineRule="auto"/>
        <w:rPr>
          <w:rFonts w:ascii="Arial" w:hAnsi="Arial" w:cs="Arial"/>
          <w:color w:val="000000"/>
          <w:sz w:val="22"/>
          <w:szCs w:val="22"/>
        </w:rPr>
      </w:pPr>
      <w:r w:rsidRPr="00AC6FF4">
        <w:rPr>
          <w:rFonts w:ascii="Arial" w:hAnsi="Arial" w:cs="Arial"/>
          <w:color w:val="000000"/>
          <w:sz w:val="22"/>
          <w:szCs w:val="22"/>
        </w:rPr>
        <w:t xml:space="preserve">Effective service delivery also depends on communication between hospital, community and primary care teams. NHS England (2024b) highlights the importance of integrated clinical pathways, while NICE (2023) identifies the need for digital platforms to work effectively with electronic patient records and medical devices. </w:t>
      </w:r>
    </w:p>
    <w:p w14:paraId="027E11DB" w14:textId="77777777" w:rsidR="007D1799" w:rsidRDefault="00CA3A1A" w:rsidP="00AC6FF4">
      <w:pPr>
        <w:pStyle w:val="NormalWeb"/>
        <w:spacing w:line="360" w:lineRule="auto"/>
        <w:rPr>
          <w:rFonts w:ascii="Arial" w:hAnsi="Arial" w:cs="Arial"/>
          <w:color w:val="000000"/>
          <w:sz w:val="22"/>
          <w:szCs w:val="22"/>
        </w:rPr>
      </w:pPr>
      <w:r w:rsidRPr="00AC6FF4">
        <w:rPr>
          <w:rFonts w:ascii="Arial" w:hAnsi="Arial" w:cs="Arial"/>
          <w:color w:val="000000"/>
          <w:sz w:val="22"/>
          <w:szCs w:val="22"/>
        </w:rPr>
        <w:t xml:space="preserve">However, Shi </w:t>
      </w:r>
      <w:r w:rsidRPr="00DF460B">
        <w:rPr>
          <w:rFonts w:ascii="Arial" w:hAnsi="Arial" w:cs="Arial"/>
          <w:i/>
          <w:iCs/>
          <w:color w:val="000000"/>
          <w:sz w:val="22"/>
          <w:szCs w:val="22"/>
        </w:rPr>
        <w:t>et al.</w:t>
      </w:r>
      <w:r w:rsidRPr="00AC6FF4">
        <w:rPr>
          <w:rFonts w:ascii="Arial" w:hAnsi="Arial" w:cs="Arial"/>
          <w:color w:val="000000"/>
          <w:sz w:val="22"/>
          <w:szCs w:val="22"/>
        </w:rPr>
        <w:t xml:space="preserve"> (2024) found that virtual ward models varied considerably in their clinical activities, workforce arrangements and technology. This makes it difficult to assume that evidence from one service will apply equally to another. </w:t>
      </w:r>
    </w:p>
    <w:p w14:paraId="724306B6" w14:textId="78918A93" w:rsidR="00CA3A1A" w:rsidRPr="000B7638" w:rsidRDefault="00CA3A1A" w:rsidP="00AC6FF4">
      <w:pPr>
        <w:pStyle w:val="NormalWeb"/>
        <w:spacing w:line="360" w:lineRule="auto"/>
        <w:rPr>
          <w:color w:val="000000"/>
          <w:sz w:val="27"/>
          <w:szCs w:val="27"/>
        </w:rPr>
      </w:pPr>
      <w:r w:rsidRPr="00AC6FF4">
        <w:rPr>
          <w:rFonts w:ascii="Arial" w:hAnsi="Arial" w:cs="Arial"/>
          <w:color w:val="000000"/>
          <w:sz w:val="22"/>
          <w:szCs w:val="22"/>
        </w:rPr>
        <w:t>Therefore, introducing digital monitoring equipment alone is unlikely to improve service delivery without effective information sharing, staff training and clear clinical responsibilities.</w:t>
      </w:r>
    </w:p>
    <w:p w14:paraId="241156E5" w14:textId="77A6E33E" w:rsidR="009B64C1" w:rsidRDefault="00CA3A1A" w:rsidP="00AC6FF4">
      <w:pPr>
        <w:pStyle w:val="NormalWeb"/>
        <w:spacing w:line="360" w:lineRule="auto"/>
        <w:rPr>
          <w:rFonts w:ascii="Arial" w:hAnsi="Arial" w:cs="Arial"/>
          <w:color w:val="000000"/>
          <w:sz w:val="22"/>
          <w:szCs w:val="22"/>
        </w:rPr>
      </w:pPr>
      <w:r w:rsidRPr="00AC6FF4">
        <w:rPr>
          <w:rFonts w:ascii="Arial" w:hAnsi="Arial" w:cs="Arial"/>
          <w:color w:val="000000"/>
          <w:sz w:val="22"/>
          <w:szCs w:val="22"/>
        </w:rPr>
        <w:t xml:space="preserve">Sustainability remains a further challenge as virtual ward services expand. NHS England (2024c) emphasises the importance of appropriate staffing, technology and patient selection. However, Norman </w:t>
      </w:r>
      <w:r w:rsidRPr="009307D7">
        <w:rPr>
          <w:rFonts w:ascii="Arial" w:hAnsi="Arial" w:cs="Arial"/>
          <w:i/>
          <w:iCs/>
          <w:color w:val="000000"/>
          <w:sz w:val="22"/>
          <w:szCs w:val="22"/>
        </w:rPr>
        <w:t>et al.</w:t>
      </w:r>
      <w:r w:rsidRPr="00AC6FF4">
        <w:rPr>
          <w:rFonts w:ascii="Arial" w:hAnsi="Arial" w:cs="Arial"/>
          <w:color w:val="000000"/>
          <w:sz w:val="22"/>
          <w:szCs w:val="22"/>
        </w:rPr>
        <w:t xml:space="preserve"> (2023) identified organisational and clinical barriers to implementation, while Shi </w:t>
      </w:r>
      <w:r w:rsidRPr="00495508">
        <w:rPr>
          <w:rFonts w:ascii="Arial" w:hAnsi="Arial" w:cs="Arial"/>
          <w:i/>
          <w:iCs/>
          <w:color w:val="000000"/>
          <w:sz w:val="22"/>
          <w:szCs w:val="22"/>
        </w:rPr>
        <w:t>et al.</w:t>
      </w:r>
      <w:r w:rsidRPr="00AC6FF4">
        <w:rPr>
          <w:rFonts w:ascii="Arial" w:hAnsi="Arial" w:cs="Arial"/>
          <w:color w:val="000000"/>
          <w:sz w:val="22"/>
          <w:szCs w:val="22"/>
        </w:rPr>
        <w:t xml:space="preserve"> (2024) highlighted continuing uncertainty about the</w:t>
      </w:r>
      <w:r w:rsidR="004C19E4">
        <w:rPr>
          <w:rFonts w:ascii="Arial" w:hAnsi="Arial" w:cs="Arial"/>
          <w:color w:val="000000"/>
          <w:sz w:val="22"/>
          <w:szCs w:val="22"/>
        </w:rPr>
        <w:t xml:space="preserve"> </w:t>
      </w:r>
      <w:r w:rsidRPr="00AC6FF4">
        <w:rPr>
          <w:rFonts w:ascii="Arial" w:hAnsi="Arial" w:cs="Arial"/>
          <w:color w:val="000000"/>
          <w:sz w:val="22"/>
          <w:szCs w:val="22"/>
        </w:rPr>
        <w:t>additional benefits of more intensive technology</w:t>
      </w:r>
      <w:r w:rsidR="004C19E4">
        <w:rPr>
          <w:rFonts w:ascii="Arial" w:hAnsi="Arial" w:cs="Arial"/>
          <w:color w:val="000000"/>
          <w:sz w:val="22"/>
          <w:szCs w:val="22"/>
        </w:rPr>
        <w:t>.</w:t>
      </w:r>
      <w:r w:rsidR="009307D7">
        <w:rPr>
          <w:rFonts w:ascii="Arial" w:hAnsi="Arial" w:cs="Arial"/>
          <w:color w:val="000000"/>
          <w:sz w:val="22"/>
          <w:szCs w:val="22"/>
        </w:rPr>
        <w:t xml:space="preserve"> </w:t>
      </w:r>
      <w:r w:rsidRPr="00AC6FF4">
        <w:rPr>
          <w:rFonts w:ascii="Arial" w:hAnsi="Arial" w:cs="Arial"/>
          <w:color w:val="000000"/>
          <w:sz w:val="22"/>
          <w:szCs w:val="22"/>
        </w:rPr>
        <w:t xml:space="preserve">This suggests that expanding virtual ward capacity without sufficient workforce and digital infrastructure may place additional pressure on services rather than improve efficiency. </w:t>
      </w:r>
    </w:p>
    <w:p w14:paraId="106556BA" w14:textId="7A6F8A16" w:rsidR="00CA3A1A" w:rsidRPr="00AC6FF4" w:rsidRDefault="00CA3A1A" w:rsidP="00AC6FF4">
      <w:pPr>
        <w:pStyle w:val="NormalWeb"/>
        <w:spacing w:line="360" w:lineRule="auto"/>
        <w:rPr>
          <w:rFonts w:ascii="Arial" w:hAnsi="Arial" w:cs="Arial"/>
          <w:color w:val="000000"/>
          <w:sz w:val="22"/>
          <w:szCs w:val="22"/>
        </w:rPr>
      </w:pPr>
      <w:r w:rsidRPr="00AC6FF4">
        <w:rPr>
          <w:rFonts w:ascii="Arial" w:hAnsi="Arial" w:cs="Arial"/>
          <w:color w:val="000000"/>
          <w:sz w:val="22"/>
          <w:szCs w:val="22"/>
        </w:rPr>
        <w:t>Overall, virtual wards offer opportunities to improve hospital capacity and patient flow, but their success depends on clinical integration, financial sustainability and ongoing evaluation rather than expansion alone.</w:t>
      </w:r>
    </w:p>
    <w:p w14:paraId="13DF0947" w14:textId="70CFD1C7" w:rsidR="00107DD8" w:rsidRPr="006033BF" w:rsidRDefault="00107DD8" w:rsidP="00107DD8">
      <w:pPr>
        <w:pStyle w:val="Heading1"/>
        <w:spacing w:line="360" w:lineRule="auto"/>
        <w:rPr>
          <w:rFonts w:ascii="Arial" w:eastAsia="Times New Roman" w:hAnsi="Arial" w:cs="Arial"/>
          <w:color w:val="000000"/>
          <w:kern w:val="0"/>
          <w:sz w:val="22"/>
          <w:szCs w:val="22"/>
          <w:lang w:eastAsia="en-GB"/>
          <w14:ligatures w14:val="none"/>
        </w:rPr>
      </w:pPr>
      <w:r w:rsidRPr="00EA7C53">
        <w:rPr>
          <w:rFonts w:ascii="Arial" w:eastAsia="Times New Roman" w:hAnsi="Arial" w:cs="Arial"/>
          <w:color w:val="000000"/>
          <w:kern w:val="0"/>
          <w:sz w:val="22"/>
          <w:szCs w:val="22"/>
          <w:lang w:eastAsia="en-GB"/>
          <w14:ligatures w14:val="none"/>
        </w:rPr>
        <w:lastRenderedPageBreak/>
        <w:t xml:space="preserve">Figure 1 demonstrates the expansion of virtual ward capacity in England, increasing from 9,713 beds in July 2023 to 11,833 beds by March 2024 (NHS England, 2024a). Occupancy also increased from 64.1% to 72% during the same period (NHS England, 2024a). This suggests increasing utilisation of virtual wards within NHS service delivery. </w:t>
      </w:r>
      <w:r w:rsidRPr="002045C0">
        <w:rPr>
          <w:rStyle w:val="Strong"/>
          <w:rFonts w:ascii="Arial" w:hAnsi="Arial" w:cs="Arial"/>
          <w:b w:val="0"/>
          <w:bCs w:val="0"/>
          <w:color w:val="000000"/>
          <w:sz w:val="22"/>
          <w:szCs w:val="22"/>
        </w:rPr>
        <w:t xml:space="preserve">However, increased capacity and occupancy do not independently demonstrate improved clinical outcomes, cost-effectiveness or reductions in hospital admissions. Furthermore, NHS England classifies its virtual ward capacity and occupancy </w:t>
      </w:r>
      <w:r w:rsidR="001922F2" w:rsidRPr="002045C0">
        <w:rPr>
          <w:rStyle w:val="Strong"/>
          <w:rFonts w:ascii="Arial" w:hAnsi="Arial" w:cs="Arial"/>
          <w:b w:val="0"/>
          <w:bCs w:val="0"/>
          <w:color w:val="000000"/>
          <w:sz w:val="22"/>
          <w:szCs w:val="22"/>
        </w:rPr>
        <w:t>figures</w:t>
      </w:r>
      <w:r w:rsidRPr="002045C0">
        <w:rPr>
          <w:rStyle w:val="Strong"/>
          <w:rFonts w:ascii="Arial" w:hAnsi="Arial" w:cs="Arial"/>
          <w:b w:val="0"/>
          <w:bCs w:val="0"/>
          <w:color w:val="000000"/>
          <w:sz w:val="22"/>
          <w:szCs w:val="22"/>
        </w:rPr>
        <w:t xml:space="preserve"> as management </w:t>
      </w:r>
      <w:r w:rsidR="00BC14E7" w:rsidRPr="002045C0">
        <w:rPr>
          <w:rStyle w:val="Strong"/>
          <w:rFonts w:ascii="Arial" w:hAnsi="Arial" w:cs="Arial"/>
          <w:b w:val="0"/>
          <w:bCs w:val="0"/>
          <w:color w:val="000000"/>
          <w:sz w:val="22"/>
          <w:szCs w:val="22"/>
        </w:rPr>
        <w:t>evidence</w:t>
      </w:r>
      <w:r w:rsidRPr="002045C0">
        <w:rPr>
          <w:rStyle w:val="Strong"/>
          <w:rFonts w:ascii="Arial" w:hAnsi="Arial" w:cs="Arial"/>
          <w:b w:val="0"/>
          <w:bCs w:val="0"/>
          <w:color w:val="000000"/>
          <w:sz w:val="22"/>
          <w:szCs w:val="22"/>
        </w:rPr>
        <w:t xml:space="preserve"> and </w:t>
      </w:r>
      <w:r w:rsidR="00BC14E7" w:rsidRPr="002045C0">
        <w:rPr>
          <w:rStyle w:val="Strong"/>
          <w:rFonts w:ascii="Arial" w:hAnsi="Arial" w:cs="Arial"/>
          <w:b w:val="0"/>
          <w:bCs w:val="0"/>
          <w:color w:val="000000"/>
          <w:sz w:val="22"/>
          <w:szCs w:val="22"/>
        </w:rPr>
        <w:t>recommends</w:t>
      </w:r>
      <w:r w:rsidRPr="002045C0">
        <w:rPr>
          <w:rStyle w:val="Strong"/>
          <w:rFonts w:ascii="Arial" w:hAnsi="Arial" w:cs="Arial"/>
          <w:b w:val="0"/>
          <w:bCs w:val="0"/>
          <w:color w:val="000000"/>
          <w:sz w:val="22"/>
          <w:szCs w:val="22"/>
        </w:rPr>
        <w:t xml:space="preserve"> that the data should be interpreted with </w:t>
      </w:r>
      <w:r w:rsidR="00AD02DD" w:rsidRPr="002045C0">
        <w:rPr>
          <w:rStyle w:val="Strong"/>
          <w:rFonts w:ascii="Arial" w:hAnsi="Arial" w:cs="Arial"/>
          <w:b w:val="0"/>
          <w:bCs w:val="0"/>
          <w:color w:val="000000"/>
          <w:sz w:val="22"/>
          <w:szCs w:val="22"/>
        </w:rPr>
        <w:t>attention</w:t>
      </w:r>
      <w:r w:rsidRPr="002045C0">
        <w:rPr>
          <w:rStyle w:val="Strong"/>
          <w:rFonts w:ascii="Arial" w:hAnsi="Arial" w:cs="Arial"/>
          <w:b w:val="0"/>
          <w:bCs w:val="0"/>
          <w:color w:val="000000"/>
          <w:sz w:val="22"/>
          <w:szCs w:val="22"/>
        </w:rPr>
        <w:t xml:space="preserve"> (NHS England, 2026b).</w:t>
      </w:r>
      <w:r w:rsidRPr="002045C0">
        <w:rPr>
          <w:rFonts w:ascii="Arial" w:hAnsi="Arial" w:cs="Arial"/>
          <w:color w:val="000000"/>
          <w:sz w:val="22"/>
          <w:szCs w:val="22"/>
        </w:rPr>
        <w:t xml:space="preserve"> Therefore, these statistics </w:t>
      </w:r>
      <w:r w:rsidR="00AD02DD" w:rsidRPr="002045C0">
        <w:rPr>
          <w:rFonts w:ascii="Arial" w:hAnsi="Arial" w:cs="Arial"/>
          <w:color w:val="000000"/>
          <w:sz w:val="22"/>
          <w:szCs w:val="22"/>
        </w:rPr>
        <w:t>must</w:t>
      </w:r>
      <w:r w:rsidRPr="002045C0">
        <w:rPr>
          <w:rFonts w:ascii="Arial" w:hAnsi="Arial" w:cs="Arial"/>
          <w:color w:val="000000"/>
          <w:sz w:val="22"/>
          <w:szCs w:val="22"/>
        </w:rPr>
        <w:t xml:space="preserve"> be considered alongside independent research on patient outcomes, financial costs and hospital admissions before conclusions can be drawn about the overall effectiveness of virtual wards.</w:t>
      </w:r>
    </w:p>
    <w:p w14:paraId="5074E4F5" w14:textId="77777777" w:rsidR="00C94559" w:rsidRDefault="00C94559" w:rsidP="00C4143C">
      <w:pPr>
        <w:pStyle w:val="NormalWeb"/>
        <w:rPr>
          <w:rStyle w:val="Strong"/>
          <w:rFonts w:ascii="Arial" w:hAnsi="Arial" w:cs="Arial"/>
          <w:color w:val="000000"/>
        </w:rPr>
      </w:pPr>
    </w:p>
    <w:p w14:paraId="6E21E7B0" w14:textId="77777777" w:rsidR="00C94559" w:rsidRDefault="00C94559" w:rsidP="00C4143C">
      <w:pPr>
        <w:pStyle w:val="NormalWeb"/>
        <w:rPr>
          <w:rStyle w:val="Strong"/>
          <w:rFonts w:ascii="Arial" w:hAnsi="Arial" w:cs="Arial"/>
          <w:color w:val="000000"/>
        </w:rPr>
      </w:pPr>
    </w:p>
    <w:p w14:paraId="2614E081" w14:textId="13226D11" w:rsidR="00C94559" w:rsidRDefault="00106D61" w:rsidP="00C4143C">
      <w:pPr>
        <w:pStyle w:val="NormalWeb"/>
        <w:rPr>
          <w:rStyle w:val="Strong"/>
          <w:rFonts w:ascii="Arial" w:hAnsi="Arial" w:cs="Arial"/>
          <w:color w:val="000000"/>
        </w:rPr>
      </w:pPr>
      <w:r>
        <w:rPr>
          <w:rFonts w:ascii="Arial" w:hAnsi="Arial" w:cs="Arial"/>
          <w:noProof/>
          <w:color w:val="000000"/>
          <w:sz w:val="22"/>
          <w:szCs w:val="22"/>
        </w:rPr>
        <w:drawing>
          <wp:inline distT="0" distB="0" distL="0" distR="0" wp14:anchorId="2ABEE877" wp14:editId="2E4537E8">
            <wp:extent cx="5731510" cy="3542030"/>
            <wp:effectExtent l="0" t="0" r="0" b="1270"/>
            <wp:docPr id="287029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29453" name="Picture 28702945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542030"/>
                    </a:xfrm>
                    <a:prstGeom prst="rect">
                      <a:avLst/>
                    </a:prstGeom>
                  </pic:spPr>
                </pic:pic>
              </a:graphicData>
            </a:graphic>
          </wp:inline>
        </w:drawing>
      </w:r>
    </w:p>
    <w:p w14:paraId="2A3FDA48" w14:textId="77777777" w:rsidR="00C94559" w:rsidRDefault="00C94559" w:rsidP="00C4143C">
      <w:pPr>
        <w:pStyle w:val="NormalWeb"/>
        <w:rPr>
          <w:rStyle w:val="Strong"/>
          <w:rFonts w:ascii="Arial" w:hAnsi="Arial" w:cs="Arial"/>
          <w:color w:val="000000"/>
        </w:rPr>
      </w:pPr>
    </w:p>
    <w:p w14:paraId="6AB08D93" w14:textId="77777777" w:rsidR="00C94559" w:rsidRDefault="00C94559" w:rsidP="00C4143C">
      <w:pPr>
        <w:pStyle w:val="NormalWeb"/>
        <w:rPr>
          <w:rStyle w:val="Strong"/>
          <w:rFonts w:ascii="Arial" w:hAnsi="Arial" w:cs="Arial"/>
          <w:color w:val="000000"/>
        </w:rPr>
      </w:pPr>
    </w:p>
    <w:p w14:paraId="4A258674" w14:textId="77777777" w:rsidR="00106D61" w:rsidRDefault="00106D61" w:rsidP="00106D61">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sidRPr="000A5DC4">
        <w:rPr>
          <w:rFonts w:ascii="Arial" w:hAnsi="Arial" w:cs="Arial"/>
          <w:sz w:val="22"/>
          <w:szCs w:val="22"/>
        </w:rPr>
        <w:fldChar w:fldCharType="begin"/>
      </w:r>
      <w:r w:rsidRPr="000A5DC4">
        <w:rPr>
          <w:rFonts w:ascii="Arial" w:hAnsi="Arial" w:cs="Arial"/>
          <w:sz w:val="22"/>
          <w:szCs w:val="22"/>
        </w:rPr>
        <w:instrText xml:space="preserve"> INCLUDEPICTURE "/Users/preciousgrant/Library/Group Containers/UBF8T346G9.ms/WebArchiveCopyPasteTempFiles/com.microsoft.Word/content?id=file_00000000254082068b9144b8a6c16762&amp;fn=virtual_ward_capacity_england.png&amp;cd=attachment&amp;ts=497295&amp;p=fs&amp;cid=1&amp;sig=6a3bae31d015d7a77c5176d7df70f1ba8bc27a7bf6277be6d4c444d6978dc326&amp;v=0" \* MERGEFORMATINET </w:instrText>
      </w:r>
      <w:r w:rsidRPr="000A5DC4">
        <w:rPr>
          <w:rFonts w:ascii="Arial" w:hAnsi="Arial" w:cs="Arial"/>
          <w:sz w:val="22"/>
          <w:szCs w:val="22"/>
        </w:rPr>
        <w:fldChar w:fldCharType="separate"/>
      </w:r>
      <w:r w:rsidRPr="000A5DC4">
        <w:rPr>
          <w:rFonts w:ascii="Arial" w:hAnsi="Arial" w:cs="Arial"/>
          <w:sz w:val="22"/>
          <w:szCs w:val="22"/>
        </w:rPr>
        <w:fldChar w:fldCharType="end"/>
      </w:r>
      <w:r w:rsidRPr="000A5DC4">
        <w:rPr>
          <w:rFonts w:ascii="Arial" w:eastAsia="Times New Roman" w:hAnsi="Arial" w:cs="Arial"/>
          <w:color w:val="000000"/>
          <w:kern w:val="0"/>
          <w:sz w:val="22"/>
          <w:szCs w:val="22"/>
          <w:lang w:eastAsia="en-GB"/>
          <w14:ligatures w14:val="none"/>
        </w:rPr>
        <w:t>Figure 1. Virtual ward capacity in England, July 2023 - March 2024</w:t>
      </w:r>
      <w:r w:rsidRPr="000A5DC4">
        <w:rPr>
          <w:rFonts w:ascii="Arial" w:eastAsia="Times New Roman" w:hAnsi="Arial" w:cs="Arial"/>
          <w:color w:val="000000"/>
          <w:kern w:val="0"/>
          <w:sz w:val="22"/>
          <w:szCs w:val="22"/>
          <w:lang w:eastAsia="en-GB"/>
          <w14:ligatures w14:val="none"/>
        </w:rPr>
        <w:br/>
      </w:r>
      <w:r w:rsidRPr="000A5DC4">
        <w:rPr>
          <w:rFonts w:ascii="Arial" w:eastAsia="Times New Roman" w:hAnsi="Arial" w:cs="Arial"/>
          <w:i/>
          <w:iCs/>
          <w:color w:val="000000"/>
          <w:kern w:val="0"/>
          <w:sz w:val="22"/>
          <w:szCs w:val="22"/>
          <w:lang w:eastAsia="en-GB"/>
          <w14:ligatures w14:val="none"/>
        </w:rPr>
        <w:t>Source: Adapted from NHS England (2024a)</w:t>
      </w:r>
      <w:r>
        <w:rPr>
          <w:rFonts w:ascii="Arial" w:eastAsia="Times New Roman" w:hAnsi="Arial" w:cs="Arial"/>
          <w:i/>
          <w:iCs/>
          <w:color w:val="000000"/>
          <w:kern w:val="0"/>
          <w:sz w:val="22"/>
          <w:szCs w:val="22"/>
          <w:lang w:eastAsia="en-GB"/>
          <w14:ligatures w14:val="none"/>
        </w:rPr>
        <w:t>.</w:t>
      </w:r>
    </w:p>
    <w:p w14:paraId="5B0D2B5A" w14:textId="77777777" w:rsidR="007E7464" w:rsidRDefault="007E7464" w:rsidP="00483DC8">
      <w:pPr>
        <w:spacing w:before="100" w:beforeAutospacing="1" w:after="100" w:afterAutospacing="1" w:line="360" w:lineRule="auto"/>
        <w:rPr>
          <w:rStyle w:val="Strong"/>
          <w:rFonts w:ascii="Arial" w:hAnsi="Arial" w:cs="Arial"/>
          <w:color w:val="000000"/>
        </w:rPr>
      </w:pPr>
    </w:p>
    <w:p w14:paraId="4F36CEA9" w14:textId="1ADAE844" w:rsidR="001E78B4" w:rsidRPr="00483DC8" w:rsidRDefault="00C4143C" w:rsidP="00483DC8">
      <w:pPr>
        <w:spacing w:before="100" w:beforeAutospacing="1" w:after="100" w:afterAutospacing="1" w:line="360" w:lineRule="auto"/>
        <w:rPr>
          <w:rStyle w:val="Strong"/>
          <w:rFonts w:ascii="Arial" w:eastAsia="Times New Roman" w:hAnsi="Arial" w:cs="Arial"/>
          <w:b w:val="0"/>
          <w:bCs w:val="0"/>
          <w:i/>
          <w:iCs/>
          <w:color w:val="000000"/>
          <w:kern w:val="0"/>
          <w:sz w:val="22"/>
          <w:szCs w:val="22"/>
          <w:lang w:eastAsia="en-GB"/>
          <w14:ligatures w14:val="none"/>
        </w:rPr>
      </w:pPr>
      <w:r w:rsidRPr="001E78B4">
        <w:rPr>
          <w:rStyle w:val="Strong"/>
          <w:rFonts w:ascii="Arial" w:hAnsi="Arial" w:cs="Arial"/>
          <w:color w:val="000000"/>
        </w:rPr>
        <w:lastRenderedPageBreak/>
        <w:t>Impact of Virtual Wards on Patients/Service Users</w:t>
      </w:r>
    </w:p>
    <w:p w14:paraId="32EC129C" w14:textId="77777777" w:rsidR="00100BFF" w:rsidRDefault="00A8751E" w:rsidP="00CA017B">
      <w:pPr>
        <w:pStyle w:val="NormalWeb"/>
        <w:spacing w:line="360" w:lineRule="auto"/>
        <w:rPr>
          <w:rFonts w:ascii="Arial" w:hAnsi="Arial" w:cs="Arial"/>
          <w:color w:val="000000"/>
          <w:sz w:val="22"/>
          <w:szCs w:val="22"/>
        </w:rPr>
      </w:pPr>
      <w:r w:rsidRPr="00CA017B">
        <w:rPr>
          <w:rFonts w:ascii="Arial" w:hAnsi="Arial" w:cs="Arial"/>
          <w:color w:val="000000"/>
          <w:sz w:val="22"/>
          <w:szCs w:val="22"/>
        </w:rPr>
        <w:t xml:space="preserve">Virtual wards may improve patients' experiences by allowing suitable individuals to receive hospital-level care in familiar surroundings, potentially increasing comfort, independence and convenience (NHS England, 2024c). Norman </w:t>
      </w:r>
      <w:r w:rsidRPr="004C4F0E">
        <w:rPr>
          <w:rFonts w:ascii="Arial" w:hAnsi="Arial" w:cs="Arial"/>
          <w:i/>
          <w:iCs/>
          <w:color w:val="000000"/>
          <w:sz w:val="22"/>
          <w:szCs w:val="22"/>
        </w:rPr>
        <w:t>et al.</w:t>
      </w:r>
      <w:r w:rsidRPr="00CA017B">
        <w:rPr>
          <w:rFonts w:ascii="Arial" w:hAnsi="Arial" w:cs="Arial"/>
          <w:color w:val="000000"/>
          <w:sz w:val="22"/>
          <w:szCs w:val="22"/>
        </w:rPr>
        <w:t xml:space="preserve"> (2023) identified generally positive patient satisfaction findings within Hospital at Home research, supporting the potential benefits of home-based care. However, the review also highlighted limitations in the available evidence, particularly concerning technology-enabled virtual wards.</w:t>
      </w:r>
    </w:p>
    <w:p w14:paraId="774CA6C7" w14:textId="2FCB223A" w:rsidR="00CA017B" w:rsidRPr="0054197F" w:rsidRDefault="00A8751E" w:rsidP="00CA017B">
      <w:pPr>
        <w:pStyle w:val="NormalWeb"/>
        <w:spacing w:line="360" w:lineRule="auto"/>
        <w:rPr>
          <w:rFonts w:ascii="Arial" w:hAnsi="Arial" w:cs="Arial"/>
          <w:color w:val="000000"/>
          <w:sz w:val="22"/>
          <w:szCs w:val="22"/>
        </w:rPr>
      </w:pPr>
      <w:r w:rsidRPr="00CA017B">
        <w:rPr>
          <w:rFonts w:ascii="Arial" w:hAnsi="Arial" w:cs="Arial"/>
          <w:color w:val="000000"/>
          <w:sz w:val="22"/>
          <w:szCs w:val="22"/>
        </w:rPr>
        <w:t>This suggests that positive experiences from established Hospital at Home services cannot automatically be generalised to all virtual ward patients. Individual clinical needs, home circumstances and access to support must therefore be considered</w:t>
      </w:r>
      <w:r w:rsidR="0054197F">
        <w:rPr>
          <w:rFonts w:ascii="Arial" w:hAnsi="Arial" w:cs="Arial"/>
          <w:color w:val="000000"/>
          <w:sz w:val="22"/>
          <w:szCs w:val="22"/>
        </w:rPr>
        <w:t xml:space="preserve"> </w:t>
      </w:r>
      <w:r w:rsidRPr="00CA017B">
        <w:rPr>
          <w:rFonts w:ascii="Arial" w:hAnsi="Arial" w:cs="Arial"/>
          <w:color w:val="000000"/>
          <w:sz w:val="22"/>
          <w:szCs w:val="22"/>
        </w:rPr>
        <w:t>when assessing whether this model provides genuinely person-centred care.</w:t>
      </w:r>
      <w:r w:rsidR="00D649D6">
        <w:rPr>
          <w:rFonts w:ascii="Arial" w:hAnsi="Arial" w:cs="Arial"/>
          <w:color w:val="000000"/>
          <w:sz w:val="22"/>
          <w:szCs w:val="22"/>
        </w:rPr>
        <w:t xml:space="preserve"> </w:t>
      </w:r>
      <w:r w:rsidR="00CA017B" w:rsidRPr="00CA017B">
        <w:rPr>
          <w:rFonts w:ascii="Arial" w:hAnsi="Arial" w:cs="Arial"/>
          <w:color w:val="000000"/>
          <w:sz w:val="22"/>
          <w:szCs w:val="22"/>
        </w:rPr>
        <w:t xml:space="preserve">A further consideration is whether patient satisfaction reflects the effectiveness of virtual ward care or simply a preference for receiving treatment at home. Norman </w:t>
      </w:r>
      <w:r w:rsidR="00CA017B" w:rsidRPr="00720E0A">
        <w:rPr>
          <w:rFonts w:ascii="Arial" w:hAnsi="Arial" w:cs="Arial"/>
          <w:i/>
          <w:iCs/>
          <w:color w:val="000000"/>
          <w:sz w:val="22"/>
          <w:szCs w:val="22"/>
        </w:rPr>
        <w:t>et al</w:t>
      </w:r>
      <w:r w:rsidR="00CA017B" w:rsidRPr="00CA017B">
        <w:rPr>
          <w:rFonts w:ascii="Arial" w:hAnsi="Arial" w:cs="Arial"/>
          <w:color w:val="000000"/>
          <w:sz w:val="22"/>
          <w:szCs w:val="22"/>
        </w:rPr>
        <w:t>. (2023) identified generally positive patient experiences, but the evidence does not establish that all patients benefit equally. For example, individuals requiring greater clinical supervision or support from family carers may experience home-based treatment differently. Therefore, patient satisfaction should be assessed alongside clinical outcomes, patient choice and the level of support available at home</w:t>
      </w:r>
      <w:r w:rsidR="00CA017B">
        <w:rPr>
          <w:color w:val="000000"/>
          <w:sz w:val="27"/>
          <w:szCs w:val="27"/>
        </w:rPr>
        <w:t>.</w:t>
      </w:r>
    </w:p>
    <w:p w14:paraId="4AB6B1E0" w14:textId="77777777" w:rsidR="007F4728" w:rsidRDefault="00A8751E" w:rsidP="00A8751E">
      <w:pPr>
        <w:pStyle w:val="NormalWeb"/>
        <w:spacing w:line="360" w:lineRule="auto"/>
        <w:rPr>
          <w:rFonts w:ascii="Arial" w:hAnsi="Arial" w:cs="Arial"/>
          <w:color w:val="000000"/>
          <w:sz w:val="22"/>
          <w:szCs w:val="22"/>
        </w:rPr>
      </w:pPr>
      <w:r w:rsidRPr="00A8751E">
        <w:rPr>
          <w:rFonts w:ascii="Arial" w:hAnsi="Arial" w:cs="Arial"/>
          <w:color w:val="000000"/>
          <w:sz w:val="22"/>
          <w:szCs w:val="22"/>
        </w:rPr>
        <w:t xml:space="preserve">Digital exclusion presents a significant challenge to equitable access. NHS England (2023a) recognises that limited digital skills, unreliable internet access and difficulties using technology may prevent some patients from benefiting from digital healthcare. </w:t>
      </w:r>
    </w:p>
    <w:p w14:paraId="060BAB2B" w14:textId="7AF620C0" w:rsidR="00596CFC" w:rsidRDefault="00A8751E" w:rsidP="00A8751E">
      <w:pPr>
        <w:pStyle w:val="NormalWeb"/>
        <w:spacing w:line="360" w:lineRule="auto"/>
        <w:rPr>
          <w:rFonts w:ascii="Arial" w:hAnsi="Arial" w:cs="Arial"/>
          <w:color w:val="000000"/>
          <w:sz w:val="22"/>
          <w:szCs w:val="22"/>
        </w:rPr>
      </w:pPr>
      <w:r w:rsidRPr="00A8751E">
        <w:rPr>
          <w:rFonts w:ascii="Arial" w:hAnsi="Arial" w:cs="Arial"/>
          <w:color w:val="000000"/>
          <w:sz w:val="22"/>
          <w:szCs w:val="22"/>
        </w:rPr>
        <w:t xml:space="preserve">Supporting this concern, Fox </w:t>
      </w:r>
      <w:r w:rsidRPr="00100E03">
        <w:rPr>
          <w:rFonts w:ascii="Arial" w:hAnsi="Arial" w:cs="Arial"/>
          <w:i/>
          <w:iCs/>
          <w:color w:val="000000"/>
          <w:sz w:val="22"/>
          <w:szCs w:val="22"/>
        </w:rPr>
        <w:t>et al</w:t>
      </w:r>
      <w:r w:rsidRPr="00A8751E">
        <w:rPr>
          <w:rFonts w:ascii="Arial" w:hAnsi="Arial" w:cs="Arial"/>
          <w:color w:val="000000"/>
          <w:sz w:val="22"/>
          <w:szCs w:val="22"/>
        </w:rPr>
        <w:t xml:space="preserve">. (2022) found that 31.5% of patients referred to a COVID virtual ward at a </w:t>
      </w:r>
      <w:r w:rsidR="00100E03" w:rsidRPr="00A8751E">
        <w:rPr>
          <w:rFonts w:ascii="Arial" w:hAnsi="Arial" w:cs="Arial"/>
          <w:color w:val="000000"/>
          <w:sz w:val="22"/>
          <w:szCs w:val="22"/>
        </w:rPr>
        <w:t>Northwest</w:t>
      </w:r>
      <w:r w:rsidRPr="00A8751E">
        <w:rPr>
          <w:rFonts w:ascii="Arial" w:hAnsi="Arial" w:cs="Arial"/>
          <w:color w:val="000000"/>
          <w:sz w:val="22"/>
          <w:szCs w:val="22"/>
        </w:rPr>
        <w:t xml:space="preserve"> London teaching hospital did not use the digital application, with language barriers, </w:t>
      </w:r>
      <w:r w:rsidR="00AC16B1" w:rsidRPr="00A8751E">
        <w:rPr>
          <w:rFonts w:ascii="Arial" w:hAnsi="Arial" w:cs="Arial"/>
          <w:color w:val="000000"/>
          <w:sz w:val="22"/>
          <w:szCs w:val="22"/>
        </w:rPr>
        <w:t>insufficient</w:t>
      </w:r>
      <w:r w:rsidRPr="00A8751E">
        <w:rPr>
          <w:rFonts w:ascii="Arial" w:hAnsi="Arial" w:cs="Arial"/>
          <w:color w:val="000000"/>
          <w:sz w:val="22"/>
          <w:szCs w:val="22"/>
        </w:rPr>
        <w:t xml:space="preserve"> training and limited IT skills contributing to non-use.</w:t>
      </w:r>
    </w:p>
    <w:p w14:paraId="1E6B9455" w14:textId="77777777" w:rsidR="00A055DD" w:rsidRDefault="00A8751E" w:rsidP="00A8751E">
      <w:pPr>
        <w:pStyle w:val="NormalWeb"/>
        <w:spacing w:line="360" w:lineRule="auto"/>
        <w:rPr>
          <w:rFonts w:ascii="Arial" w:hAnsi="Arial" w:cs="Arial"/>
          <w:color w:val="000000"/>
          <w:sz w:val="22"/>
          <w:szCs w:val="22"/>
        </w:rPr>
      </w:pPr>
      <w:r w:rsidRPr="00A8751E">
        <w:rPr>
          <w:rFonts w:ascii="Arial" w:hAnsi="Arial" w:cs="Arial"/>
          <w:color w:val="000000"/>
          <w:sz w:val="22"/>
          <w:szCs w:val="22"/>
        </w:rPr>
        <w:t>However, findings from one COVID-specific service cannot necessarily represent all virtual ward populations.</w:t>
      </w:r>
    </w:p>
    <w:p w14:paraId="5C76B497" w14:textId="33DE9908" w:rsidR="00A8751E" w:rsidRDefault="00A8751E" w:rsidP="00A8751E">
      <w:pPr>
        <w:pStyle w:val="NormalWeb"/>
        <w:spacing w:line="360" w:lineRule="auto"/>
        <w:rPr>
          <w:rFonts w:ascii="Arial" w:hAnsi="Arial" w:cs="Arial"/>
          <w:color w:val="000000"/>
          <w:sz w:val="22"/>
          <w:szCs w:val="22"/>
        </w:rPr>
      </w:pPr>
      <w:r w:rsidRPr="00A8751E">
        <w:rPr>
          <w:rFonts w:ascii="Arial" w:hAnsi="Arial" w:cs="Arial"/>
          <w:color w:val="000000"/>
          <w:sz w:val="22"/>
          <w:szCs w:val="22"/>
        </w:rPr>
        <w:t xml:space="preserve">Nevertheless, this evidence challenges the assumption that providing digital equipment alone ensures equal access. NHS organisations should therefore offer accessible information, practical training and non-digital monitoring alternatives, although these measures may require </w:t>
      </w:r>
      <w:r w:rsidR="00722192" w:rsidRPr="00A8751E">
        <w:rPr>
          <w:rFonts w:ascii="Arial" w:hAnsi="Arial" w:cs="Arial"/>
          <w:color w:val="000000"/>
          <w:sz w:val="22"/>
          <w:szCs w:val="22"/>
        </w:rPr>
        <w:t>extra</w:t>
      </w:r>
      <w:r w:rsidRPr="00A8751E">
        <w:rPr>
          <w:rFonts w:ascii="Arial" w:hAnsi="Arial" w:cs="Arial"/>
          <w:color w:val="000000"/>
          <w:sz w:val="22"/>
          <w:szCs w:val="22"/>
        </w:rPr>
        <w:t xml:space="preserve"> resources (NHS England, 2023a).</w:t>
      </w:r>
    </w:p>
    <w:p w14:paraId="5BE08E5B" w14:textId="755E6F8E" w:rsidR="005B0C6B" w:rsidRPr="005B0C6B" w:rsidRDefault="00E81234" w:rsidP="005B0C6B">
      <w:pPr>
        <w:pStyle w:val="NormalWeb"/>
        <w:spacing w:line="360" w:lineRule="auto"/>
        <w:rPr>
          <w:rFonts w:ascii="Arial" w:hAnsi="Arial" w:cs="Arial"/>
          <w:color w:val="000000"/>
          <w:sz w:val="22"/>
          <w:szCs w:val="22"/>
        </w:rPr>
      </w:pPr>
      <w:r w:rsidRPr="00E81234">
        <w:rPr>
          <w:rFonts w:ascii="Arial" w:hAnsi="Arial" w:cs="Arial"/>
          <w:color w:val="000000"/>
          <w:sz w:val="22"/>
          <w:szCs w:val="22"/>
        </w:rPr>
        <w:lastRenderedPageBreak/>
        <w:t xml:space="preserve">Digital exclusion also raises questions about whether virtual wards are equally suitable for patients with different social circumstances. The findings of Fox </w:t>
      </w:r>
      <w:r w:rsidRPr="00722192">
        <w:rPr>
          <w:rFonts w:ascii="Arial" w:hAnsi="Arial" w:cs="Arial"/>
          <w:i/>
          <w:iCs/>
          <w:color w:val="000000"/>
          <w:sz w:val="22"/>
          <w:szCs w:val="22"/>
        </w:rPr>
        <w:t>et al.</w:t>
      </w:r>
      <w:r w:rsidRPr="00E81234">
        <w:rPr>
          <w:rFonts w:ascii="Arial" w:hAnsi="Arial" w:cs="Arial"/>
          <w:color w:val="000000"/>
          <w:sz w:val="22"/>
          <w:szCs w:val="22"/>
        </w:rPr>
        <w:t xml:space="preserve"> (2022) suggest that barriers to using digital monitoring extend beyond access to equipment and include communication and confidence with technology. Therefore, simply providing a device may not address the underlying inequalities. NHS services should evaluate which patients are unable to participate digitally and whether alternative monitoring arrangements achieve </w:t>
      </w:r>
      <w:r w:rsidRPr="005B0C6B">
        <w:rPr>
          <w:rFonts w:ascii="Arial" w:hAnsi="Arial" w:cs="Arial"/>
          <w:color w:val="000000"/>
          <w:sz w:val="22"/>
          <w:szCs w:val="22"/>
        </w:rPr>
        <w:t>comparable access to safe care.</w:t>
      </w:r>
      <w:r w:rsidR="00616156">
        <w:rPr>
          <w:rFonts w:ascii="Arial" w:hAnsi="Arial" w:cs="Arial"/>
          <w:color w:val="000000"/>
          <w:sz w:val="22"/>
          <w:szCs w:val="22"/>
        </w:rPr>
        <w:t xml:space="preserve"> </w:t>
      </w:r>
      <w:r w:rsidR="005B0C6B" w:rsidRPr="005B0C6B">
        <w:rPr>
          <w:rFonts w:ascii="Arial" w:hAnsi="Arial" w:cs="Arial"/>
          <w:color w:val="000000"/>
          <w:sz w:val="22"/>
          <w:szCs w:val="22"/>
        </w:rPr>
        <w:t xml:space="preserve">Fox </w:t>
      </w:r>
      <w:r w:rsidR="005B0C6B" w:rsidRPr="000778CE">
        <w:rPr>
          <w:rFonts w:ascii="Arial" w:hAnsi="Arial" w:cs="Arial"/>
          <w:i/>
          <w:iCs/>
          <w:color w:val="000000"/>
          <w:sz w:val="22"/>
          <w:szCs w:val="22"/>
        </w:rPr>
        <w:t>et al.</w:t>
      </w:r>
      <w:r w:rsidR="005B0C6B" w:rsidRPr="005B0C6B">
        <w:rPr>
          <w:rFonts w:ascii="Arial" w:hAnsi="Arial" w:cs="Arial"/>
          <w:color w:val="000000"/>
          <w:sz w:val="22"/>
          <w:szCs w:val="22"/>
        </w:rPr>
        <w:t xml:space="preserve"> (2022) demonstrate practical </w:t>
      </w:r>
      <w:r w:rsidR="00956C1D" w:rsidRPr="005B0C6B">
        <w:rPr>
          <w:rFonts w:ascii="Arial" w:hAnsi="Arial" w:cs="Arial"/>
          <w:color w:val="000000"/>
          <w:sz w:val="22"/>
          <w:szCs w:val="22"/>
        </w:rPr>
        <w:t>obstacles</w:t>
      </w:r>
      <w:r w:rsidR="005B0C6B" w:rsidRPr="005B0C6B">
        <w:rPr>
          <w:rFonts w:ascii="Arial" w:hAnsi="Arial" w:cs="Arial"/>
          <w:color w:val="000000"/>
          <w:sz w:val="22"/>
          <w:szCs w:val="22"/>
        </w:rPr>
        <w:t xml:space="preserve"> to digital engagement among virtual ward patients, while NHS England (2023) presents digital healthcare as a key mechanism for service transformation. This contrast highlights the risk that digital innovations may unintentionally widen health inequalities if adequate support is not provided.</w:t>
      </w:r>
    </w:p>
    <w:p w14:paraId="50FAF8C5" w14:textId="54CCDC72" w:rsidR="00A8751E" w:rsidRPr="00A8751E" w:rsidRDefault="00A8751E" w:rsidP="00A8751E">
      <w:pPr>
        <w:pStyle w:val="NormalWeb"/>
        <w:spacing w:line="360" w:lineRule="auto"/>
        <w:rPr>
          <w:rFonts w:ascii="Arial" w:hAnsi="Arial" w:cs="Arial"/>
          <w:color w:val="000000"/>
          <w:sz w:val="22"/>
          <w:szCs w:val="22"/>
        </w:rPr>
      </w:pPr>
      <w:r w:rsidRPr="00A8751E">
        <w:rPr>
          <w:rFonts w:ascii="Arial" w:hAnsi="Arial" w:cs="Arial"/>
          <w:color w:val="000000"/>
          <w:sz w:val="22"/>
          <w:szCs w:val="22"/>
        </w:rPr>
        <w:t xml:space="preserve">Patient safety also requires critical consideration when acute care is delivered at home. NHS England (2024c) identifies remote monitoring and clinical review as important mechanisms for recognising deterioration and supporting timely intervention. However, Shi </w:t>
      </w:r>
      <w:r w:rsidRPr="00692B39">
        <w:rPr>
          <w:rFonts w:ascii="Arial" w:hAnsi="Arial" w:cs="Arial"/>
          <w:i/>
          <w:iCs/>
          <w:color w:val="000000"/>
          <w:sz w:val="22"/>
          <w:szCs w:val="22"/>
        </w:rPr>
        <w:t>et al.</w:t>
      </w:r>
      <w:r w:rsidRPr="00A8751E">
        <w:rPr>
          <w:rFonts w:ascii="Arial" w:hAnsi="Arial" w:cs="Arial"/>
          <w:color w:val="000000"/>
          <w:sz w:val="22"/>
          <w:szCs w:val="22"/>
        </w:rPr>
        <w:t xml:space="preserve"> (2024) found that although virtual wards and Hospital at Home models may provide safe inpatient care, the certainty of evidence for several outcomes remained limited. This creates uncertainty about whether technology</w:t>
      </w:r>
      <w:r w:rsidR="004D5F0E">
        <w:rPr>
          <w:rFonts w:ascii="Arial" w:hAnsi="Arial" w:cs="Arial"/>
          <w:color w:val="000000"/>
          <w:sz w:val="22"/>
          <w:szCs w:val="22"/>
        </w:rPr>
        <w:t xml:space="preserve"> </w:t>
      </w:r>
      <w:r w:rsidRPr="00A8751E">
        <w:rPr>
          <w:rFonts w:ascii="Arial" w:hAnsi="Arial" w:cs="Arial"/>
          <w:color w:val="000000"/>
          <w:sz w:val="22"/>
          <w:szCs w:val="22"/>
        </w:rPr>
        <w:t>enabled monitoring consistently achieves comparable safety outcomes across different services.</w:t>
      </w:r>
      <w:r w:rsidR="00DD07FC">
        <w:rPr>
          <w:rFonts w:ascii="Arial" w:hAnsi="Arial" w:cs="Arial"/>
          <w:color w:val="000000"/>
          <w:sz w:val="22"/>
          <w:szCs w:val="22"/>
        </w:rPr>
        <w:t xml:space="preserve"> </w:t>
      </w:r>
      <w:r w:rsidRPr="00A8751E">
        <w:rPr>
          <w:rFonts w:ascii="Arial" w:hAnsi="Arial" w:cs="Arial"/>
          <w:color w:val="000000"/>
          <w:sz w:val="22"/>
          <w:szCs w:val="22"/>
        </w:rPr>
        <w:t>Furthermore, clinical deterioration may occur between observations, meaning that technology cannot replace professional judgement and face-to-face assessment when required. Appropriate patient selection, clear escalation procedures and timely clinical intervention are therefore essential (NHS England, 2024c).</w:t>
      </w:r>
    </w:p>
    <w:p w14:paraId="7234E90A" w14:textId="02F4BAD1" w:rsidR="00AF5EFC" w:rsidRDefault="00A8751E" w:rsidP="00A8751E">
      <w:pPr>
        <w:pStyle w:val="NormalWeb"/>
        <w:spacing w:line="360" w:lineRule="auto"/>
        <w:rPr>
          <w:rFonts w:ascii="Arial" w:hAnsi="Arial" w:cs="Arial"/>
          <w:color w:val="000000"/>
          <w:sz w:val="22"/>
          <w:szCs w:val="22"/>
        </w:rPr>
      </w:pPr>
      <w:r w:rsidRPr="00A8751E">
        <w:rPr>
          <w:rFonts w:ascii="Arial" w:hAnsi="Arial" w:cs="Arial"/>
          <w:color w:val="000000"/>
          <w:sz w:val="22"/>
          <w:szCs w:val="22"/>
        </w:rPr>
        <w:t xml:space="preserve">Confidentiality and information governance are additional considerations because virtual wards require sensitive patient information to be collected and shared between healthcare professionals. Under UK GDPR, health information is </w:t>
      </w:r>
      <w:r w:rsidR="00542820" w:rsidRPr="00A8751E">
        <w:rPr>
          <w:rFonts w:ascii="Arial" w:hAnsi="Arial" w:cs="Arial"/>
          <w:color w:val="000000"/>
          <w:sz w:val="22"/>
          <w:szCs w:val="22"/>
        </w:rPr>
        <w:t>confidential</w:t>
      </w:r>
      <w:r w:rsidRPr="00A8751E">
        <w:rPr>
          <w:rFonts w:ascii="Arial" w:hAnsi="Arial" w:cs="Arial"/>
          <w:color w:val="000000"/>
          <w:sz w:val="22"/>
          <w:szCs w:val="22"/>
        </w:rPr>
        <w:t xml:space="preserve"> as special category data </w:t>
      </w:r>
      <w:r w:rsidR="00CC192E" w:rsidRPr="00A8751E">
        <w:rPr>
          <w:rFonts w:ascii="Arial" w:hAnsi="Arial" w:cs="Arial"/>
          <w:color w:val="000000"/>
          <w:sz w:val="22"/>
          <w:szCs w:val="22"/>
        </w:rPr>
        <w:t>needing</w:t>
      </w:r>
      <w:r w:rsidRPr="00A8751E">
        <w:rPr>
          <w:rFonts w:ascii="Arial" w:hAnsi="Arial" w:cs="Arial"/>
          <w:color w:val="000000"/>
          <w:sz w:val="22"/>
          <w:szCs w:val="22"/>
        </w:rPr>
        <w:t xml:space="preserve"> </w:t>
      </w:r>
      <w:r w:rsidR="00D84126" w:rsidRPr="00A8751E">
        <w:rPr>
          <w:rFonts w:ascii="Arial" w:hAnsi="Arial" w:cs="Arial"/>
          <w:color w:val="000000"/>
          <w:sz w:val="22"/>
          <w:szCs w:val="22"/>
        </w:rPr>
        <w:t>extra</w:t>
      </w:r>
      <w:r w:rsidRPr="00A8751E">
        <w:rPr>
          <w:rFonts w:ascii="Arial" w:hAnsi="Arial" w:cs="Arial"/>
          <w:color w:val="000000"/>
          <w:sz w:val="22"/>
          <w:szCs w:val="22"/>
        </w:rPr>
        <w:t xml:space="preserve"> safeguards (Information Commissioner's Office, 2024). </w:t>
      </w:r>
    </w:p>
    <w:p w14:paraId="10FABC41" w14:textId="5C47949F" w:rsidR="00233FF7" w:rsidRPr="008F5B28" w:rsidRDefault="00A8751E" w:rsidP="008F5B28">
      <w:pPr>
        <w:pStyle w:val="NormalWeb"/>
        <w:spacing w:line="360" w:lineRule="auto"/>
        <w:rPr>
          <w:rFonts w:ascii="Arial" w:hAnsi="Arial" w:cs="Arial"/>
          <w:color w:val="000000"/>
          <w:sz w:val="22"/>
          <w:szCs w:val="22"/>
        </w:rPr>
      </w:pPr>
      <w:r w:rsidRPr="00A8751E">
        <w:rPr>
          <w:rFonts w:ascii="Arial" w:hAnsi="Arial" w:cs="Arial"/>
          <w:color w:val="000000"/>
          <w:sz w:val="22"/>
          <w:szCs w:val="22"/>
        </w:rPr>
        <w:t xml:space="preserve">Although information sharing can support coordinated care, unnecessary access may compromise patient confidentiality (NHS England, 2026a). The Caldicott Principles provide an important framework: Principles 1, 3 and 4 require justified use, minimum necessary information and restricted access, while Principle 7 recognises the importance of appropriate information sharing for patient care. Principle 8 </w:t>
      </w:r>
      <w:r w:rsidR="00980A73" w:rsidRPr="00A8751E">
        <w:rPr>
          <w:rFonts w:ascii="Arial" w:hAnsi="Arial" w:cs="Arial"/>
          <w:color w:val="000000"/>
          <w:sz w:val="22"/>
          <w:szCs w:val="22"/>
        </w:rPr>
        <w:t>needs</w:t>
      </w:r>
      <w:r w:rsidRPr="00A8751E">
        <w:rPr>
          <w:rFonts w:ascii="Arial" w:hAnsi="Arial" w:cs="Arial"/>
          <w:color w:val="000000"/>
          <w:sz w:val="22"/>
          <w:szCs w:val="22"/>
        </w:rPr>
        <w:t xml:space="preserve"> patients to be informed about how their confidential </w:t>
      </w:r>
      <w:r w:rsidR="0067521F" w:rsidRPr="00A8751E">
        <w:rPr>
          <w:rFonts w:ascii="Arial" w:hAnsi="Arial" w:cs="Arial"/>
          <w:color w:val="000000"/>
          <w:sz w:val="22"/>
          <w:szCs w:val="22"/>
        </w:rPr>
        <w:t>data</w:t>
      </w:r>
      <w:r w:rsidRPr="00A8751E">
        <w:rPr>
          <w:rFonts w:ascii="Arial" w:hAnsi="Arial" w:cs="Arial"/>
          <w:color w:val="000000"/>
          <w:sz w:val="22"/>
          <w:szCs w:val="22"/>
        </w:rPr>
        <w:t xml:space="preserve"> is used (National Data Guardian, 2020). Therefore, virtual ward services must balance the clinical benefits of information sharing with patients' rights to privacy and confidentiality.</w:t>
      </w:r>
    </w:p>
    <w:p w14:paraId="66183A69" w14:textId="20525104" w:rsidR="00DF3581" w:rsidRPr="00DF3581" w:rsidRDefault="00DF3581" w:rsidP="00DF3581">
      <w:pPr>
        <w:pStyle w:val="Heading2"/>
        <w:spacing w:line="360" w:lineRule="auto"/>
        <w:rPr>
          <w:rFonts w:ascii="Arial" w:hAnsi="Arial" w:cs="Arial"/>
          <w:b/>
          <w:bCs/>
          <w:color w:val="000000"/>
          <w:sz w:val="24"/>
          <w:szCs w:val="24"/>
        </w:rPr>
      </w:pPr>
      <w:r w:rsidRPr="00DF3581">
        <w:rPr>
          <w:rFonts w:ascii="Arial" w:hAnsi="Arial" w:cs="Arial"/>
          <w:b/>
          <w:bCs/>
          <w:color w:val="000000"/>
          <w:sz w:val="24"/>
          <w:szCs w:val="24"/>
        </w:rPr>
        <w:lastRenderedPageBreak/>
        <w:t>Conclusion and Recommendations</w:t>
      </w:r>
    </w:p>
    <w:p w14:paraId="6EBCD766" w14:textId="3F99E882" w:rsidR="00667168" w:rsidRPr="00667168" w:rsidRDefault="00DF3581" w:rsidP="00667168">
      <w:pPr>
        <w:spacing w:line="360" w:lineRule="auto"/>
        <w:rPr>
          <w:rFonts w:ascii="Arial" w:eastAsia="Times New Roman" w:hAnsi="Arial" w:cs="Arial"/>
          <w:color w:val="000000"/>
          <w:kern w:val="0"/>
          <w:sz w:val="22"/>
          <w:szCs w:val="22"/>
          <w:lang w:eastAsia="en-GB"/>
          <w14:ligatures w14:val="none"/>
        </w:rPr>
      </w:pPr>
      <w:r w:rsidRPr="00667168">
        <w:rPr>
          <w:rFonts w:ascii="Arial" w:hAnsi="Arial" w:cs="Arial"/>
          <w:color w:val="000000"/>
          <w:sz w:val="22"/>
          <w:szCs w:val="22"/>
        </w:rPr>
        <w:t>This thematic evaluation demonstrates that technology</w:t>
      </w:r>
      <w:r w:rsidR="00C528CC">
        <w:rPr>
          <w:rFonts w:ascii="Arial" w:hAnsi="Arial" w:cs="Arial"/>
          <w:color w:val="000000"/>
          <w:sz w:val="22"/>
          <w:szCs w:val="22"/>
        </w:rPr>
        <w:t xml:space="preserve"> </w:t>
      </w:r>
      <w:r w:rsidRPr="00667168">
        <w:rPr>
          <w:rFonts w:ascii="Arial" w:hAnsi="Arial" w:cs="Arial"/>
          <w:color w:val="000000"/>
          <w:sz w:val="22"/>
          <w:szCs w:val="22"/>
        </w:rPr>
        <w:t xml:space="preserve">enabled virtual wards offer potential benefits for both NHS service delivery and </w:t>
      </w:r>
      <w:r w:rsidR="00FB10F5" w:rsidRPr="00667168">
        <w:rPr>
          <w:rFonts w:ascii="Arial" w:hAnsi="Arial" w:cs="Arial"/>
          <w:color w:val="000000"/>
          <w:sz w:val="22"/>
          <w:szCs w:val="22"/>
        </w:rPr>
        <w:t>patient’s</w:t>
      </w:r>
      <w:r w:rsidRPr="00667168">
        <w:rPr>
          <w:rFonts w:ascii="Arial" w:hAnsi="Arial" w:cs="Arial"/>
          <w:color w:val="000000"/>
          <w:sz w:val="22"/>
          <w:szCs w:val="22"/>
        </w:rPr>
        <w:t xml:space="preserve">/service users. NHS England (2024c) identifies opportunities to reduce hospital admissions and support earlier discharge, while Norman </w:t>
      </w:r>
      <w:r w:rsidRPr="00C528CC">
        <w:rPr>
          <w:rFonts w:ascii="Arial" w:hAnsi="Arial" w:cs="Arial"/>
          <w:i/>
          <w:iCs/>
          <w:color w:val="000000"/>
          <w:sz w:val="22"/>
          <w:szCs w:val="22"/>
        </w:rPr>
        <w:t>et al.</w:t>
      </w:r>
      <w:r w:rsidRPr="00667168">
        <w:rPr>
          <w:rFonts w:ascii="Arial" w:hAnsi="Arial" w:cs="Arial"/>
          <w:color w:val="000000"/>
          <w:sz w:val="22"/>
          <w:szCs w:val="22"/>
        </w:rPr>
        <w:t xml:space="preserve"> (2023) found generally positive patient experiences within Hospital at Home research.</w:t>
      </w:r>
      <w:r w:rsidR="00667168" w:rsidRPr="00667168">
        <w:rPr>
          <w:rFonts w:ascii="Arial" w:hAnsi="Arial" w:cs="Arial"/>
          <w:color w:val="000000"/>
          <w:sz w:val="22"/>
          <w:szCs w:val="22"/>
        </w:rPr>
        <w:t xml:space="preserve"> </w:t>
      </w:r>
      <w:r w:rsidR="00667168" w:rsidRPr="00667168">
        <w:rPr>
          <w:rFonts w:ascii="Arial" w:eastAsia="Times New Roman" w:hAnsi="Arial" w:cs="Arial"/>
          <w:color w:val="000000"/>
          <w:kern w:val="0"/>
          <w:sz w:val="22"/>
          <w:szCs w:val="22"/>
          <w:lang w:eastAsia="en-GB"/>
          <w14:ligatures w14:val="none"/>
        </w:rPr>
        <w:t>However, findings reported by NHS England should be interpreted alongside independent evidence from systematic reviews and economic evaluations, which highlight continuing uncertainty regarding cost</w:t>
      </w:r>
      <w:r w:rsidR="007E1935">
        <w:rPr>
          <w:rFonts w:ascii="Arial" w:eastAsia="Times New Roman" w:hAnsi="Arial" w:cs="Arial"/>
          <w:color w:val="000000"/>
          <w:kern w:val="0"/>
          <w:sz w:val="22"/>
          <w:szCs w:val="22"/>
          <w:lang w:eastAsia="en-GB"/>
          <w14:ligatures w14:val="none"/>
        </w:rPr>
        <w:t xml:space="preserve"> </w:t>
      </w:r>
      <w:r w:rsidR="00667168" w:rsidRPr="00667168">
        <w:rPr>
          <w:rFonts w:ascii="Arial" w:eastAsia="Times New Roman" w:hAnsi="Arial" w:cs="Arial"/>
          <w:color w:val="000000"/>
          <w:kern w:val="0"/>
          <w:sz w:val="22"/>
          <w:szCs w:val="22"/>
          <w:lang w:eastAsia="en-GB"/>
          <w14:ligatures w14:val="none"/>
        </w:rPr>
        <w:t xml:space="preserve">effectiveness, safety outcomes and implementation across different settings (Norman </w:t>
      </w:r>
      <w:r w:rsidR="00667168" w:rsidRPr="007E1935">
        <w:rPr>
          <w:rFonts w:ascii="Arial" w:eastAsia="Times New Roman" w:hAnsi="Arial" w:cs="Arial"/>
          <w:i/>
          <w:iCs/>
          <w:color w:val="000000"/>
          <w:kern w:val="0"/>
          <w:sz w:val="22"/>
          <w:szCs w:val="22"/>
          <w:lang w:eastAsia="en-GB"/>
          <w14:ligatures w14:val="none"/>
        </w:rPr>
        <w:t>et al</w:t>
      </w:r>
      <w:r w:rsidR="00667168" w:rsidRPr="00667168">
        <w:rPr>
          <w:rFonts w:ascii="Arial" w:eastAsia="Times New Roman" w:hAnsi="Arial" w:cs="Arial"/>
          <w:color w:val="000000"/>
          <w:kern w:val="0"/>
          <w:sz w:val="22"/>
          <w:szCs w:val="22"/>
          <w:lang w:eastAsia="en-GB"/>
          <w14:ligatures w14:val="none"/>
        </w:rPr>
        <w:t xml:space="preserve">., 2023; Jalilian et al., 2024; Shi </w:t>
      </w:r>
      <w:r w:rsidR="00667168" w:rsidRPr="007E1935">
        <w:rPr>
          <w:rFonts w:ascii="Arial" w:eastAsia="Times New Roman" w:hAnsi="Arial" w:cs="Arial"/>
          <w:i/>
          <w:iCs/>
          <w:color w:val="000000"/>
          <w:kern w:val="0"/>
          <w:sz w:val="22"/>
          <w:szCs w:val="22"/>
          <w:lang w:eastAsia="en-GB"/>
          <w14:ligatures w14:val="none"/>
        </w:rPr>
        <w:t>et al.</w:t>
      </w:r>
      <w:r w:rsidR="00667168" w:rsidRPr="00667168">
        <w:rPr>
          <w:rFonts w:ascii="Arial" w:eastAsia="Times New Roman" w:hAnsi="Arial" w:cs="Arial"/>
          <w:color w:val="000000"/>
          <w:kern w:val="0"/>
          <w:sz w:val="22"/>
          <w:szCs w:val="22"/>
          <w:lang w:eastAsia="en-GB"/>
          <w14:ligatures w14:val="none"/>
        </w:rPr>
        <w:t>, 2024).</w:t>
      </w:r>
    </w:p>
    <w:p w14:paraId="08DCEE6F" w14:textId="68E43274" w:rsidR="00DF3581" w:rsidRPr="00DF3581" w:rsidRDefault="00DF3581" w:rsidP="00DF3581">
      <w:pPr>
        <w:pStyle w:val="NormalWeb"/>
        <w:spacing w:line="360" w:lineRule="auto"/>
        <w:rPr>
          <w:rFonts w:ascii="Arial" w:hAnsi="Arial" w:cs="Arial"/>
          <w:color w:val="000000"/>
          <w:sz w:val="22"/>
          <w:szCs w:val="22"/>
        </w:rPr>
      </w:pPr>
      <w:r w:rsidRPr="00DF3581">
        <w:rPr>
          <w:rFonts w:ascii="Arial" w:hAnsi="Arial" w:cs="Arial"/>
          <w:color w:val="000000"/>
          <w:sz w:val="22"/>
          <w:szCs w:val="22"/>
        </w:rPr>
        <w:t xml:space="preserve">Several recommendations arise from this evaluation. NHS organisations should assess patients' clinical suitability and ability to participate safely in home-based care, ensuring appropriate monitoring and clear escalation procedures (NHS England, 2024c). To address digital exclusion, accessible information, practical training and non-digital alternatives should be available, particularly for patients experiencing language or technological barriers (Fox </w:t>
      </w:r>
      <w:r w:rsidRPr="007E1935">
        <w:rPr>
          <w:rFonts w:ascii="Arial" w:hAnsi="Arial" w:cs="Arial"/>
          <w:i/>
          <w:iCs/>
          <w:color w:val="000000"/>
          <w:sz w:val="22"/>
          <w:szCs w:val="22"/>
        </w:rPr>
        <w:t>et al.</w:t>
      </w:r>
      <w:r w:rsidRPr="00DF3581">
        <w:rPr>
          <w:rFonts w:ascii="Arial" w:hAnsi="Arial" w:cs="Arial"/>
          <w:color w:val="000000"/>
          <w:sz w:val="22"/>
          <w:szCs w:val="22"/>
        </w:rPr>
        <w:t>, 2022; NHS England, 2023a). Effective communication between hospital, primary and community care teams is also essential, supported by digital systems (NICE, 2023).</w:t>
      </w:r>
    </w:p>
    <w:p w14:paraId="1EB3BDA4" w14:textId="3AD54D4C" w:rsidR="00DF3581" w:rsidRPr="00DF3581" w:rsidRDefault="00DF3581" w:rsidP="00DF3581">
      <w:pPr>
        <w:pStyle w:val="NormalWeb"/>
        <w:spacing w:line="360" w:lineRule="auto"/>
        <w:rPr>
          <w:rFonts w:ascii="Arial" w:hAnsi="Arial" w:cs="Arial"/>
          <w:color w:val="000000"/>
          <w:sz w:val="22"/>
          <w:szCs w:val="22"/>
        </w:rPr>
      </w:pPr>
      <w:r w:rsidRPr="00DF3581">
        <w:rPr>
          <w:rFonts w:ascii="Arial" w:hAnsi="Arial" w:cs="Arial"/>
          <w:color w:val="000000"/>
          <w:sz w:val="22"/>
          <w:szCs w:val="22"/>
        </w:rPr>
        <w:t xml:space="preserve">Furthermore, virtual ward services must protect sensitive patient information while enabling appropriate sharing for safe clinical care, in accordance with UK GDPR and the Caldicott Principles (Information Commissioner’s Office, 2024; National Data Guardian, 2020). NHS organisations should regularly evaluate admission rates, patient outcomes, experiences, costs and inequalities rather than </w:t>
      </w:r>
      <w:proofErr w:type="gramStart"/>
      <w:r w:rsidRPr="00DF3581">
        <w:rPr>
          <w:rFonts w:ascii="Arial" w:hAnsi="Arial" w:cs="Arial"/>
          <w:color w:val="000000"/>
          <w:sz w:val="22"/>
          <w:szCs w:val="22"/>
        </w:rPr>
        <w:t>assuming that</w:t>
      </w:r>
      <w:proofErr w:type="gramEnd"/>
      <w:r w:rsidRPr="00DF3581">
        <w:rPr>
          <w:rFonts w:ascii="Arial" w:hAnsi="Arial" w:cs="Arial"/>
          <w:color w:val="000000"/>
          <w:sz w:val="22"/>
          <w:szCs w:val="22"/>
        </w:rPr>
        <w:t xml:space="preserve"> increased virtual ward capacity automatically demonstrates success (NHS England, 2024c).</w:t>
      </w:r>
    </w:p>
    <w:p w14:paraId="730FE34A" w14:textId="523E4EED" w:rsidR="007E6139" w:rsidRDefault="007E6139" w:rsidP="007E6139">
      <w:pPr>
        <w:pStyle w:val="NormalWeb"/>
        <w:spacing w:line="360" w:lineRule="auto"/>
        <w:rPr>
          <w:rStyle w:val="Strong"/>
          <w:rFonts w:ascii="Arial" w:hAnsi="Arial" w:cs="Arial"/>
          <w:b w:val="0"/>
          <w:bCs w:val="0"/>
          <w:color w:val="000000"/>
          <w:sz w:val="22"/>
          <w:szCs w:val="22"/>
        </w:rPr>
      </w:pPr>
      <w:r w:rsidRPr="007E6139">
        <w:rPr>
          <w:rStyle w:val="Strong"/>
          <w:rFonts w:ascii="Arial" w:hAnsi="Arial" w:cs="Arial"/>
          <w:b w:val="0"/>
          <w:bCs w:val="0"/>
          <w:color w:val="000000"/>
          <w:sz w:val="22"/>
          <w:szCs w:val="22"/>
        </w:rPr>
        <w:t xml:space="preserve">Overall, virtual wards represent a promising digital innovation within UK health and social care. However, current evidence suggests that their </w:t>
      </w:r>
      <w:proofErr w:type="gramStart"/>
      <w:r w:rsidRPr="007E6139">
        <w:rPr>
          <w:rStyle w:val="Strong"/>
          <w:rFonts w:ascii="Arial" w:hAnsi="Arial" w:cs="Arial"/>
          <w:b w:val="0"/>
          <w:bCs w:val="0"/>
          <w:color w:val="000000"/>
          <w:sz w:val="22"/>
          <w:szCs w:val="22"/>
        </w:rPr>
        <w:t>long</w:t>
      </w:r>
      <w:r w:rsidR="00A42B23">
        <w:rPr>
          <w:rStyle w:val="Strong"/>
          <w:rFonts w:ascii="Arial" w:hAnsi="Arial" w:cs="Arial"/>
          <w:b w:val="0"/>
          <w:bCs w:val="0"/>
          <w:color w:val="000000"/>
          <w:sz w:val="22"/>
          <w:szCs w:val="22"/>
        </w:rPr>
        <w:t xml:space="preserve"> </w:t>
      </w:r>
      <w:r w:rsidRPr="007E6139">
        <w:rPr>
          <w:rStyle w:val="Strong"/>
          <w:rFonts w:ascii="Arial" w:hAnsi="Arial" w:cs="Arial"/>
          <w:b w:val="0"/>
          <w:bCs w:val="0"/>
          <w:color w:val="000000"/>
          <w:sz w:val="22"/>
          <w:szCs w:val="22"/>
        </w:rPr>
        <w:t>term</w:t>
      </w:r>
      <w:proofErr w:type="gramEnd"/>
      <w:r w:rsidRPr="007E6139">
        <w:rPr>
          <w:rStyle w:val="Strong"/>
          <w:rFonts w:ascii="Arial" w:hAnsi="Arial" w:cs="Arial"/>
          <w:b w:val="0"/>
          <w:bCs w:val="0"/>
          <w:color w:val="000000"/>
          <w:sz w:val="22"/>
          <w:szCs w:val="22"/>
        </w:rPr>
        <w:t xml:space="preserve"> effectiveness, safety and cost-effectiveness remain dependent on robust evaluation, workforce capacity, effective service integration and equitable access to digital technologies. Consequently, future expansion should prioritise evidence-based implementation rather than </w:t>
      </w:r>
      <w:proofErr w:type="gramStart"/>
      <w:r w:rsidRPr="007E6139">
        <w:rPr>
          <w:rStyle w:val="Strong"/>
          <w:rFonts w:ascii="Arial" w:hAnsi="Arial" w:cs="Arial"/>
          <w:b w:val="0"/>
          <w:bCs w:val="0"/>
          <w:color w:val="000000"/>
          <w:sz w:val="22"/>
          <w:szCs w:val="22"/>
        </w:rPr>
        <w:t>assuming that</w:t>
      </w:r>
      <w:proofErr w:type="gramEnd"/>
      <w:r w:rsidRPr="007E6139">
        <w:rPr>
          <w:rStyle w:val="Strong"/>
          <w:rFonts w:ascii="Arial" w:hAnsi="Arial" w:cs="Arial"/>
          <w:b w:val="0"/>
          <w:bCs w:val="0"/>
          <w:color w:val="000000"/>
          <w:sz w:val="22"/>
          <w:szCs w:val="22"/>
        </w:rPr>
        <w:t xml:space="preserve"> increased capacity alone demonstrates success.</w:t>
      </w:r>
    </w:p>
    <w:p w14:paraId="5C180EB8" w14:textId="77777777" w:rsidR="00701EB1" w:rsidRDefault="00701EB1" w:rsidP="007E6139">
      <w:pPr>
        <w:pStyle w:val="NormalWeb"/>
        <w:spacing w:line="360" w:lineRule="auto"/>
        <w:rPr>
          <w:rStyle w:val="Strong"/>
          <w:rFonts w:ascii="Arial" w:hAnsi="Arial" w:cs="Arial"/>
          <w:b w:val="0"/>
          <w:bCs w:val="0"/>
          <w:color w:val="000000"/>
          <w:sz w:val="22"/>
          <w:szCs w:val="22"/>
        </w:rPr>
      </w:pPr>
    </w:p>
    <w:p w14:paraId="2A7D8941" w14:textId="77777777" w:rsidR="00D454BB" w:rsidRDefault="00D454BB" w:rsidP="007E6139">
      <w:pPr>
        <w:pStyle w:val="NormalWeb"/>
        <w:spacing w:line="360" w:lineRule="auto"/>
        <w:rPr>
          <w:rStyle w:val="Strong"/>
          <w:rFonts w:ascii="Arial" w:hAnsi="Arial" w:cs="Arial"/>
          <w:b w:val="0"/>
          <w:bCs w:val="0"/>
          <w:color w:val="000000"/>
          <w:sz w:val="22"/>
          <w:szCs w:val="22"/>
        </w:rPr>
      </w:pPr>
    </w:p>
    <w:p w14:paraId="09A1774C" w14:textId="77777777" w:rsidR="00D454BB" w:rsidRDefault="00D454BB" w:rsidP="007E6139">
      <w:pPr>
        <w:pStyle w:val="NormalWeb"/>
        <w:spacing w:line="360" w:lineRule="auto"/>
        <w:rPr>
          <w:rStyle w:val="Strong"/>
          <w:rFonts w:ascii="Arial" w:hAnsi="Arial" w:cs="Arial"/>
          <w:b w:val="0"/>
          <w:bCs w:val="0"/>
          <w:color w:val="000000"/>
          <w:sz w:val="22"/>
          <w:szCs w:val="22"/>
        </w:rPr>
      </w:pPr>
    </w:p>
    <w:p w14:paraId="6B7B95E8" w14:textId="7340F2C3"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C5652B">
        <w:rPr>
          <w:rFonts w:ascii="Arial" w:eastAsia="Times New Roman" w:hAnsi="Arial" w:cs="Arial"/>
          <w:b/>
          <w:bCs/>
          <w:color w:val="000000"/>
          <w:kern w:val="0"/>
          <w:sz w:val="22"/>
          <w:szCs w:val="22"/>
          <w:lang w:eastAsia="en-GB"/>
          <w14:ligatures w14:val="none"/>
        </w:rPr>
        <w:lastRenderedPageBreak/>
        <w:t>References</w:t>
      </w:r>
    </w:p>
    <w:p w14:paraId="7F32CCE7" w14:textId="7766A7CB" w:rsidR="00701EB1" w:rsidRDefault="00701EB1" w:rsidP="00701EB1">
      <w:pPr>
        <w:spacing w:line="360" w:lineRule="auto"/>
        <w:rPr>
          <w:rFonts w:ascii="Arial" w:hAnsi="Arial" w:cs="Arial"/>
          <w:sz w:val="22"/>
          <w:szCs w:val="22"/>
        </w:rPr>
      </w:pPr>
      <w:r w:rsidRPr="00600E6B">
        <w:rPr>
          <w:rFonts w:ascii="Arial" w:hAnsi="Arial" w:cs="Arial"/>
          <w:sz w:val="22"/>
          <w:szCs w:val="22"/>
        </w:rPr>
        <w:t xml:space="preserve">Fox, R., Saeed, Z., Khan, S., Robertson, H., </w:t>
      </w:r>
      <w:proofErr w:type="spellStart"/>
      <w:r w:rsidRPr="00600E6B">
        <w:rPr>
          <w:rFonts w:ascii="Arial" w:hAnsi="Arial" w:cs="Arial"/>
          <w:sz w:val="22"/>
          <w:szCs w:val="22"/>
        </w:rPr>
        <w:t>Crisford</w:t>
      </w:r>
      <w:proofErr w:type="spellEnd"/>
      <w:r w:rsidRPr="00600E6B">
        <w:rPr>
          <w:rFonts w:ascii="Arial" w:hAnsi="Arial" w:cs="Arial"/>
          <w:sz w:val="22"/>
          <w:szCs w:val="22"/>
        </w:rPr>
        <w:t xml:space="preserve">, S., Wiggam, A., Foley, A., Raza, F. and Wright, M. (2022) ‘Lessons learnt for digital inclusion in underserved communities from implementing a COVID virtual ward’, </w:t>
      </w:r>
      <w:r w:rsidRPr="00B56B07">
        <w:rPr>
          <w:rFonts w:ascii="Arial" w:hAnsi="Arial" w:cs="Arial"/>
          <w:i/>
          <w:iCs/>
          <w:sz w:val="22"/>
          <w:szCs w:val="22"/>
        </w:rPr>
        <w:t>PLOS Digital Health</w:t>
      </w:r>
      <w:r w:rsidRPr="00600E6B">
        <w:rPr>
          <w:rFonts w:ascii="Arial" w:hAnsi="Arial" w:cs="Arial"/>
          <w:sz w:val="22"/>
          <w:szCs w:val="22"/>
        </w:rPr>
        <w:t xml:space="preserve">. Available at: </w:t>
      </w:r>
      <w:hyperlink r:id="rId7" w:history="1">
        <w:r w:rsidRPr="001E0D7A">
          <w:rPr>
            <w:rStyle w:val="Hyperlink"/>
            <w:rFonts w:ascii="Arial" w:hAnsi="Arial" w:cs="Arial"/>
            <w:sz w:val="22"/>
            <w:szCs w:val="22"/>
          </w:rPr>
          <w:t>https://doi.org/10.1371/journal.pdig.0000146</w:t>
        </w:r>
      </w:hyperlink>
      <w:r w:rsidRPr="00600E6B">
        <w:rPr>
          <w:rFonts w:ascii="Arial" w:hAnsi="Arial" w:cs="Arial"/>
          <w:sz w:val="22"/>
          <w:szCs w:val="22"/>
        </w:rPr>
        <w:t>.</w:t>
      </w:r>
      <w:r w:rsidR="00F606C8">
        <w:rPr>
          <w:rFonts w:ascii="Arial" w:hAnsi="Arial" w:cs="Arial"/>
          <w:sz w:val="22"/>
          <w:szCs w:val="22"/>
        </w:rPr>
        <w:t xml:space="preserve"> (Accessed 4 October 2026).</w:t>
      </w:r>
    </w:p>
    <w:p w14:paraId="5AEBC236"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Information Commissioner’s Office (2024) </w:t>
      </w:r>
      <w:r w:rsidRPr="00600E6B">
        <w:rPr>
          <w:rFonts w:ascii="Arial" w:eastAsia="Times New Roman" w:hAnsi="Arial" w:cs="Arial"/>
          <w:i/>
          <w:iCs/>
          <w:color w:val="000000"/>
          <w:kern w:val="0"/>
          <w:sz w:val="22"/>
          <w:szCs w:val="22"/>
          <w:lang w:eastAsia="en-GB"/>
          <w14:ligatures w14:val="none"/>
        </w:rPr>
        <w:t>What is special category data?</w:t>
      </w:r>
      <w:r w:rsidRPr="00600E6B">
        <w:rPr>
          <w:rFonts w:ascii="Arial" w:eastAsia="Times New Roman" w:hAnsi="Arial" w:cs="Arial"/>
          <w:color w:val="000000"/>
          <w:kern w:val="0"/>
          <w:sz w:val="22"/>
          <w:szCs w:val="22"/>
          <w:lang w:eastAsia="en-GB"/>
          <w14:ligatures w14:val="none"/>
        </w:rPr>
        <w:t> Available at: </w:t>
      </w:r>
      <w:hyperlink r:id="rId8" w:history="1">
        <w:r w:rsidRPr="00600E6B">
          <w:rPr>
            <w:rFonts w:ascii="Arial" w:eastAsia="Times New Roman" w:hAnsi="Arial" w:cs="Arial"/>
            <w:color w:val="0000FF"/>
            <w:kern w:val="0"/>
            <w:sz w:val="22"/>
            <w:szCs w:val="22"/>
            <w:u w:val="single"/>
            <w:lang w:eastAsia="en-GB"/>
            <w14:ligatures w14:val="none"/>
          </w:rPr>
          <w:t>https://ico.org.uk/for-organisations/uk-gdpr-guidance-and-resources/lawful-basis/special-category-data/what-is-special-category-data/</w:t>
        </w:r>
      </w:hyperlink>
      <w:r>
        <w:t xml:space="preserve"> </w:t>
      </w:r>
      <w:r w:rsidRPr="00600E6B">
        <w:rPr>
          <w:rFonts w:ascii="Arial" w:eastAsia="Times New Roman" w:hAnsi="Arial" w:cs="Arial"/>
          <w:color w:val="000000"/>
          <w:kern w:val="0"/>
          <w:sz w:val="22"/>
          <w:szCs w:val="22"/>
          <w:lang w:eastAsia="en-GB"/>
          <w14:ligatures w14:val="none"/>
        </w:rPr>
        <w:t>(Accessed: 4 October 2026).</w:t>
      </w:r>
    </w:p>
    <w:p w14:paraId="21867B0B" w14:textId="1209097B" w:rsidR="00701EB1" w:rsidRPr="004A4B11" w:rsidRDefault="00701EB1" w:rsidP="00701EB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A4B11">
        <w:rPr>
          <w:rFonts w:ascii="Arial" w:hAnsi="Arial" w:cs="Arial"/>
          <w:color w:val="000000"/>
          <w:sz w:val="22"/>
          <w:szCs w:val="22"/>
        </w:rPr>
        <w:t xml:space="preserve">Jalilian, A., </w:t>
      </w:r>
      <w:proofErr w:type="spellStart"/>
      <w:r w:rsidRPr="004A4B11">
        <w:rPr>
          <w:rFonts w:ascii="Arial" w:hAnsi="Arial" w:cs="Arial"/>
          <w:color w:val="000000"/>
          <w:sz w:val="22"/>
          <w:szCs w:val="22"/>
        </w:rPr>
        <w:t>Sedda</w:t>
      </w:r>
      <w:proofErr w:type="spellEnd"/>
      <w:r w:rsidRPr="004A4B11">
        <w:rPr>
          <w:rFonts w:ascii="Arial" w:hAnsi="Arial" w:cs="Arial"/>
          <w:color w:val="000000"/>
          <w:sz w:val="22"/>
          <w:szCs w:val="22"/>
        </w:rPr>
        <w:t>, L., Unsworth, A. and Farrier, M. (2024) ‘Length of stay and economic sustainability of virtual ward care in a medium-sized hospital of the UK: a retrospective longitudinal study’,</w:t>
      </w:r>
      <w:r w:rsidRPr="004A4B11">
        <w:rPr>
          <w:rStyle w:val="apple-converted-space"/>
          <w:rFonts w:ascii="Arial" w:hAnsi="Arial" w:cs="Arial"/>
          <w:color w:val="000000"/>
          <w:sz w:val="22"/>
          <w:szCs w:val="22"/>
        </w:rPr>
        <w:t> </w:t>
      </w:r>
      <w:r w:rsidRPr="00BF74E1">
        <w:rPr>
          <w:rFonts w:ascii="Arial" w:hAnsi="Arial" w:cs="Arial"/>
          <w:i/>
          <w:iCs/>
          <w:color w:val="000000"/>
          <w:sz w:val="22"/>
          <w:szCs w:val="22"/>
        </w:rPr>
        <w:t>B</w:t>
      </w:r>
      <w:r w:rsidR="00424A36">
        <w:rPr>
          <w:rFonts w:ascii="Arial" w:hAnsi="Arial" w:cs="Arial"/>
          <w:i/>
          <w:iCs/>
          <w:color w:val="000000"/>
          <w:sz w:val="22"/>
          <w:szCs w:val="22"/>
        </w:rPr>
        <w:t xml:space="preserve">ritish </w:t>
      </w:r>
      <w:r w:rsidRPr="00BF74E1">
        <w:rPr>
          <w:rFonts w:ascii="Arial" w:hAnsi="Arial" w:cs="Arial"/>
          <w:i/>
          <w:iCs/>
          <w:color w:val="000000"/>
          <w:sz w:val="22"/>
          <w:szCs w:val="22"/>
        </w:rPr>
        <w:t>M</w:t>
      </w:r>
      <w:r w:rsidR="00424A36">
        <w:rPr>
          <w:rFonts w:ascii="Arial" w:hAnsi="Arial" w:cs="Arial"/>
          <w:i/>
          <w:iCs/>
          <w:color w:val="000000"/>
          <w:sz w:val="22"/>
          <w:szCs w:val="22"/>
        </w:rPr>
        <w:t xml:space="preserve">edical </w:t>
      </w:r>
      <w:r w:rsidRPr="00BF74E1">
        <w:rPr>
          <w:rFonts w:ascii="Arial" w:hAnsi="Arial" w:cs="Arial"/>
          <w:i/>
          <w:iCs/>
          <w:color w:val="000000"/>
          <w:sz w:val="22"/>
          <w:szCs w:val="22"/>
        </w:rPr>
        <w:t>J</w:t>
      </w:r>
      <w:r w:rsidR="00424A36">
        <w:rPr>
          <w:rFonts w:ascii="Arial" w:hAnsi="Arial" w:cs="Arial"/>
          <w:i/>
          <w:iCs/>
          <w:color w:val="000000"/>
          <w:sz w:val="22"/>
          <w:szCs w:val="22"/>
        </w:rPr>
        <w:t>ournal</w:t>
      </w:r>
      <w:r w:rsidRPr="00BF74E1">
        <w:rPr>
          <w:rFonts w:ascii="Arial" w:hAnsi="Arial" w:cs="Arial"/>
          <w:i/>
          <w:iCs/>
          <w:color w:val="000000"/>
          <w:sz w:val="22"/>
          <w:szCs w:val="22"/>
        </w:rPr>
        <w:t xml:space="preserve"> Open,</w:t>
      </w:r>
      <w:r w:rsidRPr="004A4B11">
        <w:rPr>
          <w:rFonts w:ascii="Arial" w:hAnsi="Arial" w:cs="Arial"/>
          <w:color w:val="000000"/>
          <w:sz w:val="22"/>
          <w:szCs w:val="22"/>
        </w:rPr>
        <w:t xml:space="preserve"> 14(1), </w:t>
      </w:r>
      <w:proofErr w:type="gramStart"/>
      <w:r w:rsidR="00BD0FC4">
        <w:rPr>
          <w:rFonts w:ascii="Arial" w:hAnsi="Arial" w:cs="Arial"/>
          <w:color w:val="000000"/>
          <w:sz w:val="22"/>
          <w:szCs w:val="22"/>
        </w:rPr>
        <w:t>pp.</w:t>
      </w:r>
      <w:r w:rsidRPr="004A4B11">
        <w:rPr>
          <w:rFonts w:ascii="Arial" w:hAnsi="Arial" w:cs="Arial"/>
          <w:color w:val="000000"/>
          <w:sz w:val="22"/>
          <w:szCs w:val="22"/>
        </w:rPr>
        <w:t>e</w:t>
      </w:r>
      <w:proofErr w:type="gramEnd"/>
      <w:r w:rsidRPr="004A4B11">
        <w:rPr>
          <w:rFonts w:ascii="Arial" w:hAnsi="Arial" w:cs="Arial"/>
          <w:color w:val="000000"/>
          <w:sz w:val="22"/>
          <w:szCs w:val="22"/>
        </w:rPr>
        <w:t>081378. Available at:</w:t>
      </w:r>
      <w:r w:rsidRPr="004A4B11">
        <w:rPr>
          <w:rStyle w:val="apple-converted-space"/>
          <w:rFonts w:ascii="Arial" w:hAnsi="Arial" w:cs="Arial"/>
          <w:color w:val="000000"/>
          <w:sz w:val="22"/>
          <w:szCs w:val="22"/>
        </w:rPr>
        <w:t> </w:t>
      </w:r>
      <w:hyperlink r:id="rId9" w:history="1">
        <w:r w:rsidRPr="004A4B11">
          <w:rPr>
            <w:rStyle w:val="Hyperlink"/>
            <w:rFonts w:ascii="Arial" w:hAnsi="Arial" w:cs="Arial"/>
            <w:sz w:val="22"/>
            <w:szCs w:val="22"/>
          </w:rPr>
          <w:t>https://doi.org/10.1136/bmjopen-2023-081378</w:t>
        </w:r>
      </w:hyperlink>
      <w:r w:rsidR="00BD0FC4">
        <w:t xml:space="preserve"> (Accessed: 4 October 2026).</w:t>
      </w:r>
    </w:p>
    <w:p w14:paraId="3F2B1E47"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National Data Guardian (2020) </w:t>
      </w:r>
      <w:r w:rsidRPr="00600E6B">
        <w:rPr>
          <w:rFonts w:ascii="Arial" w:eastAsia="Times New Roman" w:hAnsi="Arial" w:cs="Arial"/>
          <w:i/>
          <w:iCs/>
          <w:color w:val="000000"/>
          <w:kern w:val="0"/>
          <w:sz w:val="22"/>
          <w:szCs w:val="22"/>
          <w:lang w:eastAsia="en-GB"/>
          <w14:ligatures w14:val="none"/>
        </w:rPr>
        <w:t>The Caldicott Principles</w:t>
      </w:r>
      <w:r w:rsidRPr="00600E6B">
        <w:rPr>
          <w:rFonts w:ascii="Arial" w:eastAsia="Times New Roman" w:hAnsi="Arial" w:cs="Arial"/>
          <w:color w:val="000000"/>
          <w:kern w:val="0"/>
          <w:sz w:val="22"/>
          <w:szCs w:val="22"/>
          <w:lang w:eastAsia="en-GB"/>
          <w14:ligatures w14:val="none"/>
        </w:rPr>
        <w:t>. Available at: </w:t>
      </w:r>
      <w:hyperlink r:id="rId10" w:history="1">
        <w:r w:rsidRPr="00600E6B">
          <w:rPr>
            <w:rFonts w:ascii="Arial" w:eastAsia="Times New Roman" w:hAnsi="Arial" w:cs="Arial"/>
            <w:color w:val="0000FF"/>
            <w:kern w:val="0"/>
            <w:sz w:val="22"/>
            <w:szCs w:val="22"/>
            <w:u w:val="single"/>
            <w:lang w:eastAsia="en-GB"/>
            <w14:ligatures w14:val="none"/>
          </w:rPr>
          <w:t>https://www.gov.uk/government/publications/the-caldicott-principles</w:t>
        </w:r>
      </w:hyperlink>
      <w:r w:rsidRPr="00600E6B">
        <w:rPr>
          <w:rFonts w:ascii="Arial" w:eastAsia="Times New Roman" w:hAnsi="Arial" w:cs="Arial"/>
          <w:color w:val="000000"/>
          <w:kern w:val="0"/>
          <w:sz w:val="22"/>
          <w:szCs w:val="22"/>
          <w:lang w:eastAsia="en-GB"/>
          <w14:ligatures w14:val="none"/>
        </w:rPr>
        <w:t> (Accessed: 4 October 2026).</w:t>
      </w:r>
    </w:p>
    <w:p w14:paraId="743555FE"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National Institute for Health and Care Excellence (NICE) (2023) </w:t>
      </w:r>
      <w:r w:rsidRPr="00600E6B">
        <w:rPr>
          <w:rFonts w:ascii="Arial" w:eastAsia="Times New Roman" w:hAnsi="Arial" w:cs="Arial"/>
          <w:i/>
          <w:iCs/>
          <w:color w:val="000000"/>
          <w:kern w:val="0"/>
          <w:sz w:val="22"/>
          <w:szCs w:val="22"/>
          <w:lang w:eastAsia="en-GB"/>
          <w14:ligatures w14:val="none"/>
        </w:rPr>
        <w:t>Virtual ward platform technologies for acute respiratory infections: early value assessment</w:t>
      </w:r>
      <w:r w:rsidRPr="00600E6B">
        <w:rPr>
          <w:rFonts w:ascii="Arial" w:eastAsia="Times New Roman" w:hAnsi="Arial" w:cs="Arial"/>
          <w:color w:val="000000"/>
          <w:kern w:val="0"/>
          <w:sz w:val="22"/>
          <w:szCs w:val="22"/>
          <w:lang w:eastAsia="en-GB"/>
          <w14:ligatures w14:val="none"/>
        </w:rPr>
        <w:t>. HTG697. Available at: </w:t>
      </w:r>
      <w:hyperlink r:id="rId11" w:history="1">
        <w:r w:rsidRPr="00600E6B">
          <w:rPr>
            <w:rFonts w:ascii="Arial" w:eastAsia="Times New Roman" w:hAnsi="Arial" w:cs="Arial"/>
            <w:color w:val="0000FF"/>
            <w:kern w:val="0"/>
            <w:sz w:val="22"/>
            <w:szCs w:val="22"/>
            <w:u w:val="single"/>
            <w:lang w:eastAsia="en-GB"/>
            <w14:ligatures w14:val="none"/>
          </w:rPr>
          <w:t>https://www.nice.org.uk/guidance/htg697</w:t>
        </w:r>
      </w:hyperlink>
      <w:r w:rsidRPr="00600E6B">
        <w:rPr>
          <w:rFonts w:ascii="Arial" w:eastAsia="Times New Roman" w:hAnsi="Arial" w:cs="Arial"/>
          <w:color w:val="000000"/>
          <w:kern w:val="0"/>
          <w:sz w:val="22"/>
          <w:szCs w:val="22"/>
          <w:lang w:eastAsia="en-GB"/>
          <w14:ligatures w14:val="none"/>
        </w:rPr>
        <w:t> (Accessed: 4 October 2026).</w:t>
      </w:r>
    </w:p>
    <w:p w14:paraId="3D30E710"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NHS England (2021a) </w:t>
      </w:r>
      <w:r w:rsidRPr="00600E6B">
        <w:rPr>
          <w:rFonts w:ascii="Arial" w:eastAsia="Times New Roman" w:hAnsi="Arial" w:cs="Arial"/>
          <w:i/>
          <w:iCs/>
          <w:color w:val="000000"/>
          <w:kern w:val="0"/>
          <w:sz w:val="22"/>
          <w:szCs w:val="22"/>
          <w:lang w:eastAsia="en-GB"/>
          <w14:ligatures w14:val="none"/>
        </w:rPr>
        <w:t>COVID virtual ward</w:t>
      </w:r>
      <w:r w:rsidRPr="00600E6B">
        <w:rPr>
          <w:rFonts w:ascii="Arial" w:eastAsia="Times New Roman" w:hAnsi="Arial" w:cs="Arial"/>
          <w:color w:val="000000"/>
          <w:kern w:val="0"/>
          <w:sz w:val="22"/>
          <w:szCs w:val="22"/>
          <w:lang w:eastAsia="en-GB"/>
          <w14:ligatures w14:val="none"/>
        </w:rPr>
        <w:t>. Available at: </w:t>
      </w:r>
      <w:hyperlink r:id="rId12" w:history="1">
        <w:r w:rsidRPr="00600E6B">
          <w:rPr>
            <w:rFonts w:ascii="Arial" w:eastAsia="Times New Roman" w:hAnsi="Arial" w:cs="Arial"/>
            <w:color w:val="0000FF"/>
            <w:kern w:val="0"/>
            <w:sz w:val="22"/>
            <w:szCs w:val="22"/>
            <w:u w:val="single"/>
            <w:lang w:eastAsia="en-GB"/>
            <w14:ligatures w14:val="none"/>
          </w:rPr>
          <w:t>https://www.england.nhs.uk/coronavirus/publication/covid-virtual-ward/</w:t>
        </w:r>
      </w:hyperlink>
      <w:r w:rsidRPr="00600E6B">
        <w:rPr>
          <w:rFonts w:ascii="Arial" w:eastAsia="Times New Roman" w:hAnsi="Arial" w:cs="Arial"/>
          <w:color w:val="000000"/>
          <w:kern w:val="0"/>
          <w:sz w:val="22"/>
          <w:szCs w:val="22"/>
          <w:lang w:eastAsia="en-GB"/>
          <w14:ligatures w14:val="none"/>
        </w:rPr>
        <w:t> (Accessed: 4 October 2026).</w:t>
      </w:r>
    </w:p>
    <w:p w14:paraId="181D18F9"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NHS England (2021b) </w:t>
      </w:r>
      <w:r w:rsidRPr="00600E6B">
        <w:rPr>
          <w:rFonts w:ascii="Arial" w:eastAsia="Times New Roman" w:hAnsi="Arial" w:cs="Arial"/>
          <w:i/>
          <w:iCs/>
          <w:color w:val="000000"/>
          <w:kern w:val="0"/>
          <w:sz w:val="22"/>
          <w:szCs w:val="22"/>
          <w:lang w:eastAsia="en-GB"/>
          <w14:ligatures w14:val="none"/>
        </w:rPr>
        <w:t>A guide to setting up technology-enabled virtual wards</w:t>
      </w:r>
      <w:r w:rsidRPr="00600E6B">
        <w:rPr>
          <w:rFonts w:ascii="Arial" w:eastAsia="Times New Roman" w:hAnsi="Arial" w:cs="Arial"/>
          <w:color w:val="000000"/>
          <w:kern w:val="0"/>
          <w:sz w:val="22"/>
          <w:szCs w:val="22"/>
          <w:lang w:eastAsia="en-GB"/>
          <w14:ligatures w14:val="none"/>
        </w:rPr>
        <w:t>. Available at: </w:t>
      </w:r>
      <w:hyperlink r:id="rId13" w:history="1">
        <w:r w:rsidRPr="00600E6B">
          <w:rPr>
            <w:rFonts w:ascii="Arial" w:eastAsia="Times New Roman" w:hAnsi="Arial" w:cs="Arial"/>
            <w:color w:val="0000FF"/>
            <w:kern w:val="0"/>
            <w:sz w:val="22"/>
            <w:szCs w:val="22"/>
            <w:u w:val="single"/>
            <w:lang w:eastAsia="en-GB"/>
            <w14:ligatures w14:val="none"/>
          </w:rPr>
          <w:t>https://www.england.nhs.uk/long-read/a-guide-to-setting-up-technology-enabled-virtual-wards/</w:t>
        </w:r>
      </w:hyperlink>
      <w:r w:rsidRPr="00600E6B">
        <w:rPr>
          <w:rFonts w:ascii="Arial" w:eastAsia="Times New Roman" w:hAnsi="Arial" w:cs="Arial"/>
          <w:color w:val="000000"/>
          <w:kern w:val="0"/>
          <w:sz w:val="22"/>
          <w:szCs w:val="22"/>
          <w:lang w:eastAsia="en-GB"/>
          <w14:ligatures w14:val="none"/>
        </w:rPr>
        <w:t> (Accessed: 4 October 2026).</w:t>
      </w:r>
    </w:p>
    <w:p w14:paraId="2F53B8DD"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NHS England (2022) </w:t>
      </w:r>
      <w:r w:rsidRPr="00600E6B">
        <w:rPr>
          <w:rFonts w:ascii="Arial" w:eastAsia="Times New Roman" w:hAnsi="Arial" w:cs="Arial"/>
          <w:i/>
          <w:iCs/>
          <w:color w:val="000000"/>
          <w:kern w:val="0"/>
          <w:sz w:val="22"/>
          <w:szCs w:val="22"/>
          <w:lang w:eastAsia="en-GB"/>
          <w14:ligatures w14:val="none"/>
        </w:rPr>
        <w:t>Supporting information for integrated care system leads: Enablers for success: virtual wards including hospital at home</w:t>
      </w:r>
      <w:r w:rsidRPr="00600E6B">
        <w:rPr>
          <w:rFonts w:ascii="Arial" w:eastAsia="Times New Roman" w:hAnsi="Arial" w:cs="Arial"/>
          <w:color w:val="000000"/>
          <w:kern w:val="0"/>
          <w:sz w:val="22"/>
          <w:szCs w:val="22"/>
          <w:lang w:eastAsia="en-GB"/>
          <w14:ligatures w14:val="none"/>
        </w:rPr>
        <w:t>. Available at: </w:t>
      </w:r>
      <w:hyperlink r:id="rId14" w:history="1">
        <w:r w:rsidRPr="00600E6B">
          <w:rPr>
            <w:rFonts w:ascii="Arial" w:eastAsia="Times New Roman" w:hAnsi="Arial" w:cs="Arial"/>
            <w:color w:val="0000FF"/>
            <w:kern w:val="0"/>
            <w:sz w:val="22"/>
            <w:szCs w:val="22"/>
            <w:u w:val="single"/>
            <w:lang w:eastAsia="en-GB"/>
            <w14:ligatures w14:val="none"/>
          </w:rPr>
          <w:t>https://www.england.nhs.uk/wp-content/uploads/2021/12/B1478-supporting-guidance-virtual-ward-including-hospital-at-home-march-2022-update.pdf</w:t>
        </w:r>
      </w:hyperlink>
      <w:r w:rsidRPr="00600E6B">
        <w:rPr>
          <w:rFonts w:ascii="Arial" w:eastAsia="Times New Roman" w:hAnsi="Arial" w:cs="Arial"/>
          <w:color w:val="000000"/>
          <w:kern w:val="0"/>
          <w:sz w:val="22"/>
          <w:szCs w:val="22"/>
          <w:lang w:eastAsia="en-GB"/>
          <w14:ligatures w14:val="none"/>
        </w:rPr>
        <w:t> (Accessed: 4 October 2026).</w:t>
      </w:r>
    </w:p>
    <w:p w14:paraId="39E7B6CD" w14:textId="77777777" w:rsidR="00701EB1" w:rsidRPr="00600E6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lastRenderedPageBreak/>
        <w:t>NHS England (2023) </w:t>
      </w:r>
      <w:r w:rsidRPr="00600E6B">
        <w:rPr>
          <w:rFonts w:ascii="Arial" w:eastAsia="Times New Roman" w:hAnsi="Arial" w:cs="Arial"/>
          <w:i/>
          <w:iCs/>
          <w:color w:val="000000"/>
          <w:kern w:val="0"/>
          <w:sz w:val="22"/>
          <w:szCs w:val="22"/>
          <w:lang w:eastAsia="en-GB"/>
          <w14:ligatures w14:val="none"/>
        </w:rPr>
        <w:t>Inclusive digital healthcare: a framework for NHS action on digital inclusion</w:t>
      </w:r>
      <w:r w:rsidRPr="00600E6B">
        <w:rPr>
          <w:rFonts w:ascii="Arial" w:eastAsia="Times New Roman" w:hAnsi="Arial" w:cs="Arial"/>
          <w:color w:val="000000"/>
          <w:kern w:val="0"/>
          <w:sz w:val="22"/>
          <w:szCs w:val="22"/>
          <w:lang w:eastAsia="en-GB"/>
          <w14:ligatures w14:val="none"/>
        </w:rPr>
        <w:t>. Available at: </w:t>
      </w:r>
      <w:hyperlink r:id="rId15" w:history="1">
        <w:r w:rsidRPr="00600E6B">
          <w:rPr>
            <w:rFonts w:ascii="Arial" w:eastAsia="Times New Roman" w:hAnsi="Arial" w:cs="Arial"/>
            <w:color w:val="0000FF"/>
            <w:kern w:val="0"/>
            <w:sz w:val="22"/>
            <w:szCs w:val="22"/>
            <w:u w:val="single"/>
            <w:lang w:eastAsia="en-GB"/>
            <w14:ligatures w14:val="none"/>
          </w:rPr>
          <w:t>https://www.england.nhs.uk/long-read/inclusive-digital-healthcare-a-framework-for-nhs-action-on-digital-inclusion/</w:t>
        </w:r>
      </w:hyperlink>
      <w:r>
        <w:t xml:space="preserve"> </w:t>
      </w:r>
      <w:r w:rsidRPr="00600E6B">
        <w:rPr>
          <w:rFonts w:ascii="Arial" w:eastAsia="Times New Roman" w:hAnsi="Arial" w:cs="Arial"/>
          <w:color w:val="000000"/>
          <w:kern w:val="0"/>
          <w:sz w:val="22"/>
          <w:szCs w:val="22"/>
          <w:lang w:eastAsia="en-GB"/>
          <w14:ligatures w14:val="none"/>
        </w:rPr>
        <w:t>(Accessed: 4 October 2026).</w:t>
      </w:r>
    </w:p>
    <w:p w14:paraId="095C9903" w14:textId="77777777" w:rsidR="00701EB1" w:rsidRPr="00C5652B"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00E6B">
        <w:rPr>
          <w:rFonts w:ascii="Arial" w:eastAsia="Times New Roman" w:hAnsi="Arial" w:cs="Arial"/>
          <w:color w:val="000000"/>
          <w:kern w:val="0"/>
          <w:sz w:val="22"/>
          <w:szCs w:val="22"/>
          <w:lang w:eastAsia="en-GB"/>
          <w14:ligatures w14:val="none"/>
        </w:rPr>
        <w:t>NHS England (2024a) </w:t>
      </w:r>
      <w:r w:rsidRPr="00600E6B">
        <w:rPr>
          <w:rFonts w:ascii="Arial" w:eastAsia="Times New Roman" w:hAnsi="Arial" w:cs="Arial"/>
          <w:i/>
          <w:iCs/>
          <w:color w:val="000000"/>
          <w:kern w:val="0"/>
          <w:sz w:val="22"/>
          <w:szCs w:val="22"/>
          <w:lang w:eastAsia="en-GB"/>
          <w14:ligatures w14:val="none"/>
        </w:rPr>
        <w:t>Performance report 2023/24</w:t>
      </w:r>
      <w:r w:rsidRPr="00600E6B">
        <w:rPr>
          <w:rFonts w:ascii="Arial" w:eastAsia="Times New Roman" w:hAnsi="Arial" w:cs="Arial"/>
          <w:color w:val="000000"/>
          <w:kern w:val="0"/>
          <w:sz w:val="22"/>
          <w:szCs w:val="22"/>
          <w:lang w:eastAsia="en-GB"/>
          <w14:ligatures w14:val="none"/>
        </w:rPr>
        <w:t>. Available at: </w:t>
      </w:r>
      <w:hyperlink r:id="rId16" w:history="1">
        <w:r w:rsidRPr="00600E6B">
          <w:rPr>
            <w:rFonts w:ascii="Arial" w:eastAsia="Times New Roman" w:hAnsi="Arial" w:cs="Arial"/>
            <w:color w:val="0000FF"/>
            <w:kern w:val="0"/>
            <w:sz w:val="22"/>
            <w:szCs w:val="22"/>
            <w:u w:val="single"/>
            <w:lang w:eastAsia="en-GB"/>
            <w14:ligatures w14:val="none"/>
          </w:rPr>
          <w:t>https://www.england.nhs.uk/long-read/performance-report-23-24/</w:t>
        </w:r>
      </w:hyperlink>
      <w:r w:rsidRPr="00600E6B">
        <w:rPr>
          <w:rFonts w:ascii="Arial" w:eastAsia="Times New Roman" w:hAnsi="Arial" w:cs="Arial"/>
          <w:color w:val="000000"/>
          <w:kern w:val="0"/>
          <w:sz w:val="22"/>
          <w:szCs w:val="22"/>
          <w:lang w:eastAsia="en-GB"/>
          <w14:ligatures w14:val="none"/>
        </w:rPr>
        <w:t xml:space="preserve"> (Accessed: 4 October </w:t>
      </w:r>
      <w:r w:rsidRPr="00C5652B">
        <w:rPr>
          <w:rFonts w:ascii="Arial" w:eastAsia="Times New Roman" w:hAnsi="Arial" w:cs="Arial"/>
          <w:color w:val="000000"/>
          <w:kern w:val="0"/>
          <w:sz w:val="22"/>
          <w:szCs w:val="22"/>
          <w:lang w:eastAsia="en-GB"/>
          <w14:ligatures w14:val="none"/>
        </w:rPr>
        <w:t>2026).</w:t>
      </w:r>
    </w:p>
    <w:p w14:paraId="4066C6F4" w14:textId="77777777" w:rsidR="00701EB1" w:rsidRPr="002F3047"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F3047">
        <w:rPr>
          <w:rFonts w:ascii="Arial" w:eastAsia="Times New Roman" w:hAnsi="Arial" w:cs="Arial"/>
          <w:color w:val="000000"/>
          <w:kern w:val="0"/>
          <w:sz w:val="22"/>
          <w:szCs w:val="22"/>
          <w:lang w:eastAsia="en-GB"/>
          <w14:ligatures w14:val="none"/>
        </w:rPr>
        <w:t>NHS England (2024b) </w:t>
      </w:r>
      <w:r w:rsidRPr="002F3047">
        <w:rPr>
          <w:rFonts w:ascii="Arial" w:eastAsia="Times New Roman" w:hAnsi="Arial" w:cs="Arial"/>
          <w:i/>
          <w:iCs/>
          <w:color w:val="000000"/>
          <w:kern w:val="0"/>
          <w:sz w:val="22"/>
          <w:szCs w:val="22"/>
          <w:lang w:eastAsia="en-GB"/>
          <w14:ligatures w14:val="none"/>
        </w:rPr>
        <w:t xml:space="preserve">Summary of </w:t>
      </w:r>
      <w:proofErr w:type="gramStart"/>
      <w:r w:rsidRPr="002F3047">
        <w:rPr>
          <w:rFonts w:ascii="Arial" w:eastAsia="Times New Roman" w:hAnsi="Arial" w:cs="Arial"/>
          <w:i/>
          <w:iCs/>
          <w:color w:val="000000"/>
          <w:kern w:val="0"/>
          <w:sz w:val="22"/>
          <w:szCs w:val="22"/>
          <w:lang w:eastAsia="en-GB"/>
          <w14:ligatures w14:val="none"/>
        </w:rPr>
        <w:t>South East</w:t>
      </w:r>
      <w:proofErr w:type="gramEnd"/>
      <w:r w:rsidRPr="002F3047">
        <w:rPr>
          <w:rFonts w:ascii="Arial" w:eastAsia="Times New Roman" w:hAnsi="Arial" w:cs="Arial"/>
          <w:i/>
          <w:iCs/>
          <w:color w:val="000000"/>
          <w:kern w:val="0"/>
          <w:sz w:val="22"/>
          <w:szCs w:val="22"/>
          <w:lang w:eastAsia="en-GB"/>
          <w14:ligatures w14:val="none"/>
        </w:rPr>
        <w:t xml:space="preserve"> region virtual wards evaluation</w:t>
      </w:r>
      <w:r w:rsidRPr="002F3047">
        <w:rPr>
          <w:rFonts w:ascii="Arial" w:eastAsia="Times New Roman" w:hAnsi="Arial" w:cs="Arial"/>
          <w:color w:val="000000"/>
          <w:kern w:val="0"/>
          <w:sz w:val="22"/>
          <w:szCs w:val="22"/>
          <w:lang w:eastAsia="en-GB"/>
          <w14:ligatures w14:val="none"/>
        </w:rPr>
        <w:t>. Available at: </w:t>
      </w:r>
      <w:hyperlink r:id="rId17" w:history="1">
        <w:r w:rsidRPr="002F3047">
          <w:rPr>
            <w:rFonts w:ascii="Arial" w:eastAsia="Times New Roman" w:hAnsi="Arial" w:cs="Arial"/>
            <w:color w:val="0000FF"/>
            <w:kern w:val="0"/>
            <w:sz w:val="22"/>
            <w:szCs w:val="22"/>
            <w:u w:val="single"/>
            <w:lang w:eastAsia="en-GB"/>
            <w14:ligatures w14:val="none"/>
          </w:rPr>
          <w:t>https://www.england.nhs.uk/long-read/summary-of-south-east-region-virtual-wards-evaluation/</w:t>
        </w:r>
      </w:hyperlink>
      <w:r w:rsidRPr="002F3047">
        <w:rPr>
          <w:rFonts w:ascii="Arial" w:eastAsia="Times New Roman" w:hAnsi="Arial" w:cs="Arial"/>
          <w:color w:val="000000"/>
          <w:kern w:val="0"/>
          <w:sz w:val="22"/>
          <w:szCs w:val="22"/>
          <w:lang w:eastAsia="en-GB"/>
          <w14:ligatures w14:val="none"/>
        </w:rPr>
        <w:t> (Accessed: 4 October 2026).</w:t>
      </w:r>
    </w:p>
    <w:p w14:paraId="41EB67B1" w14:textId="77777777" w:rsidR="00701EB1" w:rsidRPr="002F3047"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F3047">
        <w:rPr>
          <w:rFonts w:ascii="Arial" w:eastAsia="Times New Roman" w:hAnsi="Arial" w:cs="Arial"/>
          <w:color w:val="000000"/>
          <w:kern w:val="0"/>
          <w:sz w:val="22"/>
          <w:szCs w:val="22"/>
          <w:lang w:eastAsia="en-GB"/>
          <w14:ligatures w14:val="none"/>
        </w:rPr>
        <w:t>NHS England (2024c) </w:t>
      </w:r>
      <w:r w:rsidRPr="002F3047">
        <w:rPr>
          <w:rFonts w:ascii="Arial" w:eastAsia="Times New Roman" w:hAnsi="Arial" w:cs="Arial"/>
          <w:i/>
          <w:iCs/>
          <w:color w:val="000000"/>
          <w:kern w:val="0"/>
          <w:sz w:val="22"/>
          <w:szCs w:val="22"/>
          <w:lang w:eastAsia="en-GB"/>
          <w14:ligatures w14:val="none"/>
        </w:rPr>
        <w:t>Virtual wards operational framework</w:t>
      </w:r>
      <w:r w:rsidRPr="002F3047">
        <w:rPr>
          <w:rFonts w:ascii="Arial" w:eastAsia="Times New Roman" w:hAnsi="Arial" w:cs="Arial"/>
          <w:color w:val="000000"/>
          <w:kern w:val="0"/>
          <w:sz w:val="22"/>
          <w:szCs w:val="22"/>
          <w:lang w:eastAsia="en-GB"/>
          <w14:ligatures w14:val="none"/>
        </w:rPr>
        <w:t>. Available at: </w:t>
      </w:r>
      <w:hyperlink r:id="rId18" w:history="1">
        <w:r w:rsidRPr="002F3047">
          <w:rPr>
            <w:rFonts w:ascii="Arial" w:eastAsia="Times New Roman" w:hAnsi="Arial" w:cs="Arial"/>
            <w:color w:val="0000FF"/>
            <w:kern w:val="0"/>
            <w:sz w:val="22"/>
            <w:szCs w:val="22"/>
            <w:u w:val="single"/>
            <w:lang w:eastAsia="en-GB"/>
            <w14:ligatures w14:val="none"/>
          </w:rPr>
          <w:t>https://www.england.nhs.uk/long-read/virtual-wards-operational-framework/</w:t>
        </w:r>
      </w:hyperlink>
      <w:r w:rsidRPr="002F3047">
        <w:rPr>
          <w:rFonts w:ascii="Arial" w:eastAsia="Times New Roman" w:hAnsi="Arial" w:cs="Arial"/>
          <w:color w:val="000000"/>
          <w:kern w:val="0"/>
          <w:sz w:val="22"/>
          <w:szCs w:val="22"/>
          <w:lang w:eastAsia="en-GB"/>
          <w14:ligatures w14:val="none"/>
        </w:rPr>
        <w:t> (Accessed: 4 October 2026).</w:t>
      </w:r>
    </w:p>
    <w:p w14:paraId="7EF5BE19" w14:textId="77777777" w:rsidR="00701EB1" w:rsidRPr="002F3047"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F3047">
        <w:rPr>
          <w:rFonts w:ascii="Arial" w:eastAsia="Times New Roman" w:hAnsi="Arial" w:cs="Arial"/>
          <w:color w:val="000000"/>
          <w:kern w:val="0"/>
          <w:sz w:val="22"/>
          <w:szCs w:val="22"/>
          <w:lang w:eastAsia="en-GB"/>
          <w14:ligatures w14:val="none"/>
        </w:rPr>
        <w:t>NHS England (2026a) </w:t>
      </w:r>
      <w:r w:rsidRPr="002F3047">
        <w:rPr>
          <w:rFonts w:ascii="Arial" w:eastAsia="Times New Roman" w:hAnsi="Arial" w:cs="Arial"/>
          <w:i/>
          <w:iCs/>
          <w:color w:val="000000"/>
          <w:kern w:val="0"/>
          <w:sz w:val="22"/>
          <w:szCs w:val="22"/>
          <w:lang w:eastAsia="en-GB"/>
          <w14:ligatures w14:val="none"/>
        </w:rPr>
        <w:t>Virtual wards</w:t>
      </w:r>
      <w:r w:rsidRPr="002F3047">
        <w:rPr>
          <w:rFonts w:ascii="Arial" w:eastAsia="Times New Roman" w:hAnsi="Arial" w:cs="Arial"/>
          <w:color w:val="000000"/>
          <w:kern w:val="0"/>
          <w:sz w:val="22"/>
          <w:szCs w:val="22"/>
          <w:lang w:eastAsia="en-GB"/>
          <w14:ligatures w14:val="none"/>
        </w:rPr>
        <w:t>. Available at: </w:t>
      </w:r>
      <w:hyperlink r:id="rId19" w:history="1">
        <w:r w:rsidRPr="002F3047">
          <w:rPr>
            <w:rFonts w:ascii="Arial" w:eastAsia="Times New Roman" w:hAnsi="Arial" w:cs="Arial"/>
            <w:color w:val="0000FF"/>
            <w:kern w:val="0"/>
            <w:sz w:val="22"/>
            <w:szCs w:val="22"/>
            <w:u w:val="single"/>
            <w:lang w:eastAsia="en-GB"/>
            <w14:ligatures w14:val="none"/>
          </w:rPr>
          <w:t>https://digital.nhs.uk/data-and-information/information-governance/guidance/virtual-wards</w:t>
        </w:r>
      </w:hyperlink>
      <w:r w:rsidRPr="002F3047">
        <w:rPr>
          <w:rFonts w:ascii="Arial" w:eastAsia="Times New Roman" w:hAnsi="Arial" w:cs="Arial"/>
          <w:color w:val="000000"/>
          <w:kern w:val="0"/>
          <w:sz w:val="22"/>
          <w:szCs w:val="22"/>
          <w:lang w:eastAsia="en-GB"/>
          <w14:ligatures w14:val="none"/>
        </w:rPr>
        <w:t xml:space="preserve"> (Accessed: 4 October 2026). </w:t>
      </w:r>
    </w:p>
    <w:p w14:paraId="348ACC41" w14:textId="77777777" w:rsidR="00701EB1" w:rsidRPr="002F3047"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F3047">
        <w:rPr>
          <w:rFonts w:ascii="Arial" w:eastAsia="Times New Roman" w:hAnsi="Arial" w:cs="Arial"/>
          <w:color w:val="000000"/>
          <w:kern w:val="0"/>
          <w:sz w:val="22"/>
          <w:szCs w:val="22"/>
          <w:lang w:eastAsia="en-GB"/>
          <w14:ligatures w14:val="none"/>
        </w:rPr>
        <w:t>NHS England (2026b) </w:t>
      </w:r>
      <w:r w:rsidRPr="002F3047">
        <w:rPr>
          <w:rFonts w:ascii="Arial" w:eastAsia="Times New Roman" w:hAnsi="Arial" w:cs="Arial"/>
          <w:i/>
          <w:iCs/>
          <w:color w:val="000000"/>
          <w:kern w:val="0"/>
          <w:sz w:val="22"/>
          <w:szCs w:val="22"/>
          <w:lang w:eastAsia="en-GB"/>
          <w14:ligatures w14:val="none"/>
        </w:rPr>
        <w:t>Virtual Ward</w:t>
      </w:r>
      <w:r w:rsidRPr="002F3047">
        <w:rPr>
          <w:rFonts w:ascii="Arial" w:eastAsia="Times New Roman" w:hAnsi="Arial" w:cs="Arial"/>
          <w:color w:val="000000"/>
          <w:kern w:val="0"/>
          <w:sz w:val="22"/>
          <w:szCs w:val="22"/>
          <w:lang w:eastAsia="en-GB"/>
          <w14:ligatures w14:val="none"/>
        </w:rPr>
        <w:t>. Available at: </w:t>
      </w:r>
      <w:hyperlink r:id="rId20" w:history="1">
        <w:r w:rsidRPr="002F3047">
          <w:rPr>
            <w:rFonts w:ascii="Arial" w:eastAsia="Times New Roman" w:hAnsi="Arial" w:cs="Arial"/>
            <w:color w:val="0000FF"/>
            <w:kern w:val="0"/>
            <w:sz w:val="22"/>
            <w:szCs w:val="22"/>
            <w:u w:val="single"/>
            <w:lang w:eastAsia="en-GB"/>
            <w14:ligatures w14:val="none"/>
          </w:rPr>
          <w:t>https://www.england.nhs.uk/statistics/statistical-work-areas/virtual-ward/</w:t>
        </w:r>
      </w:hyperlink>
      <w:r w:rsidRPr="002F3047">
        <w:rPr>
          <w:rFonts w:ascii="Arial" w:eastAsia="Times New Roman" w:hAnsi="Arial" w:cs="Arial"/>
          <w:color w:val="000000"/>
          <w:kern w:val="0"/>
          <w:sz w:val="22"/>
          <w:szCs w:val="22"/>
          <w:lang w:eastAsia="en-GB"/>
          <w14:ligatures w14:val="none"/>
        </w:rPr>
        <w:t> (Accessed: 4 October 2026).</w:t>
      </w:r>
    </w:p>
    <w:p w14:paraId="387BD006" w14:textId="24B75964" w:rsidR="00701EB1" w:rsidRPr="006C45CE" w:rsidRDefault="00701EB1" w:rsidP="00701EB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C45CE">
        <w:rPr>
          <w:rFonts w:ascii="Arial" w:eastAsia="Times New Roman" w:hAnsi="Arial" w:cs="Arial"/>
          <w:color w:val="000000"/>
          <w:kern w:val="0"/>
          <w:sz w:val="22"/>
          <w:szCs w:val="22"/>
          <w:lang w:eastAsia="en-GB"/>
          <w14:ligatures w14:val="none"/>
        </w:rPr>
        <w:t xml:space="preserve">Norman, G., Bennett, P. and Vardy, E.R.L.C. (2023) ‘Virtual wards: a rapid evidence synthesis and implications for the care of older people’, </w:t>
      </w:r>
      <w:r w:rsidRPr="00E1536D">
        <w:rPr>
          <w:rFonts w:ascii="Arial" w:eastAsia="Times New Roman" w:hAnsi="Arial" w:cs="Arial"/>
          <w:i/>
          <w:iCs/>
          <w:color w:val="000000"/>
          <w:kern w:val="0"/>
          <w:sz w:val="22"/>
          <w:szCs w:val="22"/>
          <w:lang w:eastAsia="en-GB"/>
          <w14:ligatures w14:val="none"/>
        </w:rPr>
        <w:t>Age and Ageing,</w:t>
      </w:r>
      <w:r w:rsidRPr="006C45CE">
        <w:rPr>
          <w:rFonts w:ascii="Arial" w:eastAsia="Times New Roman" w:hAnsi="Arial" w:cs="Arial"/>
          <w:color w:val="000000"/>
          <w:kern w:val="0"/>
          <w:sz w:val="22"/>
          <w:szCs w:val="22"/>
          <w:lang w:eastAsia="en-GB"/>
          <w14:ligatures w14:val="none"/>
        </w:rPr>
        <w:t xml:space="preserve"> 52(1), </w:t>
      </w:r>
      <w:proofErr w:type="gramStart"/>
      <w:r w:rsidR="00D8340A">
        <w:rPr>
          <w:rFonts w:ascii="Arial" w:eastAsia="Times New Roman" w:hAnsi="Arial" w:cs="Arial"/>
          <w:color w:val="000000"/>
          <w:kern w:val="0"/>
          <w:sz w:val="22"/>
          <w:szCs w:val="22"/>
          <w:lang w:eastAsia="en-GB"/>
          <w14:ligatures w14:val="none"/>
        </w:rPr>
        <w:t>pp.</w:t>
      </w:r>
      <w:r w:rsidRPr="006C45CE">
        <w:rPr>
          <w:rFonts w:ascii="Arial" w:eastAsia="Times New Roman" w:hAnsi="Arial" w:cs="Arial"/>
          <w:color w:val="000000"/>
          <w:kern w:val="0"/>
          <w:sz w:val="22"/>
          <w:szCs w:val="22"/>
          <w:lang w:eastAsia="en-GB"/>
          <w14:ligatures w14:val="none"/>
        </w:rPr>
        <w:t>afac</w:t>
      </w:r>
      <w:proofErr w:type="gramEnd"/>
      <w:r w:rsidRPr="006C45CE">
        <w:rPr>
          <w:rFonts w:ascii="Arial" w:eastAsia="Times New Roman" w:hAnsi="Arial" w:cs="Arial"/>
          <w:color w:val="000000"/>
          <w:kern w:val="0"/>
          <w:sz w:val="22"/>
          <w:szCs w:val="22"/>
          <w:lang w:eastAsia="en-GB"/>
          <w14:ligatures w14:val="none"/>
        </w:rPr>
        <w:t xml:space="preserve">319. Available at: </w:t>
      </w:r>
      <w:hyperlink r:id="rId21" w:history="1">
        <w:r w:rsidRPr="001E0D7A">
          <w:rPr>
            <w:rStyle w:val="Hyperlink"/>
            <w:rFonts w:ascii="Arial" w:eastAsia="Times New Roman" w:hAnsi="Arial" w:cs="Arial"/>
            <w:kern w:val="0"/>
            <w:sz w:val="22"/>
            <w:szCs w:val="22"/>
            <w:lang w:eastAsia="en-GB"/>
            <w14:ligatures w14:val="none"/>
          </w:rPr>
          <w:t>https://doi.org/10.1093/ageing/afac319</w:t>
        </w:r>
      </w:hyperlink>
      <w:r w:rsidRPr="006C45CE">
        <w:rPr>
          <w:rFonts w:ascii="Arial" w:eastAsia="Times New Roman" w:hAnsi="Arial" w:cs="Arial"/>
          <w:color w:val="000000"/>
          <w:kern w:val="0"/>
          <w:sz w:val="22"/>
          <w:szCs w:val="22"/>
          <w:lang w:eastAsia="en-GB"/>
          <w14:ligatures w14:val="none"/>
        </w:rPr>
        <w:t>.</w:t>
      </w:r>
      <w:r w:rsidR="00D8340A">
        <w:rPr>
          <w:rFonts w:ascii="Arial" w:eastAsia="Times New Roman" w:hAnsi="Arial" w:cs="Arial"/>
          <w:color w:val="000000"/>
          <w:kern w:val="0"/>
          <w:sz w:val="22"/>
          <w:szCs w:val="22"/>
          <w:lang w:eastAsia="en-GB"/>
          <w14:ligatures w14:val="none"/>
        </w:rPr>
        <w:t xml:space="preserve"> (Accessed: 5 October 2026).</w:t>
      </w:r>
    </w:p>
    <w:p w14:paraId="00E840E3" w14:textId="29636A46" w:rsidR="00701EB1" w:rsidRDefault="00701EB1" w:rsidP="00701EB1">
      <w:pPr>
        <w:spacing w:before="100" w:beforeAutospacing="1" w:after="100" w:afterAutospacing="1" w:line="360" w:lineRule="auto"/>
        <w:rPr>
          <w:rFonts w:ascii="Arial" w:hAnsi="Arial" w:cs="Arial"/>
          <w:color w:val="000000"/>
          <w:sz w:val="22"/>
          <w:szCs w:val="22"/>
        </w:rPr>
      </w:pPr>
      <w:r w:rsidRPr="006C45CE">
        <w:rPr>
          <w:rFonts w:ascii="Arial" w:hAnsi="Arial" w:cs="Arial"/>
          <w:color w:val="000000"/>
          <w:sz w:val="22"/>
          <w:szCs w:val="22"/>
        </w:rPr>
        <w:t xml:space="preserve">Shi, C., </w:t>
      </w:r>
      <w:proofErr w:type="spellStart"/>
      <w:r w:rsidRPr="006C45CE">
        <w:rPr>
          <w:rFonts w:ascii="Arial" w:hAnsi="Arial" w:cs="Arial"/>
          <w:color w:val="000000"/>
          <w:sz w:val="22"/>
          <w:szCs w:val="22"/>
        </w:rPr>
        <w:t>Dumville</w:t>
      </w:r>
      <w:proofErr w:type="spellEnd"/>
      <w:r w:rsidRPr="006C45CE">
        <w:rPr>
          <w:rFonts w:ascii="Arial" w:hAnsi="Arial" w:cs="Arial"/>
          <w:color w:val="000000"/>
          <w:sz w:val="22"/>
          <w:szCs w:val="22"/>
        </w:rPr>
        <w:t xml:space="preserve">, J., Rubinstein, F., Norman, G., Ullah, A., Bashir, S., Bower, P. and Vardy, E.R.L.C. (2024) ‘Inpatient-level care at home delivered by virtual wards and hospital at home: a systematic review and meta-analysis of complex interventions and their components’, </w:t>
      </w:r>
      <w:r w:rsidRPr="00E2768A">
        <w:rPr>
          <w:rFonts w:ascii="Arial" w:hAnsi="Arial" w:cs="Arial"/>
          <w:i/>
          <w:iCs/>
          <w:color w:val="000000"/>
          <w:sz w:val="22"/>
          <w:szCs w:val="22"/>
        </w:rPr>
        <w:t>BMC Medicine,</w:t>
      </w:r>
      <w:r w:rsidRPr="006C45CE">
        <w:rPr>
          <w:rFonts w:ascii="Arial" w:hAnsi="Arial" w:cs="Arial"/>
          <w:color w:val="000000"/>
          <w:sz w:val="22"/>
          <w:szCs w:val="22"/>
        </w:rPr>
        <w:t xml:space="preserve"> </w:t>
      </w:r>
      <w:r w:rsidR="00444DC7">
        <w:rPr>
          <w:rFonts w:ascii="Arial" w:hAnsi="Arial" w:cs="Arial"/>
          <w:color w:val="000000"/>
          <w:sz w:val="22"/>
          <w:szCs w:val="22"/>
        </w:rPr>
        <w:t>(</w:t>
      </w:r>
      <w:r w:rsidRPr="006C45CE">
        <w:rPr>
          <w:rFonts w:ascii="Arial" w:hAnsi="Arial" w:cs="Arial"/>
          <w:color w:val="000000"/>
          <w:sz w:val="22"/>
          <w:szCs w:val="22"/>
        </w:rPr>
        <w:t>22</w:t>
      </w:r>
      <w:r w:rsidR="00444DC7">
        <w:rPr>
          <w:rFonts w:ascii="Arial" w:hAnsi="Arial" w:cs="Arial"/>
          <w:color w:val="000000"/>
          <w:sz w:val="22"/>
          <w:szCs w:val="22"/>
        </w:rPr>
        <w:t>)</w:t>
      </w:r>
      <w:r w:rsidRPr="006C45CE">
        <w:rPr>
          <w:rFonts w:ascii="Arial" w:hAnsi="Arial" w:cs="Arial"/>
          <w:color w:val="000000"/>
          <w:sz w:val="22"/>
          <w:szCs w:val="22"/>
        </w:rPr>
        <w:t xml:space="preserve">, </w:t>
      </w:r>
      <w:r w:rsidR="00444DC7">
        <w:rPr>
          <w:rFonts w:ascii="Arial" w:hAnsi="Arial" w:cs="Arial"/>
          <w:color w:val="000000"/>
          <w:sz w:val="22"/>
          <w:szCs w:val="22"/>
        </w:rPr>
        <w:t>pp.</w:t>
      </w:r>
      <w:r w:rsidRPr="006C45CE">
        <w:rPr>
          <w:rFonts w:ascii="Arial" w:hAnsi="Arial" w:cs="Arial"/>
          <w:color w:val="000000"/>
          <w:sz w:val="22"/>
          <w:szCs w:val="22"/>
        </w:rPr>
        <w:t xml:space="preserve">145. Available at: </w:t>
      </w:r>
      <w:hyperlink r:id="rId22" w:history="1">
        <w:r w:rsidRPr="001E0D7A">
          <w:rPr>
            <w:rStyle w:val="Hyperlink"/>
            <w:rFonts w:ascii="Arial" w:hAnsi="Arial" w:cs="Arial"/>
            <w:sz w:val="22"/>
            <w:szCs w:val="22"/>
          </w:rPr>
          <w:t>https://doi.org/10.1186/s12916-024-03312-3</w:t>
        </w:r>
      </w:hyperlink>
      <w:r w:rsidRPr="006C45CE">
        <w:rPr>
          <w:rFonts w:ascii="Arial" w:hAnsi="Arial" w:cs="Arial"/>
          <w:color w:val="000000"/>
          <w:sz w:val="22"/>
          <w:szCs w:val="22"/>
        </w:rPr>
        <w:t>.</w:t>
      </w:r>
    </w:p>
    <w:p w14:paraId="7C1C79DA" w14:textId="77777777" w:rsidR="00701EB1" w:rsidRPr="007E6139" w:rsidRDefault="00701EB1" w:rsidP="007E6139">
      <w:pPr>
        <w:pStyle w:val="NormalWeb"/>
        <w:spacing w:line="360" w:lineRule="auto"/>
        <w:rPr>
          <w:rFonts w:ascii="Arial" w:hAnsi="Arial" w:cs="Arial"/>
          <w:b/>
          <w:bCs/>
          <w:color w:val="000000"/>
          <w:sz w:val="22"/>
          <w:szCs w:val="22"/>
        </w:rPr>
      </w:pPr>
    </w:p>
    <w:p w14:paraId="438F8ACA" w14:textId="56500B2B" w:rsidR="007E6139" w:rsidRDefault="007E6139" w:rsidP="007E6139">
      <w:pPr>
        <w:pStyle w:val="NormalWeb"/>
        <w:spacing w:line="300" w:lineRule="atLeast"/>
        <w:rPr>
          <w:rFonts w:ascii="Segoe UI" w:hAnsi="Segoe UI" w:cs="Segoe UI"/>
          <w:color w:val="000000"/>
          <w:sz w:val="21"/>
          <w:szCs w:val="21"/>
        </w:rPr>
      </w:pPr>
    </w:p>
    <w:p w14:paraId="463CAEED" w14:textId="70703826" w:rsidR="00740716" w:rsidRPr="00DF3581" w:rsidRDefault="00740716" w:rsidP="00DF3581">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sectPr w:rsidR="00740716" w:rsidRPr="00DF3581">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2CFEC8" w14:textId="77777777" w:rsidR="00973903" w:rsidRDefault="00973903" w:rsidP="001C49E2">
      <w:pPr>
        <w:spacing w:after="0" w:line="240" w:lineRule="auto"/>
      </w:pPr>
      <w:r>
        <w:separator/>
      </w:r>
    </w:p>
  </w:endnote>
  <w:endnote w:type="continuationSeparator" w:id="0">
    <w:p w14:paraId="2673FDA3" w14:textId="77777777" w:rsidR="00973903" w:rsidRDefault="00973903" w:rsidP="001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8696002"/>
      <w:docPartObj>
        <w:docPartGallery w:val="Page Numbers (Bottom of Page)"/>
        <w:docPartUnique/>
      </w:docPartObj>
    </w:sdtPr>
    <w:sdtContent>
      <w:p w14:paraId="56AE92B2" w14:textId="3870918C" w:rsidR="001C49E2" w:rsidRDefault="001C49E2" w:rsidP="00B838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8CB953" w14:textId="77777777" w:rsidR="001C49E2" w:rsidRDefault="001C49E2" w:rsidP="001C49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83395253"/>
      <w:docPartObj>
        <w:docPartGallery w:val="Page Numbers (Bottom of Page)"/>
        <w:docPartUnique/>
      </w:docPartObj>
    </w:sdtPr>
    <w:sdtContent>
      <w:p w14:paraId="0E0FCF58" w14:textId="33E31FD1" w:rsidR="001C49E2" w:rsidRDefault="001C49E2" w:rsidP="00B838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C4341A" w14:textId="77777777" w:rsidR="001C49E2" w:rsidRDefault="001C49E2" w:rsidP="001C49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388121" w14:textId="77777777" w:rsidR="00973903" w:rsidRDefault="00973903" w:rsidP="001C49E2">
      <w:pPr>
        <w:spacing w:after="0" w:line="240" w:lineRule="auto"/>
      </w:pPr>
      <w:r>
        <w:separator/>
      </w:r>
    </w:p>
  </w:footnote>
  <w:footnote w:type="continuationSeparator" w:id="0">
    <w:p w14:paraId="1A50914C" w14:textId="77777777" w:rsidR="00973903" w:rsidRDefault="00973903" w:rsidP="001C49E2">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626"/>
    <w:rsid w:val="00013BFD"/>
    <w:rsid w:val="00027368"/>
    <w:rsid w:val="00031852"/>
    <w:rsid w:val="00037542"/>
    <w:rsid w:val="00055992"/>
    <w:rsid w:val="000611DC"/>
    <w:rsid w:val="00061360"/>
    <w:rsid w:val="00070B39"/>
    <w:rsid w:val="000778CE"/>
    <w:rsid w:val="00082661"/>
    <w:rsid w:val="00090E08"/>
    <w:rsid w:val="000A5DC4"/>
    <w:rsid w:val="000A65A5"/>
    <w:rsid w:val="000A7349"/>
    <w:rsid w:val="000A7A70"/>
    <w:rsid w:val="000B7638"/>
    <w:rsid w:val="000C6D82"/>
    <w:rsid w:val="000E004F"/>
    <w:rsid w:val="000E1BCA"/>
    <w:rsid w:val="000E2DCA"/>
    <w:rsid w:val="000E2E1B"/>
    <w:rsid w:val="000E37F0"/>
    <w:rsid w:val="000E417E"/>
    <w:rsid w:val="000E419A"/>
    <w:rsid w:val="000E475F"/>
    <w:rsid w:val="000E6AFC"/>
    <w:rsid w:val="000F3888"/>
    <w:rsid w:val="000F4460"/>
    <w:rsid w:val="00100BFF"/>
    <w:rsid w:val="00100E03"/>
    <w:rsid w:val="00106D61"/>
    <w:rsid w:val="00107DD8"/>
    <w:rsid w:val="00110EAE"/>
    <w:rsid w:val="001242B1"/>
    <w:rsid w:val="001244D0"/>
    <w:rsid w:val="00131104"/>
    <w:rsid w:val="00143467"/>
    <w:rsid w:val="00151C68"/>
    <w:rsid w:val="001558B4"/>
    <w:rsid w:val="00160A6E"/>
    <w:rsid w:val="00160DBB"/>
    <w:rsid w:val="00161EB8"/>
    <w:rsid w:val="0016632D"/>
    <w:rsid w:val="00171A22"/>
    <w:rsid w:val="00172C1A"/>
    <w:rsid w:val="00186DAA"/>
    <w:rsid w:val="001922F2"/>
    <w:rsid w:val="00196065"/>
    <w:rsid w:val="001977BA"/>
    <w:rsid w:val="001A3B19"/>
    <w:rsid w:val="001B0CDF"/>
    <w:rsid w:val="001B2DB7"/>
    <w:rsid w:val="001B300A"/>
    <w:rsid w:val="001B307D"/>
    <w:rsid w:val="001B35E1"/>
    <w:rsid w:val="001B3E5A"/>
    <w:rsid w:val="001B4914"/>
    <w:rsid w:val="001C068F"/>
    <w:rsid w:val="001C49E2"/>
    <w:rsid w:val="001D37BD"/>
    <w:rsid w:val="001D465C"/>
    <w:rsid w:val="001D6540"/>
    <w:rsid w:val="001E0350"/>
    <w:rsid w:val="001E2FFA"/>
    <w:rsid w:val="001E78B4"/>
    <w:rsid w:val="001F1C47"/>
    <w:rsid w:val="001F7BCC"/>
    <w:rsid w:val="002022CC"/>
    <w:rsid w:val="002045C0"/>
    <w:rsid w:val="00204B3F"/>
    <w:rsid w:val="00211073"/>
    <w:rsid w:val="00213D27"/>
    <w:rsid w:val="002155D0"/>
    <w:rsid w:val="00215CCE"/>
    <w:rsid w:val="002246FE"/>
    <w:rsid w:val="00230C86"/>
    <w:rsid w:val="0023335C"/>
    <w:rsid w:val="00233FF7"/>
    <w:rsid w:val="002340DE"/>
    <w:rsid w:val="002409C0"/>
    <w:rsid w:val="0025567D"/>
    <w:rsid w:val="00270A39"/>
    <w:rsid w:val="00270D32"/>
    <w:rsid w:val="00273495"/>
    <w:rsid w:val="002876AD"/>
    <w:rsid w:val="00295DD9"/>
    <w:rsid w:val="00295FF2"/>
    <w:rsid w:val="002A478A"/>
    <w:rsid w:val="002A5263"/>
    <w:rsid w:val="002A65DC"/>
    <w:rsid w:val="002B4F0C"/>
    <w:rsid w:val="002C2B58"/>
    <w:rsid w:val="002C6C1A"/>
    <w:rsid w:val="002D6AE2"/>
    <w:rsid w:val="002E2223"/>
    <w:rsid w:val="002E557B"/>
    <w:rsid w:val="002F004D"/>
    <w:rsid w:val="002F1393"/>
    <w:rsid w:val="00303306"/>
    <w:rsid w:val="0030699B"/>
    <w:rsid w:val="00312A3D"/>
    <w:rsid w:val="003142D0"/>
    <w:rsid w:val="00316252"/>
    <w:rsid w:val="003233A7"/>
    <w:rsid w:val="00325BE0"/>
    <w:rsid w:val="00326891"/>
    <w:rsid w:val="0033145D"/>
    <w:rsid w:val="00332D80"/>
    <w:rsid w:val="00342C7B"/>
    <w:rsid w:val="0034626A"/>
    <w:rsid w:val="00353936"/>
    <w:rsid w:val="00362626"/>
    <w:rsid w:val="00371B43"/>
    <w:rsid w:val="00372E55"/>
    <w:rsid w:val="00390A06"/>
    <w:rsid w:val="003A5873"/>
    <w:rsid w:val="003A60AF"/>
    <w:rsid w:val="003B0761"/>
    <w:rsid w:val="003B1713"/>
    <w:rsid w:val="003B4C00"/>
    <w:rsid w:val="003C1029"/>
    <w:rsid w:val="003C2077"/>
    <w:rsid w:val="003C28FF"/>
    <w:rsid w:val="003D1F58"/>
    <w:rsid w:val="003D4A9F"/>
    <w:rsid w:val="003D5965"/>
    <w:rsid w:val="003E45CB"/>
    <w:rsid w:val="003F7D36"/>
    <w:rsid w:val="00424A36"/>
    <w:rsid w:val="0043531A"/>
    <w:rsid w:val="00435AEC"/>
    <w:rsid w:val="00436162"/>
    <w:rsid w:val="004404B4"/>
    <w:rsid w:val="00444DC7"/>
    <w:rsid w:val="00455443"/>
    <w:rsid w:val="0046513C"/>
    <w:rsid w:val="004673A4"/>
    <w:rsid w:val="0047177C"/>
    <w:rsid w:val="00475399"/>
    <w:rsid w:val="00480FC0"/>
    <w:rsid w:val="0048360C"/>
    <w:rsid w:val="00483DC8"/>
    <w:rsid w:val="00483DD2"/>
    <w:rsid w:val="00495508"/>
    <w:rsid w:val="00496CF5"/>
    <w:rsid w:val="0049700F"/>
    <w:rsid w:val="004A0356"/>
    <w:rsid w:val="004A5476"/>
    <w:rsid w:val="004A59B4"/>
    <w:rsid w:val="004B02AF"/>
    <w:rsid w:val="004C15EC"/>
    <w:rsid w:val="004C19E4"/>
    <w:rsid w:val="004C4F0E"/>
    <w:rsid w:val="004C58D8"/>
    <w:rsid w:val="004D437B"/>
    <w:rsid w:val="004D5553"/>
    <w:rsid w:val="004D5F0E"/>
    <w:rsid w:val="004D5FAB"/>
    <w:rsid w:val="004E64E8"/>
    <w:rsid w:val="004F5CF7"/>
    <w:rsid w:val="00505A8B"/>
    <w:rsid w:val="005161A2"/>
    <w:rsid w:val="005249F4"/>
    <w:rsid w:val="00535E3C"/>
    <w:rsid w:val="00537C33"/>
    <w:rsid w:val="0054197F"/>
    <w:rsid w:val="00542820"/>
    <w:rsid w:val="0054496E"/>
    <w:rsid w:val="00546B4D"/>
    <w:rsid w:val="00550C89"/>
    <w:rsid w:val="00550CBB"/>
    <w:rsid w:val="0055139F"/>
    <w:rsid w:val="00552A45"/>
    <w:rsid w:val="00554E6E"/>
    <w:rsid w:val="00565DC7"/>
    <w:rsid w:val="00570C4D"/>
    <w:rsid w:val="00571228"/>
    <w:rsid w:val="00571C51"/>
    <w:rsid w:val="00574046"/>
    <w:rsid w:val="00574C7E"/>
    <w:rsid w:val="00590508"/>
    <w:rsid w:val="005939A6"/>
    <w:rsid w:val="00596CFC"/>
    <w:rsid w:val="00597CC2"/>
    <w:rsid w:val="005A62BD"/>
    <w:rsid w:val="005B07EC"/>
    <w:rsid w:val="005B0C6B"/>
    <w:rsid w:val="005B59D5"/>
    <w:rsid w:val="005C0FCA"/>
    <w:rsid w:val="005C5550"/>
    <w:rsid w:val="005D04F5"/>
    <w:rsid w:val="005D4798"/>
    <w:rsid w:val="005F0633"/>
    <w:rsid w:val="005F385A"/>
    <w:rsid w:val="005F6E96"/>
    <w:rsid w:val="00600467"/>
    <w:rsid w:val="006033BF"/>
    <w:rsid w:val="00611003"/>
    <w:rsid w:val="00614AE8"/>
    <w:rsid w:val="006156C7"/>
    <w:rsid w:val="00616156"/>
    <w:rsid w:val="00632227"/>
    <w:rsid w:val="00647370"/>
    <w:rsid w:val="006572AF"/>
    <w:rsid w:val="006648E2"/>
    <w:rsid w:val="00667168"/>
    <w:rsid w:val="0067521F"/>
    <w:rsid w:val="00680CAA"/>
    <w:rsid w:val="00684D7B"/>
    <w:rsid w:val="006852B5"/>
    <w:rsid w:val="006855A4"/>
    <w:rsid w:val="00691DC9"/>
    <w:rsid w:val="00692B39"/>
    <w:rsid w:val="006937A1"/>
    <w:rsid w:val="0069417A"/>
    <w:rsid w:val="00697255"/>
    <w:rsid w:val="006A698C"/>
    <w:rsid w:val="006B19B8"/>
    <w:rsid w:val="006C731D"/>
    <w:rsid w:val="006D1D6A"/>
    <w:rsid w:val="00701EB1"/>
    <w:rsid w:val="007036E1"/>
    <w:rsid w:val="007121F8"/>
    <w:rsid w:val="00713DAE"/>
    <w:rsid w:val="00720E0A"/>
    <w:rsid w:val="00721982"/>
    <w:rsid w:val="00721DB7"/>
    <w:rsid w:val="00722192"/>
    <w:rsid w:val="00740716"/>
    <w:rsid w:val="007438C7"/>
    <w:rsid w:val="0075338D"/>
    <w:rsid w:val="007562AC"/>
    <w:rsid w:val="00767A5C"/>
    <w:rsid w:val="007716A9"/>
    <w:rsid w:val="00775470"/>
    <w:rsid w:val="00777E8F"/>
    <w:rsid w:val="007930ED"/>
    <w:rsid w:val="007A15E0"/>
    <w:rsid w:val="007B3292"/>
    <w:rsid w:val="007B6D7E"/>
    <w:rsid w:val="007D1799"/>
    <w:rsid w:val="007D6372"/>
    <w:rsid w:val="007D7EC5"/>
    <w:rsid w:val="007E1935"/>
    <w:rsid w:val="007E4F54"/>
    <w:rsid w:val="007E6139"/>
    <w:rsid w:val="007E72F5"/>
    <w:rsid w:val="007E7464"/>
    <w:rsid w:val="007F1F9C"/>
    <w:rsid w:val="007F4728"/>
    <w:rsid w:val="007F7B68"/>
    <w:rsid w:val="00800E33"/>
    <w:rsid w:val="008107AA"/>
    <w:rsid w:val="00811F85"/>
    <w:rsid w:val="008142C4"/>
    <w:rsid w:val="00814A9C"/>
    <w:rsid w:val="00815D3B"/>
    <w:rsid w:val="00820E88"/>
    <w:rsid w:val="00823D3E"/>
    <w:rsid w:val="008263DB"/>
    <w:rsid w:val="008272FB"/>
    <w:rsid w:val="00834DC8"/>
    <w:rsid w:val="00836FCE"/>
    <w:rsid w:val="00846749"/>
    <w:rsid w:val="008506DC"/>
    <w:rsid w:val="008575AF"/>
    <w:rsid w:val="00873597"/>
    <w:rsid w:val="008804BB"/>
    <w:rsid w:val="008A2ABB"/>
    <w:rsid w:val="008A3E01"/>
    <w:rsid w:val="008A5BDB"/>
    <w:rsid w:val="008B0A6F"/>
    <w:rsid w:val="008B36DC"/>
    <w:rsid w:val="008B4F7F"/>
    <w:rsid w:val="008B538D"/>
    <w:rsid w:val="008B7B74"/>
    <w:rsid w:val="008C5FC1"/>
    <w:rsid w:val="008D414D"/>
    <w:rsid w:val="008D67AE"/>
    <w:rsid w:val="008E71AF"/>
    <w:rsid w:val="008F5B28"/>
    <w:rsid w:val="008F5B90"/>
    <w:rsid w:val="008F72E3"/>
    <w:rsid w:val="0090185D"/>
    <w:rsid w:val="00905139"/>
    <w:rsid w:val="00911A07"/>
    <w:rsid w:val="009122E5"/>
    <w:rsid w:val="0091389F"/>
    <w:rsid w:val="00915C4B"/>
    <w:rsid w:val="0092314F"/>
    <w:rsid w:val="00923FB1"/>
    <w:rsid w:val="009307D7"/>
    <w:rsid w:val="00933BA3"/>
    <w:rsid w:val="0093545B"/>
    <w:rsid w:val="00935550"/>
    <w:rsid w:val="00935EDB"/>
    <w:rsid w:val="00936741"/>
    <w:rsid w:val="00947C58"/>
    <w:rsid w:val="00956C1D"/>
    <w:rsid w:val="00960C96"/>
    <w:rsid w:val="009616B6"/>
    <w:rsid w:val="00973903"/>
    <w:rsid w:val="00974FBA"/>
    <w:rsid w:val="00975138"/>
    <w:rsid w:val="0097592B"/>
    <w:rsid w:val="00980A73"/>
    <w:rsid w:val="009855D8"/>
    <w:rsid w:val="00990D41"/>
    <w:rsid w:val="009917CE"/>
    <w:rsid w:val="0099247E"/>
    <w:rsid w:val="00995078"/>
    <w:rsid w:val="00997D30"/>
    <w:rsid w:val="009A3CB6"/>
    <w:rsid w:val="009A6222"/>
    <w:rsid w:val="009A6C58"/>
    <w:rsid w:val="009B0EF9"/>
    <w:rsid w:val="009B64C1"/>
    <w:rsid w:val="009C5849"/>
    <w:rsid w:val="009C786F"/>
    <w:rsid w:val="009D09F5"/>
    <w:rsid w:val="009D4D8E"/>
    <w:rsid w:val="009D4E33"/>
    <w:rsid w:val="009D68DD"/>
    <w:rsid w:val="009E1441"/>
    <w:rsid w:val="009E1F85"/>
    <w:rsid w:val="009E357F"/>
    <w:rsid w:val="009F441D"/>
    <w:rsid w:val="00A00C28"/>
    <w:rsid w:val="00A055DD"/>
    <w:rsid w:val="00A0789C"/>
    <w:rsid w:val="00A12123"/>
    <w:rsid w:val="00A13147"/>
    <w:rsid w:val="00A207EF"/>
    <w:rsid w:val="00A23197"/>
    <w:rsid w:val="00A24817"/>
    <w:rsid w:val="00A32F27"/>
    <w:rsid w:val="00A42B23"/>
    <w:rsid w:val="00A52490"/>
    <w:rsid w:val="00A56720"/>
    <w:rsid w:val="00A61786"/>
    <w:rsid w:val="00A673DD"/>
    <w:rsid w:val="00A85897"/>
    <w:rsid w:val="00A8751E"/>
    <w:rsid w:val="00A965E5"/>
    <w:rsid w:val="00AA1CB6"/>
    <w:rsid w:val="00AB5519"/>
    <w:rsid w:val="00AC16B1"/>
    <w:rsid w:val="00AC3791"/>
    <w:rsid w:val="00AC6FF4"/>
    <w:rsid w:val="00AD02DD"/>
    <w:rsid w:val="00AE0FCE"/>
    <w:rsid w:val="00AE1676"/>
    <w:rsid w:val="00AF23E8"/>
    <w:rsid w:val="00AF5EFC"/>
    <w:rsid w:val="00B02AA2"/>
    <w:rsid w:val="00B036B3"/>
    <w:rsid w:val="00B1028A"/>
    <w:rsid w:val="00B16AE6"/>
    <w:rsid w:val="00B2441F"/>
    <w:rsid w:val="00B375DB"/>
    <w:rsid w:val="00B4178A"/>
    <w:rsid w:val="00B47A46"/>
    <w:rsid w:val="00B543AA"/>
    <w:rsid w:val="00B636CC"/>
    <w:rsid w:val="00B649FA"/>
    <w:rsid w:val="00B67C1E"/>
    <w:rsid w:val="00B76307"/>
    <w:rsid w:val="00B829F0"/>
    <w:rsid w:val="00B8504E"/>
    <w:rsid w:val="00B86329"/>
    <w:rsid w:val="00B9301F"/>
    <w:rsid w:val="00B93E9C"/>
    <w:rsid w:val="00B978F7"/>
    <w:rsid w:val="00BA1404"/>
    <w:rsid w:val="00BA7371"/>
    <w:rsid w:val="00BB0472"/>
    <w:rsid w:val="00BB3077"/>
    <w:rsid w:val="00BC14E7"/>
    <w:rsid w:val="00BC66ED"/>
    <w:rsid w:val="00BC7EFD"/>
    <w:rsid w:val="00BD0FC4"/>
    <w:rsid w:val="00BD2185"/>
    <w:rsid w:val="00BD343B"/>
    <w:rsid w:val="00BD573D"/>
    <w:rsid w:val="00BE005B"/>
    <w:rsid w:val="00BE24A6"/>
    <w:rsid w:val="00BE376F"/>
    <w:rsid w:val="00BE4613"/>
    <w:rsid w:val="00BF5B16"/>
    <w:rsid w:val="00C00599"/>
    <w:rsid w:val="00C015F0"/>
    <w:rsid w:val="00C12F0E"/>
    <w:rsid w:val="00C2533E"/>
    <w:rsid w:val="00C32916"/>
    <w:rsid w:val="00C35088"/>
    <w:rsid w:val="00C35FA7"/>
    <w:rsid w:val="00C37EF6"/>
    <w:rsid w:val="00C4143C"/>
    <w:rsid w:val="00C528CC"/>
    <w:rsid w:val="00C548A0"/>
    <w:rsid w:val="00C5637D"/>
    <w:rsid w:val="00C60A52"/>
    <w:rsid w:val="00C702F7"/>
    <w:rsid w:val="00C76150"/>
    <w:rsid w:val="00C94559"/>
    <w:rsid w:val="00CA017B"/>
    <w:rsid w:val="00CA3A1A"/>
    <w:rsid w:val="00CA65FE"/>
    <w:rsid w:val="00CA789B"/>
    <w:rsid w:val="00CC034E"/>
    <w:rsid w:val="00CC192E"/>
    <w:rsid w:val="00CC46C9"/>
    <w:rsid w:val="00CC4719"/>
    <w:rsid w:val="00CC63BC"/>
    <w:rsid w:val="00CC77A1"/>
    <w:rsid w:val="00CE4EE1"/>
    <w:rsid w:val="00D079A2"/>
    <w:rsid w:val="00D2247E"/>
    <w:rsid w:val="00D22947"/>
    <w:rsid w:val="00D45407"/>
    <w:rsid w:val="00D454BB"/>
    <w:rsid w:val="00D51D16"/>
    <w:rsid w:val="00D52148"/>
    <w:rsid w:val="00D649D6"/>
    <w:rsid w:val="00D73A1F"/>
    <w:rsid w:val="00D755C3"/>
    <w:rsid w:val="00D75CCA"/>
    <w:rsid w:val="00D8340A"/>
    <w:rsid w:val="00D84126"/>
    <w:rsid w:val="00D878A2"/>
    <w:rsid w:val="00D918D1"/>
    <w:rsid w:val="00D92F8C"/>
    <w:rsid w:val="00DA74C0"/>
    <w:rsid w:val="00DB55B0"/>
    <w:rsid w:val="00DC4849"/>
    <w:rsid w:val="00DC783A"/>
    <w:rsid w:val="00DD07FC"/>
    <w:rsid w:val="00DD2996"/>
    <w:rsid w:val="00DE1768"/>
    <w:rsid w:val="00DE31BF"/>
    <w:rsid w:val="00DF0242"/>
    <w:rsid w:val="00DF3581"/>
    <w:rsid w:val="00DF460B"/>
    <w:rsid w:val="00E03530"/>
    <w:rsid w:val="00E1010D"/>
    <w:rsid w:val="00E13AA1"/>
    <w:rsid w:val="00E15D71"/>
    <w:rsid w:val="00E15F9E"/>
    <w:rsid w:val="00E20158"/>
    <w:rsid w:val="00E216F2"/>
    <w:rsid w:val="00E32494"/>
    <w:rsid w:val="00E355E2"/>
    <w:rsid w:val="00E46068"/>
    <w:rsid w:val="00E4636E"/>
    <w:rsid w:val="00E60E7C"/>
    <w:rsid w:val="00E634B1"/>
    <w:rsid w:val="00E65D33"/>
    <w:rsid w:val="00E7133C"/>
    <w:rsid w:val="00E81234"/>
    <w:rsid w:val="00E85D75"/>
    <w:rsid w:val="00E86198"/>
    <w:rsid w:val="00E90916"/>
    <w:rsid w:val="00EA5B9A"/>
    <w:rsid w:val="00EA6A45"/>
    <w:rsid w:val="00EA7C53"/>
    <w:rsid w:val="00EA7FDA"/>
    <w:rsid w:val="00EB2178"/>
    <w:rsid w:val="00EC5BE3"/>
    <w:rsid w:val="00EC665E"/>
    <w:rsid w:val="00ED33F1"/>
    <w:rsid w:val="00EE44C3"/>
    <w:rsid w:val="00EE7B2E"/>
    <w:rsid w:val="00EF168C"/>
    <w:rsid w:val="00EF64F3"/>
    <w:rsid w:val="00F03D34"/>
    <w:rsid w:val="00F1195F"/>
    <w:rsid w:val="00F13CC3"/>
    <w:rsid w:val="00F24EF0"/>
    <w:rsid w:val="00F27A7C"/>
    <w:rsid w:val="00F4201E"/>
    <w:rsid w:val="00F606C8"/>
    <w:rsid w:val="00F62729"/>
    <w:rsid w:val="00F71C2F"/>
    <w:rsid w:val="00F8212D"/>
    <w:rsid w:val="00F83234"/>
    <w:rsid w:val="00F86161"/>
    <w:rsid w:val="00F95AD6"/>
    <w:rsid w:val="00F9760D"/>
    <w:rsid w:val="00F97E87"/>
    <w:rsid w:val="00FA35B0"/>
    <w:rsid w:val="00FA3671"/>
    <w:rsid w:val="00FA5430"/>
    <w:rsid w:val="00FB10F5"/>
    <w:rsid w:val="00FB4D8E"/>
    <w:rsid w:val="00FB5AF2"/>
    <w:rsid w:val="00FC6BCF"/>
    <w:rsid w:val="00FC6CAE"/>
    <w:rsid w:val="00FD40CE"/>
    <w:rsid w:val="00FE5076"/>
    <w:rsid w:val="00FF16BC"/>
    <w:rsid w:val="00FF4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D909D"/>
  <w15:chartTrackingRefBased/>
  <w15:docId w15:val="{1F8031AD-77F0-5640-9500-0B797873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849"/>
  </w:style>
  <w:style w:type="paragraph" w:styleId="Heading1">
    <w:name w:val="heading 1"/>
    <w:basedOn w:val="Normal"/>
    <w:next w:val="Normal"/>
    <w:link w:val="Heading1Char"/>
    <w:uiPriority w:val="9"/>
    <w:qFormat/>
    <w:rsid w:val="00362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26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6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6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6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6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26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6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6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626"/>
    <w:rPr>
      <w:rFonts w:eastAsiaTheme="majorEastAsia" w:cstheme="majorBidi"/>
      <w:color w:val="272727" w:themeColor="text1" w:themeTint="D8"/>
    </w:rPr>
  </w:style>
  <w:style w:type="paragraph" w:styleId="Title">
    <w:name w:val="Title"/>
    <w:basedOn w:val="Normal"/>
    <w:next w:val="Normal"/>
    <w:link w:val="TitleChar"/>
    <w:uiPriority w:val="10"/>
    <w:qFormat/>
    <w:rsid w:val="00362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626"/>
    <w:pPr>
      <w:spacing w:before="160"/>
      <w:jc w:val="center"/>
    </w:pPr>
    <w:rPr>
      <w:i/>
      <w:iCs/>
      <w:color w:val="404040" w:themeColor="text1" w:themeTint="BF"/>
    </w:rPr>
  </w:style>
  <w:style w:type="character" w:customStyle="1" w:styleId="QuoteChar">
    <w:name w:val="Quote Char"/>
    <w:basedOn w:val="DefaultParagraphFont"/>
    <w:link w:val="Quote"/>
    <w:uiPriority w:val="29"/>
    <w:rsid w:val="00362626"/>
    <w:rPr>
      <w:i/>
      <w:iCs/>
      <w:color w:val="404040" w:themeColor="text1" w:themeTint="BF"/>
    </w:rPr>
  </w:style>
  <w:style w:type="paragraph" w:styleId="ListParagraph">
    <w:name w:val="List Paragraph"/>
    <w:basedOn w:val="Normal"/>
    <w:uiPriority w:val="34"/>
    <w:qFormat/>
    <w:rsid w:val="00362626"/>
    <w:pPr>
      <w:ind w:left="720"/>
      <w:contextualSpacing/>
    </w:pPr>
  </w:style>
  <w:style w:type="character" w:styleId="IntenseEmphasis">
    <w:name w:val="Intense Emphasis"/>
    <w:basedOn w:val="DefaultParagraphFont"/>
    <w:uiPriority w:val="21"/>
    <w:qFormat/>
    <w:rsid w:val="00362626"/>
    <w:rPr>
      <w:i/>
      <w:iCs/>
      <w:color w:val="0F4761" w:themeColor="accent1" w:themeShade="BF"/>
    </w:rPr>
  </w:style>
  <w:style w:type="paragraph" w:styleId="IntenseQuote">
    <w:name w:val="Intense Quote"/>
    <w:basedOn w:val="Normal"/>
    <w:next w:val="Normal"/>
    <w:link w:val="IntenseQuoteChar"/>
    <w:uiPriority w:val="30"/>
    <w:qFormat/>
    <w:rsid w:val="003626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626"/>
    <w:rPr>
      <w:i/>
      <w:iCs/>
      <w:color w:val="0F4761" w:themeColor="accent1" w:themeShade="BF"/>
    </w:rPr>
  </w:style>
  <w:style w:type="character" w:styleId="IntenseReference">
    <w:name w:val="Intense Reference"/>
    <w:basedOn w:val="DefaultParagraphFont"/>
    <w:uiPriority w:val="32"/>
    <w:qFormat/>
    <w:rsid w:val="00362626"/>
    <w:rPr>
      <w:b/>
      <w:bCs/>
      <w:smallCaps/>
      <w:color w:val="0F4761" w:themeColor="accent1" w:themeShade="BF"/>
      <w:spacing w:val="5"/>
    </w:rPr>
  </w:style>
  <w:style w:type="paragraph" w:customStyle="1" w:styleId="pdq2pgselectionanchorcontainer">
    <w:name w:val="pdq2pg_selectionanchorcontainer"/>
    <w:basedOn w:val="Normal"/>
    <w:rsid w:val="003626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62626"/>
    <w:rPr>
      <w:b/>
      <w:bCs/>
    </w:rPr>
  </w:style>
  <w:style w:type="paragraph" w:styleId="NormalWeb">
    <w:name w:val="Normal (Web)"/>
    <w:basedOn w:val="Normal"/>
    <w:uiPriority w:val="99"/>
    <w:unhideWhenUsed/>
    <w:rsid w:val="003626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62626"/>
  </w:style>
  <w:style w:type="paragraph" w:customStyle="1" w:styleId="text-token-text-secondary">
    <w:name w:val="text-token-text-secondary"/>
    <w:basedOn w:val="Normal"/>
    <w:rsid w:val="00ED33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text-token-text-tertiary">
    <w:name w:val="text-token-text-tertiary"/>
    <w:basedOn w:val="Normal"/>
    <w:rsid w:val="00ED33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D33F1"/>
    <w:rPr>
      <w:i/>
      <w:iCs/>
    </w:rPr>
  </w:style>
  <w:style w:type="character" w:styleId="Hyperlink">
    <w:name w:val="Hyperlink"/>
    <w:basedOn w:val="DefaultParagraphFont"/>
    <w:uiPriority w:val="99"/>
    <w:unhideWhenUsed/>
    <w:rsid w:val="00740716"/>
    <w:rPr>
      <w:color w:val="0000FF"/>
      <w:u w:val="single"/>
    </w:rPr>
  </w:style>
  <w:style w:type="character" w:styleId="UnresolvedMention">
    <w:name w:val="Unresolved Mention"/>
    <w:basedOn w:val="DefaultParagraphFont"/>
    <w:uiPriority w:val="99"/>
    <w:semiHidden/>
    <w:unhideWhenUsed/>
    <w:rsid w:val="00C35088"/>
    <w:rPr>
      <w:color w:val="605E5C"/>
      <w:shd w:val="clear" w:color="auto" w:fill="E1DFDD"/>
    </w:rPr>
  </w:style>
  <w:style w:type="paragraph" w:styleId="Footer">
    <w:name w:val="footer"/>
    <w:basedOn w:val="Normal"/>
    <w:link w:val="FooterChar"/>
    <w:uiPriority w:val="99"/>
    <w:unhideWhenUsed/>
    <w:rsid w:val="001C4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9E2"/>
  </w:style>
  <w:style w:type="character" w:styleId="PageNumber">
    <w:name w:val="page number"/>
    <w:basedOn w:val="DefaultParagraphFont"/>
    <w:uiPriority w:val="99"/>
    <w:semiHidden/>
    <w:unhideWhenUsed/>
    <w:rsid w:val="001C4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lawful-basis/special-category-data/what-is-special-category-data/" TargetMode="External"/><Relationship Id="rId13" Type="http://schemas.openxmlformats.org/officeDocument/2006/relationships/hyperlink" Target="https://www.england.nhs.uk/long-read/a-guide-to-setting-up-technology-enabled-virtual-wards/" TargetMode="External"/><Relationship Id="rId18" Type="http://schemas.openxmlformats.org/officeDocument/2006/relationships/hyperlink" Target="https://www.england.nhs.uk/long-read/virtual-wards-operational-framework/"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93/ageing/afac319" TargetMode="External"/><Relationship Id="rId7" Type="http://schemas.openxmlformats.org/officeDocument/2006/relationships/hyperlink" Target="https://doi.org/10.1371/journal.pdig.0000146" TargetMode="External"/><Relationship Id="rId12" Type="http://schemas.openxmlformats.org/officeDocument/2006/relationships/hyperlink" Target="https://www.england.nhs.uk/coronavirus/publication/covid-virtual-ward/" TargetMode="External"/><Relationship Id="rId17" Type="http://schemas.openxmlformats.org/officeDocument/2006/relationships/hyperlink" Target="https://www.england.nhs.uk/long-read/summary-of-south-east-region-virtual-wards-evaluati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ngland.nhs.uk/long-read/performance-report-23-24/" TargetMode="External"/><Relationship Id="rId20" Type="http://schemas.openxmlformats.org/officeDocument/2006/relationships/hyperlink" Target="https://www.england.nhs.uk/statistics/statistical-work-areas/virtual-war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ice.org.uk/guidance/htg697"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england.nhs.uk/long-read/inclusive-digital-healthcare-a-framework-for-nhs-action-on-digital-inclusion/" TargetMode="External"/><Relationship Id="rId23" Type="http://schemas.openxmlformats.org/officeDocument/2006/relationships/footer" Target="footer1.xml"/><Relationship Id="rId10" Type="http://schemas.openxmlformats.org/officeDocument/2006/relationships/hyperlink" Target="https://www.gov.uk/government/publications/the-caldicott-principles" TargetMode="External"/><Relationship Id="rId19" Type="http://schemas.openxmlformats.org/officeDocument/2006/relationships/hyperlink" Target="https://digital.nhs.uk/data-and-information/information-governance/guidance/virtual-wards" TargetMode="External"/><Relationship Id="rId4" Type="http://schemas.openxmlformats.org/officeDocument/2006/relationships/footnotes" Target="footnotes.xml"/><Relationship Id="rId9" Type="http://schemas.openxmlformats.org/officeDocument/2006/relationships/hyperlink" Target="https://doi.org/10.1136/bmjopen-2023-081378" TargetMode="External"/><Relationship Id="rId14" Type="http://schemas.openxmlformats.org/officeDocument/2006/relationships/hyperlink" Target="https://www.england.nhs.uk/wp-content/uploads/2021/12/B1478-supporting-guidance-virtual-ward-including-hospital-at-home-march-2022-update.pdf" TargetMode="External"/><Relationship Id="rId22" Type="http://schemas.openxmlformats.org/officeDocument/2006/relationships/hyperlink" Target="https://doi.org/10.1186/s12916-024-033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501</TotalTime>
  <Pages>11</Pages>
  <Words>3200</Words>
  <Characters>18246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Iona Grant Whittaker (2412252)</dc:creator>
  <cp:keywords/>
  <dc:description/>
  <cp:lastModifiedBy>Precious Iona Grant Whittaker (2412252)</cp:lastModifiedBy>
  <cp:revision>459</cp:revision>
  <dcterms:created xsi:type="dcterms:W3CDTF">2026-09-21T16:27:00Z</dcterms:created>
  <dcterms:modified xsi:type="dcterms:W3CDTF">2026-10-15T19:01:00Z</dcterms:modified>
</cp:coreProperties>
</file>