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11AF5F11" w14:textId="436E5FD5" w:rsidR="00ED320D" w:rsidRPr="003E4136" w:rsidRDefault="001065BF" w:rsidP="001065BF">
      <w:pPr>
        <w:jc w:val="center"/>
        <w:rPr>
          <w:rFonts w:ascii="Arial" w:hAnsi="Arial" w:cs="Arial"/>
        </w:rPr>
      </w:pPr>
      <w:r w:rsidRPr="003E4136">
        <w:rPr>
          <w:rFonts w:ascii="Arial" w:hAnsi="Arial" w:cs="Arial"/>
        </w:rPr>
        <w:t>The Social (Re)Production of Inequality (ECED7009)</w:t>
      </w:r>
    </w:p>
    <w:p w14:paraId="6BA7DD70" w14:textId="14D100C7" w:rsidR="001065BF" w:rsidRPr="003E4136" w:rsidRDefault="001065BF" w:rsidP="001065BF">
      <w:pPr>
        <w:jc w:val="center"/>
        <w:rPr>
          <w:rFonts w:ascii="Arial" w:hAnsi="Arial" w:cs="Arial"/>
        </w:rPr>
      </w:pPr>
      <w:r w:rsidRPr="003E4136">
        <w:rPr>
          <w:rFonts w:ascii="Arial" w:hAnsi="Arial" w:cs="Arial"/>
        </w:rPr>
        <w:t>Assignment 2</w:t>
      </w:r>
    </w:p>
    <w:p w14:paraId="42EA4036" w14:textId="0597A1E7" w:rsidR="001065BF" w:rsidRPr="003E4136" w:rsidRDefault="001065BF" w:rsidP="001065BF">
      <w:pPr>
        <w:jc w:val="center"/>
        <w:rPr>
          <w:rFonts w:ascii="Arial" w:hAnsi="Arial" w:cs="Arial"/>
          <w:u w:val="single"/>
        </w:rPr>
      </w:pPr>
      <w:r w:rsidRPr="003E4136">
        <w:rPr>
          <w:rFonts w:ascii="Arial" w:hAnsi="Arial" w:cs="Arial"/>
          <w:u w:val="single"/>
        </w:rPr>
        <w:t>A critical examination of the role played by power and control in the reproduction of inequality for women.</w:t>
      </w:r>
    </w:p>
    <w:p w14:paraId="77B8394A" w14:textId="77777777" w:rsidR="001065BF" w:rsidRPr="003E4136" w:rsidRDefault="001065BF" w:rsidP="001065BF">
      <w:pPr>
        <w:jc w:val="center"/>
        <w:rPr>
          <w:rFonts w:ascii="Arial" w:hAnsi="Arial" w:cs="Arial"/>
        </w:rPr>
      </w:pPr>
    </w:p>
    <w:p w14:paraId="0DDA866B" w14:textId="4BAB24BC" w:rsidR="001065BF" w:rsidRPr="003E4136" w:rsidRDefault="001065BF" w:rsidP="001065BF">
      <w:pPr>
        <w:jc w:val="center"/>
        <w:rPr>
          <w:rFonts w:ascii="Arial" w:hAnsi="Arial" w:cs="Arial"/>
        </w:rPr>
      </w:pPr>
      <w:r w:rsidRPr="003E4136">
        <w:rPr>
          <w:rFonts w:ascii="Arial" w:hAnsi="Arial" w:cs="Arial"/>
        </w:rPr>
        <w:t>Laura Clarke</w:t>
      </w:r>
      <w:r w:rsidRPr="003E4136">
        <w:rPr>
          <w:rFonts w:ascii="Arial" w:hAnsi="Arial" w:cs="Arial"/>
        </w:rPr>
        <w:br/>
        <w:t>2105356</w:t>
      </w:r>
    </w:p>
    <w:p w14:paraId="2FFE54CF" w14:textId="77777777" w:rsidR="001065BF" w:rsidRPr="003E4136" w:rsidRDefault="001065BF" w:rsidP="001065BF">
      <w:pPr>
        <w:jc w:val="center"/>
        <w:rPr>
          <w:rFonts w:ascii="Arial" w:hAnsi="Arial" w:cs="Arial"/>
        </w:rPr>
      </w:pPr>
    </w:p>
    <w:p w14:paraId="1A22DB73" w14:textId="77777777" w:rsidR="001065BF" w:rsidRPr="003E4136" w:rsidRDefault="001065BF" w:rsidP="001065BF">
      <w:pPr>
        <w:jc w:val="center"/>
        <w:rPr>
          <w:rFonts w:ascii="Arial" w:hAnsi="Arial" w:cs="Arial"/>
        </w:rPr>
      </w:pPr>
    </w:p>
    <w:p w14:paraId="602B5D61" w14:textId="77777777" w:rsidR="003E4136" w:rsidRDefault="003E4136" w:rsidP="001065BF">
      <w:pPr>
        <w:jc w:val="center"/>
        <w:rPr>
          <w:rFonts w:ascii="Arial" w:hAnsi="Arial" w:cs="Arial"/>
        </w:rPr>
      </w:pPr>
    </w:p>
    <w:p w14:paraId="6DF3C6BA" w14:textId="77777777" w:rsidR="003E4136" w:rsidRDefault="003E4136" w:rsidP="001065BF">
      <w:pPr>
        <w:jc w:val="center"/>
        <w:rPr>
          <w:rFonts w:ascii="Arial" w:hAnsi="Arial" w:cs="Arial"/>
        </w:rPr>
      </w:pPr>
    </w:p>
    <w:p w14:paraId="10C0818B" w14:textId="77777777" w:rsidR="003E4136" w:rsidRDefault="003E4136" w:rsidP="001065BF">
      <w:pPr>
        <w:jc w:val="center"/>
        <w:rPr>
          <w:rFonts w:ascii="Arial" w:hAnsi="Arial" w:cs="Arial"/>
        </w:rPr>
      </w:pPr>
    </w:p>
    <w:p w14:paraId="76E90953" w14:textId="77777777" w:rsidR="003E4136" w:rsidRDefault="003E4136" w:rsidP="001065BF">
      <w:pPr>
        <w:jc w:val="center"/>
        <w:rPr>
          <w:rFonts w:ascii="Arial" w:hAnsi="Arial" w:cs="Arial"/>
        </w:rPr>
      </w:pPr>
    </w:p>
    <w:p w14:paraId="55DDC089" w14:textId="77777777" w:rsidR="003E4136" w:rsidRDefault="003E4136" w:rsidP="001065BF">
      <w:pPr>
        <w:jc w:val="center"/>
        <w:rPr>
          <w:rFonts w:ascii="Arial" w:hAnsi="Arial" w:cs="Arial"/>
        </w:rPr>
      </w:pPr>
    </w:p>
    <w:p w14:paraId="4FA82B43" w14:textId="77777777" w:rsidR="003E4136" w:rsidRDefault="003E4136" w:rsidP="001065BF">
      <w:pPr>
        <w:jc w:val="center"/>
        <w:rPr>
          <w:rFonts w:ascii="Arial" w:hAnsi="Arial" w:cs="Arial"/>
        </w:rPr>
      </w:pPr>
    </w:p>
    <w:p w14:paraId="201F2C39" w14:textId="77777777" w:rsidR="003E4136" w:rsidRDefault="003E4136" w:rsidP="001065BF">
      <w:pPr>
        <w:jc w:val="center"/>
        <w:rPr>
          <w:rFonts w:ascii="Arial" w:hAnsi="Arial" w:cs="Arial"/>
        </w:rPr>
      </w:pPr>
    </w:p>
    <w:p w14:paraId="291498D4" w14:textId="77777777" w:rsidR="003E4136" w:rsidRDefault="003E4136" w:rsidP="001065BF">
      <w:pPr>
        <w:jc w:val="center"/>
        <w:rPr>
          <w:rFonts w:ascii="Arial" w:hAnsi="Arial" w:cs="Arial"/>
        </w:rPr>
      </w:pPr>
    </w:p>
    <w:p w14:paraId="4DA083B4" w14:textId="77777777" w:rsidR="008F5188" w:rsidRDefault="008F5188" w:rsidP="001065BF">
      <w:pPr>
        <w:jc w:val="center"/>
        <w:rPr>
          <w:rFonts w:ascii="Arial" w:hAnsi="Arial" w:cs="Arial"/>
        </w:rPr>
      </w:pPr>
    </w:p>
    <w:p w14:paraId="107B03AE" w14:textId="77777777" w:rsidR="008F5188" w:rsidRDefault="008F5188" w:rsidP="001065BF">
      <w:pPr>
        <w:jc w:val="center"/>
        <w:rPr>
          <w:rFonts w:ascii="Arial" w:hAnsi="Arial" w:cs="Arial"/>
        </w:rPr>
      </w:pPr>
    </w:p>
    <w:p w14:paraId="3AB7E03A" w14:textId="77777777" w:rsidR="008F5188" w:rsidRDefault="008F5188" w:rsidP="001065BF">
      <w:pPr>
        <w:jc w:val="center"/>
        <w:rPr>
          <w:rFonts w:ascii="Arial" w:hAnsi="Arial" w:cs="Arial"/>
        </w:rPr>
      </w:pPr>
    </w:p>
    <w:p w14:paraId="1FAAF967" w14:textId="77777777" w:rsidR="008F5188" w:rsidRDefault="008F5188" w:rsidP="001065BF">
      <w:pPr>
        <w:jc w:val="center"/>
        <w:rPr>
          <w:rFonts w:ascii="Arial" w:hAnsi="Arial" w:cs="Arial"/>
        </w:rPr>
      </w:pPr>
    </w:p>
    <w:p w14:paraId="04BBC1DC" w14:textId="77777777" w:rsidR="008F5188" w:rsidRDefault="008F5188" w:rsidP="001065BF">
      <w:pPr>
        <w:jc w:val="center"/>
        <w:rPr>
          <w:rFonts w:ascii="Arial" w:hAnsi="Arial" w:cs="Arial"/>
        </w:rPr>
      </w:pPr>
    </w:p>
    <w:p w14:paraId="16D738E7" w14:textId="77777777" w:rsidR="008F5188" w:rsidRDefault="008F5188" w:rsidP="001065BF">
      <w:pPr>
        <w:jc w:val="center"/>
        <w:rPr>
          <w:rFonts w:ascii="Arial" w:hAnsi="Arial" w:cs="Arial"/>
        </w:rPr>
      </w:pPr>
    </w:p>
    <w:p w14:paraId="1BA2A501" w14:textId="77777777" w:rsidR="008F5188" w:rsidRDefault="008F5188" w:rsidP="001065BF">
      <w:pPr>
        <w:jc w:val="center"/>
        <w:rPr>
          <w:rFonts w:ascii="Arial" w:hAnsi="Arial" w:cs="Arial"/>
        </w:rPr>
      </w:pPr>
    </w:p>
    <w:p w14:paraId="3C584053" w14:textId="77777777" w:rsidR="008F5188" w:rsidRDefault="008F5188" w:rsidP="001065BF">
      <w:pPr>
        <w:jc w:val="center"/>
        <w:rPr>
          <w:rFonts w:ascii="Arial" w:hAnsi="Arial" w:cs="Arial"/>
        </w:rPr>
      </w:pPr>
    </w:p>
    <w:p w14:paraId="7C276DED" w14:textId="77777777" w:rsidR="008F5188" w:rsidRDefault="008F5188" w:rsidP="001065BF">
      <w:pPr>
        <w:jc w:val="center"/>
        <w:rPr>
          <w:rFonts w:ascii="Arial" w:hAnsi="Arial" w:cs="Arial"/>
        </w:rPr>
      </w:pPr>
    </w:p>
    <w:p w14:paraId="178772B0" w14:textId="77777777" w:rsidR="008F5188" w:rsidRDefault="008F5188" w:rsidP="001065BF">
      <w:pPr>
        <w:jc w:val="center"/>
        <w:rPr>
          <w:rFonts w:ascii="Arial" w:hAnsi="Arial" w:cs="Arial"/>
        </w:rPr>
      </w:pPr>
    </w:p>
    <w:p w14:paraId="729176E6" w14:textId="77777777" w:rsidR="003E4136" w:rsidRDefault="003E4136" w:rsidP="001065BF">
      <w:pPr>
        <w:jc w:val="center"/>
        <w:rPr>
          <w:rFonts w:ascii="Arial" w:hAnsi="Arial" w:cs="Arial"/>
        </w:rPr>
      </w:pPr>
    </w:p>
    <w:p w14:paraId="061B8433" w14:textId="77777777" w:rsidR="008F5188" w:rsidRDefault="008F5188" w:rsidP="001065BF">
      <w:pPr>
        <w:jc w:val="center"/>
        <w:rPr>
          <w:rFonts w:ascii="Arial" w:hAnsi="Arial" w:cs="Arial"/>
        </w:rPr>
      </w:pPr>
    </w:p>
    <w:sdt>
      <w:sdtPr>
        <w:id w:val="-466592323"/>
        <w:docPartObj>
          <w:docPartGallery w:val="Table of Contents"/>
          <w:docPartUnique/>
        </w:docPartObj>
      </w:sdtPr>
      <w:sdtEndPr>
        <w:rPr>
          <w:rFonts w:asciiTheme="minorHAnsi" w:eastAsiaTheme="minorHAnsi" w:hAnsiTheme="minorHAnsi" w:cstheme="minorBidi"/>
          <w:b/>
          <w:bCs/>
          <w:noProof/>
          <w:color w:val="auto"/>
          <w:kern w:val="2"/>
          <w:sz w:val="24"/>
          <w:szCs w:val="24"/>
          <w:lang w:val="en-GB"/>
          <w14:ligatures w14:val="standardContextual"/>
        </w:rPr>
      </w:sdtEndPr>
      <w:sdtContent>
        <w:p w14:paraId="1DF70322" w14:textId="31786070" w:rsidR="008F5188" w:rsidRDefault="008F5188">
          <w:pPr>
            <w:pStyle w:val="TOCHeading"/>
          </w:pPr>
          <w:r>
            <w:t>Contents</w:t>
          </w:r>
        </w:p>
        <w:p w14:paraId="661BCA89" w14:textId="6156B514" w:rsidR="008F5188" w:rsidRDefault="008F5188">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183683658" w:history="1">
            <w:r w:rsidRPr="005C49D0">
              <w:rPr>
                <w:rStyle w:val="Hyperlink"/>
                <w:noProof/>
              </w:rPr>
              <w:t>Introduction</w:t>
            </w:r>
            <w:r>
              <w:rPr>
                <w:noProof/>
                <w:webHidden/>
              </w:rPr>
              <w:tab/>
            </w:r>
            <w:r>
              <w:rPr>
                <w:noProof/>
                <w:webHidden/>
              </w:rPr>
              <w:fldChar w:fldCharType="begin"/>
            </w:r>
            <w:r>
              <w:rPr>
                <w:noProof/>
                <w:webHidden/>
              </w:rPr>
              <w:instrText xml:space="preserve"> PAGEREF _Toc183683658 \h </w:instrText>
            </w:r>
            <w:r>
              <w:rPr>
                <w:noProof/>
                <w:webHidden/>
              </w:rPr>
            </w:r>
            <w:r>
              <w:rPr>
                <w:noProof/>
                <w:webHidden/>
              </w:rPr>
              <w:fldChar w:fldCharType="separate"/>
            </w:r>
            <w:r>
              <w:rPr>
                <w:noProof/>
                <w:webHidden/>
              </w:rPr>
              <w:t>3</w:t>
            </w:r>
            <w:r>
              <w:rPr>
                <w:noProof/>
                <w:webHidden/>
              </w:rPr>
              <w:fldChar w:fldCharType="end"/>
            </w:r>
          </w:hyperlink>
        </w:p>
        <w:p w14:paraId="5335E374" w14:textId="6FFE0EC9" w:rsidR="008F5188" w:rsidRDefault="008F5188">
          <w:pPr>
            <w:pStyle w:val="TOC1"/>
            <w:tabs>
              <w:tab w:val="right" w:leader="dot" w:pos="9016"/>
            </w:tabs>
            <w:rPr>
              <w:rFonts w:eastAsiaTheme="minorEastAsia"/>
              <w:noProof/>
              <w:lang w:eastAsia="en-GB"/>
            </w:rPr>
          </w:pPr>
          <w:hyperlink w:anchor="_Toc183683659" w:history="1">
            <w:r w:rsidRPr="005C49D0">
              <w:rPr>
                <w:rStyle w:val="Hyperlink"/>
                <w:noProof/>
              </w:rPr>
              <w:t>Women and social control</w:t>
            </w:r>
            <w:r>
              <w:rPr>
                <w:noProof/>
                <w:webHidden/>
              </w:rPr>
              <w:tab/>
            </w:r>
            <w:r>
              <w:rPr>
                <w:noProof/>
                <w:webHidden/>
              </w:rPr>
              <w:fldChar w:fldCharType="begin"/>
            </w:r>
            <w:r>
              <w:rPr>
                <w:noProof/>
                <w:webHidden/>
              </w:rPr>
              <w:instrText xml:space="preserve"> PAGEREF _Toc183683659 \h </w:instrText>
            </w:r>
            <w:r>
              <w:rPr>
                <w:noProof/>
                <w:webHidden/>
              </w:rPr>
            </w:r>
            <w:r>
              <w:rPr>
                <w:noProof/>
                <w:webHidden/>
              </w:rPr>
              <w:fldChar w:fldCharType="separate"/>
            </w:r>
            <w:r>
              <w:rPr>
                <w:noProof/>
                <w:webHidden/>
              </w:rPr>
              <w:t>3</w:t>
            </w:r>
            <w:r>
              <w:rPr>
                <w:noProof/>
                <w:webHidden/>
              </w:rPr>
              <w:fldChar w:fldCharType="end"/>
            </w:r>
          </w:hyperlink>
        </w:p>
        <w:p w14:paraId="5563B261" w14:textId="4E02B8F5" w:rsidR="008F5188" w:rsidRDefault="008F5188">
          <w:pPr>
            <w:pStyle w:val="TOC2"/>
            <w:tabs>
              <w:tab w:val="right" w:leader="dot" w:pos="9016"/>
            </w:tabs>
            <w:rPr>
              <w:rFonts w:eastAsiaTheme="minorEastAsia"/>
              <w:noProof/>
              <w:lang w:eastAsia="en-GB"/>
            </w:rPr>
          </w:pPr>
          <w:hyperlink w:anchor="_Toc183683660" w:history="1">
            <w:r w:rsidRPr="005C49D0">
              <w:rPr>
                <w:rStyle w:val="Hyperlink"/>
                <w:noProof/>
              </w:rPr>
              <w:t>The historical and cultural context</w:t>
            </w:r>
            <w:r>
              <w:rPr>
                <w:noProof/>
                <w:webHidden/>
              </w:rPr>
              <w:tab/>
            </w:r>
            <w:r>
              <w:rPr>
                <w:noProof/>
                <w:webHidden/>
              </w:rPr>
              <w:fldChar w:fldCharType="begin"/>
            </w:r>
            <w:r>
              <w:rPr>
                <w:noProof/>
                <w:webHidden/>
              </w:rPr>
              <w:instrText xml:space="preserve"> PAGEREF _Toc183683660 \h </w:instrText>
            </w:r>
            <w:r>
              <w:rPr>
                <w:noProof/>
                <w:webHidden/>
              </w:rPr>
            </w:r>
            <w:r>
              <w:rPr>
                <w:noProof/>
                <w:webHidden/>
              </w:rPr>
              <w:fldChar w:fldCharType="separate"/>
            </w:r>
            <w:r>
              <w:rPr>
                <w:noProof/>
                <w:webHidden/>
              </w:rPr>
              <w:t>3</w:t>
            </w:r>
            <w:r>
              <w:rPr>
                <w:noProof/>
                <w:webHidden/>
              </w:rPr>
              <w:fldChar w:fldCharType="end"/>
            </w:r>
          </w:hyperlink>
        </w:p>
        <w:p w14:paraId="6CBF19E3" w14:textId="669D3E0B" w:rsidR="008F5188" w:rsidRDefault="008F5188">
          <w:pPr>
            <w:pStyle w:val="TOC1"/>
            <w:tabs>
              <w:tab w:val="right" w:leader="dot" w:pos="9016"/>
            </w:tabs>
            <w:rPr>
              <w:rFonts w:eastAsiaTheme="minorEastAsia"/>
              <w:noProof/>
              <w:lang w:eastAsia="en-GB"/>
            </w:rPr>
          </w:pPr>
          <w:hyperlink w:anchor="_Toc183683661" w:history="1">
            <w:r w:rsidRPr="005C49D0">
              <w:rPr>
                <w:rStyle w:val="Hyperlink"/>
                <w:noProof/>
              </w:rPr>
              <w:t>Social Control</w:t>
            </w:r>
            <w:r>
              <w:rPr>
                <w:noProof/>
                <w:webHidden/>
              </w:rPr>
              <w:tab/>
            </w:r>
            <w:r>
              <w:rPr>
                <w:noProof/>
                <w:webHidden/>
              </w:rPr>
              <w:fldChar w:fldCharType="begin"/>
            </w:r>
            <w:r>
              <w:rPr>
                <w:noProof/>
                <w:webHidden/>
              </w:rPr>
              <w:instrText xml:space="preserve"> PAGEREF _Toc183683661 \h </w:instrText>
            </w:r>
            <w:r>
              <w:rPr>
                <w:noProof/>
                <w:webHidden/>
              </w:rPr>
            </w:r>
            <w:r>
              <w:rPr>
                <w:noProof/>
                <w:webHidden/>
              </w:rPr>
              <w:fldChar w:fldCharType="separate"/>
            </w:r>
            <w:r>
              <w:rPr>
                <w:noProof/>
                <w:webHidden/>
              </w:rPr>
              <w:t>4</w:t>
            </w:r>
            <w:r>
              <w:rPr>
                <w:noProof/>
                <w:webHidden/>
              </w:rPr>
              <w:fldChar w:fldCharType="end"/>
            </w:r>
          </w:hyperlink>
        </w:p>
        <w:p w14:paraId="7A5113D2" w14:textId="3AD250BF" w:rsidR="008F5188" w:rsidRDefault="008F5188">
          <w:pPr>
            <w:pStyle w:val="TOC2"/>
            <w:tabs>
              <w:tab w:val="right" w:leader="dot" w:pos="9016"/>
            </w:tabs>
            <w:rPr>
              <w:rFonts w:eastAsiaTheme="minorEastAsia"/>
              <w:noProof/>
              <w:lang w:eastAsia="en-GB"/>
            </w:rPr>
          </w:pPr>
          <w:hyperlink w:anchor="_Toc183683662" w:history="1">
            <w:r w:rsidRPr="005C49D0">
              <w:rPr>
                <w:rStyle w:val="Hyperlink"/>
                <w:noProof/>
              </w:rPr>
              <w:t>The household:</w:t>
            </w:r>
            <w:r>
              <w:rPr>
                <w:noProof/>
                <w:webHidden/>
              </w:rPr>
              <w:tab/>
            </w:r>
            <w:r>
              <w:rPr>
                <w:noProof/>
                <w:webHidden/>
              </w:rPr>
              <w:fldChar w:fldCharType="begin"/>
            </w:r>
            <w:r>
              <w:rPr>
                <w:noProof/>
                <w:webHidden/>
              </w:rPr>
              <w:instrText xml:space="preserve"> PAGEREF _Toc183683662 \h </w:instrText>
            </w:r>
            <w:r>
              <w:rPr>
                <w:noProof/>
                <w:webHidden/>
              </w:rPr>
            </w:r>
            <w:r>
              <w:rPr>
                <w:noProof/>
                <w:webHidden/>
              </w:rPr>
              <w:fldChar w:fldCharType="separate"/>
            </w:r>
            <w:r>
              <w:rPr>
                <w:noProof/>
                <w:webHidden/>
              </w:rPr>
              <w:t>4</w:t>
            </w:r>
            <w:r>
              <w:rPr>
                <w:noProof/>
                <w:webHidden/>
              </w:rPr>
              <w:fldChar w:fldCharType="end"/>
            </w:r>
          </w:hyperlink>
        </w:p>
        <w:p w14:paraId="137250F5" w14:textId="2309A4E1" w:rsidR="008F5188" w:rsidRDefault="008F5188">
          <w:pPr>
            <w:pStyle w:val="TOC2"/>
            <w:tabs>
              <w:tab w:val="right" w:leader="dot" w:pos="9016"/>
            </w:tabs>
            <w:rPr>
              <w:rFonts w:eastAsiaTheme="minorEastAsia"/>
              <w:noProof/>
              <w:lang w:eastAsia="en-GB"/>
            </w:rPr>
          </w:pPr>
          <w:hyperlink w:anchor="_Toc183683663" w:history="1">
            <w:r w:rsidRPr="005C49D0">
              <w:rPr>
                <w:rStyle w:val="Hyperlink"/>
                <w:noProof/>
              </w:rPr>
              <w:t>Paid work:</w:t>
            </w:r>
            <w:r>
              <w:rPr>
                <w:noProof/>
                <w:webHidden/>
              </w:rPr>
              <w:tab/>
            </w:r>
            <w:r>
              <w:rPr>
                <w:noProof/>
                <w:webHidden/>
              </w:rPr>
              <w:fldChar w:fldCharType="begin"/>
            </w:r>
            <w:r>
              <w:rPr>
                <w:noProof/>
                <w:webHidden/>
              </w:rPr>
              <w:instrText xml:space="preserve"> PAGEREF _Toc183683663 \h </w:instrText>
            </w:r>
            <w:r>
              <w:rPr>
                <w:noProof/>
                <w:webHidden/>
              </w:rPr>
            </w:r>
            <w:r>
              <w:rPr>
                <w:noProof/>
                <w:webHidden/>
              </w:rPr>
              <w:fldChar w:fldCharType="separate"/>
            </w:r>
            <w:r>
              <w:rPr>
                <w:noProof/>
                <w:webHidden/>
              </w:rPr>
              <w:t>6</w:t>
            </w:r>
            <w:r>
              <w:rPr>
                <w:noProof/>
                <w:webHidden/>
              </w:rPr>
              <w:fldChar w:fldCharType="end"/>
            </w:r>
          </w:hyperlink>
        </w:p>
        <w:p w14:paraId="23988F9D" w14:textId="52E8D5AB" w:rsidR="008F5188" w:rsidRDefault="008F5188">
          <w:pPr>
            <w:pStyle w:val="TOC2"/>
            <w:tabs>
              <w:tab w:val="right" w:leader="dot" w:pos="9016"/>
            </w:tabs>
            <w:rPr>
              <w:rFonts w:eastAsiaTheme="minorEastAsia"/>
              <w:noProof/>
              <w:lang w:eastAsia="en-GB"/>
            </w:rPr>
          </w:pPr>
          <w:hyperlink w:anchor="_Toc183683664" w:history="1">
            <w:r w:rsidRPr="005C49D0">
              <w:rPr>
                <w:rStyle w:val="Hyperlink"/>
                <w:noProof/>
              </w:rPr>
              <w:t>The state:</w:t>
            </w:r>
            <w:r>
              <w:rPr>
                <w:noProof/>
                <w:webHidden/>
              </w:rPr>
              <w:tab/>
            </w:r>
            <w:r>
              <w:rPr>
                <w:noProof/>
                <w:webHidden/>
              </w:rPr>
              <w:fldChar w:fldCharType="begin"/>
            </w:r>
            <w:r>
              <w:rPr>
                <w:noProof/>
                <w:webHidden/>
              </w:rPr>
              <w:instrText xml:space="preserve"> PAGEREF _Toc183683664 \h </w:instrText>
            </w:r>
            <w:r>
              <w:rPr>
                <w:noProof/>
                <w:webHidden/>
              </w:rPr>
            </w:r>
            <w:r>
              <w:rPr>
                <w:noProof/>
                <w:webHidden/>
              </w:rPr>
              <w:fldChar w:fldCharType="separate"/>
            </w:r>
            <w:r>
              <w:rPr>
                <w:noProof/>
                <w:webHidden/>
              </w:rPr>
              <w:t>6</w:t>
            </w:r>
            <w:r>
              <w:rPr>
                <w:noProof/>
                <w:webHidden/>
              </w:rPr>
              <w:fldChar w:fldCharType="end"/>
            </w:r>
          </w:hyperlink>
        </w:p>
        <w:p w14:paraId="2ECA2DE3" w14:textId="47977309" w:rsidR="008F5188" w:rsidRDefault="008F5188">
          <w:pPr>
            <w:pStyle w:val="TOC2"/>
            <w:tabs>
              <w:tab w:val="right" w:leader="dot" w:pos="9016"/>
            </w:tabs>
            <w:rPr>
              <w:rFonts w:eastAsiaTheme="minorEastAsia"/>
              <w:noProof/>
              <w:lang w:eastAsia="en-GB"/>
            </w:rPr>
          </w:pPr>
          <w:hyperlink w:anchor="_Toc183683665" w:history="1">
            <w:r w:rsidRPr="005C49D0">
              <w:rPr>
                <w:rStyle w:val="Hyperlink"/>
                <w:noProof/>
              </w:rPr>
              <w:t>Pain management</w:t>
            </w:r>
            <w:r>
              <w:rPr>
                <w:noProof/>
                <w:webHidden/>
              </w:rPr>
              <w:tab/>
            </w:r>
            <w:r>
              <w:rPr>
                <w:noProof/>
                <w:webHidden/>
              </w:rPr>
              <w:fldChar w:fldCharType="begin"/>
            </w:r>
            <w:r>
              <w:rPr>
                <w:noProof/>
                <w:webHidden/>
              </w:rPr>
              <w:instrText xml:space="preserve"> PAGEREF _Toc183683665 \h </w:instrText>
            </w:r>
            <w:r>
              <w:rPr>
                <w:noProof/>
                <w:webHidden/>
              </w:rPr>
            </w:r>
            <w:r>
              <w:rPr>
                <w:noProof/>
                <w:webHidden/>
              </w:rPr>
              <w:fldChar w:fldCharType="separate"/>
            </w:r>
            <w:r>
              <w:rPr>
                <w:noProof/>
                <w:webHidden/>
              </w:rPr>
              <w:t>9</w:t>
            </w:r>
            <w:r>
              <w:rPr>
                <w:noProof/>
                <w:webHidden/>
              </w:rPr>
              <w:fldChar w:fldCharType="end"/>
            </w:r>
          </w:hyperlink>
        </w:p>
        <w:p w14:paraId="1D4F2B9E" w14:textId="0B5FF4D0" w:rsidR="008F5188" w:rsidRDefault="008F5188">
          <w:pPr>
            <w:pStyle w:val="TOC2"/>
            <w:tabs>
              <w:tab w:val="right" w:leader="dot" w:pos="9016"/>
            </w:tabs>
            <w:rPr>
              <w:rFonts w:eastAsiaTheme="minorEastAsia"/>
              <w:noProof/>
              <w:lang w:eastAsia="en-GB"/>
            </w:rPr>
          </w:pPr>
          <w:hyperlink w:anchor="_Toc183683666" w:history="1">
            <w:r w:rsidRPr="005C49D0">
              <w:rPr>
                <w:rStyle w:val="Hyperlink"/>
                <w:noProof/>
              </w:rPr>
              <w:t>Diagnosis</w:t>
            </w:r>
            <w:r>
              <w:rPr>
                <w:noProof/>
                <w:webHidden/>
              </w:rPr>
              <w:tab/>
            </w:r>
            <w:r>
              <w:rPr>
                <w:noProof/>
                <w:webHidden/>
              </w:rPr>
              <w:fldChar w:fldCharType="begin"/>
            </w:r>
            <w:r>
              <w:rPr>
                <w:noProof/>
                <w:webHidden/>
              </w:rPr>
              <w:instrText xml:space="preserve"> PAGEREF _Toc183683666 \h </w:instrText>
            </w:r>
            <w:r>
              <w:rPr>
                <w:noProof/>
                <w:webHidden/>
              </w:rPr>
            </w:r>
            <w:r>
              <w:rPr>
                <w:noProof/>
                <w:webHidden/>
              </w:rPr>
              <w:fldChar w:fldCharType="separate"/>
            </w:r>
            <w:r>
              <w:rPr>
                <w:noProof/>
                <w:webHidden/>
              </w:rPr>
              <w:t>9</w:t>
            </w:r>
            <w:r>
              <w:rPr>
                <w:noProof/>
                <w:webHidden/>
              </w:rPr>
              <w:fldChar w:fldCharType="end"/>
            </w:r>
          </w:hyperlink>
        </w:p>
        <w:p w14:paraId="01491130" w14:textId="3DF24871" w:rsidR="008F5188" w:rsidRDefault="008F5188">
          <w:pPr>
            <w:pStyle w:val="TOC2"/>
            <w:tabs>
              <w:tab w:val="right" w:leader="dot" w:pos="9016"/>
            </w:tabs>
            <w:rPr>
              <w:rFonts w:eastAsiaTheme="minorEastAsia"/>
              <w:noProof/>
              <w:lang w:eastAsia="en-GB"/>
            </w:rPr>
          </w:pPr>
          <w:hyperlink w:anchor="_Toc183683667" w:history="1">
            <w:r w:rsidRPr="005C49D0">
              <w:rPr>
                <w:rStyle w:val="Hyperlink"/>
                <w:noProof/>
              </w:rPr>
              <w:t>Antimicrobial resistance</w:t>
            </w:r>
            <w:r>
              <w:rPr>
                <w:noProof/>
                <w:webHidden/>
              </w:rPr>
              <w:tab/>
            </w:r>
            <w:r>
              <w:rPr>
                <w:noProof/>
                <w:webHidden/>
              </w:rPr>
              <w:fldChar w:fldCharType="begin"/>
            </w:r>
            <w:r>
              <w:rPr>
                <w:noProof/>
                <w:webHidden/>
              </w:rPr>
              <w:instrText xml:space="preserve"> PAGEREF _Toc183683667 \h </w:instrText>
            </w:r>
            <w:r>
              <w:rPr>
                <w:noProof/>
                <w:webHidden/>
              </w:rPr>
            </w:r>
            <w:r>
              <w:rPr>
                <w:noProof/>
                <w:webHidden/>
              </w:rPr>
              <w:fldChar w:fldCharType="separate"/>
            </w:r>
            <w:r>
              <w:rPr>
                <w:noProof/>
                <w:webHidden/>
              </w:rPr>
              <w:t>9</w:t>
            </w:r>
            <w:r>
              <w:rPr>
                <w:noProof/>
                <w:webHidden/>
              </w:rPr>
              <w:fldChar w:fldCharType="end"/>
            </w:r>
          </w:hyperlink>
        </w:p>
        <w:p w14:paraId="6B25082C" w14:textId="7F0A006D" w:rsidR="008F5188" w:rsidRDefault="008F5188">
          <w:pPr>
            <w:pStyle w:val="TOC2"/>
            <w:tabs>
              <w:tab w:val="right" w:leader="dot" w:pos="9016"/>
            </w:tabs>
            <w:rPr>
              <w:rFonts w:eastAsiaTheme="minorEastAsia"/>
              <w:noProof/>
              <w:lang w:eastAsia="en-GB"/>
            </w:rPr>
          </w:pPr>
          <w:hyperlink w:anchor="_Toc183683668" w:history="1">
            <w:r w:rsidRPr="005C49D0">
              <w:rPr>
                <w:rStyle w:val="Hyperlink"/>
                <w:noProof/>
              </w:rPr>
              <w:t>Access to Contraception/Abortion</w:t>
            </w:r>
            <w:r>
              <w:rPr>
                <w:noProof/>
                <w:webHidden/>
              </w:rPr>
              <w:tab/>
            </w:r>
            <w:r>
              <w:rPr>
                <w:noProof/>
                <w:webHidden/>
              </w:rPr>
              <w:fldChar w:fldCharType="begin"/>
            </w:r>
            <w:r>
              <w:rPr>
                <w:noProof/>
                <w:webHidden/>
              </w:rPr>
              <w:instrText xml:space="preserve"> PAGEREF _Toc183683668 \h </w:instrText>
            </w:r>
            <w:r>
              <w:rPr>
                <w:noProof/>
                <w:webHidden/>
              </w:rPr>
            </w:r>
            <w:r>
              <w:rPr>
                <w:noProof/>
                <w:webHidden/>
              </w:rPr>
              <w:fldChar w:fldCharType="separate"/>
            </w:r>
            <w:r>
              <w:rPr>
                <w:noProof/>
                <w:webHidden/>
              </w:rPr>
              <w:t>10</w:t>
            </w:r>
            <w:r>
              <w:rPr>
                <w:noProof/>
                <w:webHidden/>
              </w:rPr>
              <w:fldChar w:fldCharType="end"/>
            </w:r>
          </w:hyperlink>
        </w:p>
        <w:p w14:paraId="06B7607F" w14:textId="78798565" w:rsidR="008F5188" w:rsidRDefault="008F5188">
          <w:pPr>
            <w:pStyle w:val="TOC1"/>
            <w:tabs>
              <w:tab w:val="right" w:leader="dot" w:pos="9016"/>
            </w:tabs>
            <w:rPr>
              <w:rFonts w:eastAsiaTheme="minorEastAsia"/>
              <w:noProof/>
              <w:lang w:eastAsia="en-GB"/>
            </w:rPr>
          </w:pPr>
          <w:hyperlink w:anchor="_Toc183683669" w:history="1">
            <w:r w:rsidRPr="005C49D0">
              <w:rPr>
                <w:rStyle w:val="Hyperlink"/>
                <w:noProof/>
              </w:rPr>
              <w:t>Legal control</w:t>
            </w:r>
            <w:r>
              <w:rPr>
                <w:noProof/>
                <w:webHidden/>
              </w:rPr>
              <w:tab/>
            </w:r>
            <w:r>
              <w:rPr>
                <w:noProof/>
                <w:webHidden/>
              </w:rPr>
              <w:fldChar w:fldCharType="begin"/>
            </w:r>
            <w:r>
              <w:rPr>
                <w:noProof/>
                <w:webHidden/>
              </w:rPr>
              <w:instrText xml:space="preserve"> PAGEREF _Toc183683669 \h </w:instrText>
            </w:r>
            <w:r>
              <w:rPr>
                <w:noProof/>
                <w:webHidden/>
              </w:rPr>
            </w:r>
            <w:r>
              <w:rPr>
                <w:noProof/>
                <w:webHidden/>
              </w:rPr>
              <w:fldChar w:fldCharType="separate"/>
            </w:r>
            <w:r>
              <w:rPr>
                <w:noProof/>
                <w:webHidden/>
              </w:rPr>
              <w:t>10</w:t>
            </w:r>
            <w:r>
              <w:rPr>
                <w:noProof/>
                <w:webHidden/>
              </w:rPr>
              <w:fldChar w:fldCharType="end"/>
            </w:r>
          </w:hyperlink>
        </w:p>
        <w:p w14:paraId="43FDA55A" w14:textId="7D84CBB9" w:rsidR="008F5188" w:rsidRDefault="008F5188">
          <w:pPr>
            <w:pStyle w:val="TOC1"/>
            <w:tabs>
              <w:tab w:val="right" w:leader="dot" w:pos="9016"/>
            </w:tabs>
            <w:rPr>
              <w:rFonts w:eastAsiaTheme="minorEastAsia"/>
              <w:noProof/>
              <w:lang w:eastAsia="en-GB"/>
            </w:rPr>
          </w:pPr>
          <w:hyperlink w:anchor="_Toc183683670" w:history="1">
            <w:r w:rsidRPr="005C49D0">
              <w:rPr>
                <w:rStyle w:val="Hyperlink"/>
                <w:noProof/>
              </w:rPr>
              <w:t>Conclusion</w:t>
            </w:r>
            <w:r>
              <w:rPr>
                <w:noProof/>
                <w:webHidden/>
              </w:rPr>
              <w:tab/>
            </w:r>
            <w:r>
              <w:rPr>
                <w:noProof/>
                <w:webHidden/>
              </w:rPr>
              <w:fldChar w:fldCharType="begin"/>
            </w:r>
            <w:r>
              <w:rPr>
                <w:noProof/>
                <w:webHidden/>
              </w:rPr>
              <w:instrText xml:space="preserve"> PAGEREF _Toc183683670 \h </w:instrText>
            </w:r>
            <w:r>
              <w:rPr>
                <w:noProof/>
                <w:webHidden/>
              </w:rPr>
            </w:r>
            <w:r>
              <w:rPr>
                <w:noProof/>
                <w:webHidden/>
              </w:rPr>
              <w:fldChar w:fldCharType="separate"/>
            </w:r>
            <w:r>
              <w:rPr>
                <w:noProof/>
                <w:webHidden/>
              </w:rPr>
              <w:t>10</w:t>
            </w:r>
            <w:r>
              <w:rPr>
                <w:noProof/>
                <w:webHidden/>
              </w:rPr>
              <w:fldChar w:fldCharType="end"/>
            </w:r>
          </w:hyperlink>
        </w:p>
        <w:p w14:paraId="74BD56E4" w14:textId="2790BB16" w:rsidR="008F5188" w:rsidRDefault="008F5188">
          <w:pPr>
            <w:pStyle w:val="TOC1"/>
            <w:tabs>
              <w:tab w:val="right" w:leader="dot" w:pos="9016"/>
            </w:tabs>
            <w:rPr>
              <w:rFonts w:eastAsiaTheme="minorEastAsia"/>
              <w:noProof/>
              <w:lang w:eastAsia="en-GB"/>
            </w:rPr>
          </w:pPr>
          <w:hyperlink w:anchor="_Toc183683671" w:history="1">
            <w:r w:rsidRPr="005C49D0">
              <w:rPr>
                <w:rStyle w:val="Hyperlink"/>
                <w:rFonts w:eastAsia="Times New Roman"/>
                <w:noProof/>
                <w:lang w:val="nl-NL" w:eastAsia="en-GB"/>
              </w:rPr>
              <w:t>References</w:t>
            </w:r>
            <w:r>
              <w:rPr>
                <w:noProof/>
                <w:webHidden/>
              </w:rPr>
              <w:tab/>
            </w:r>
            <w:r>
              <w:rPr>
                <w:noProof/>
                <w:webHidden/>
              </w:rPr>
              <w:fldChar w:fldCharType="begin"/>
            </w:r>
            <w:r>
              <w:rPr>
                <w:noProof/>
                <w:webHidden/>
              </w:rPr>
              <w:instrText xml:space="preserve"> PAGEREF _Toc183683671 \h </w:instrText>
            </w:r>
            <w:r>
              <w:rPr>
                <w:noProof/>
                <w:webHidden/>
              </w:rPr>
            </w:r>
            <w:r>
              <w:rPr>
                <w:noProof/>
                <w:webHidden/>
              </w:rPr>
              <w:fldChar w:fldCharType="separate"/>
            </w:r>
            <w:r>
              <w:rPr>
                <w:noProof/>
                <w:webHidden/>
              </w:rPr>
              <w:t>12</w:t>
            </w:r>
            <w:r>
              <w:rPr>
                <w:noProof/>
                <w:webHidden/>
              </w:rPr>
              <w:fldChar w:fldCharType="end"/>
            </w:r>
          </w:hyperlink>
        </w:p>
        <w:p w14:paraId="283FF962" w14:textId="1EBB69EF" w:rsidR="008F5188" w:rsidRDefault="008F5188">
          <w:r>
            <w:rPr>
              <w:b/>
              <w:bCs/>
              <w:noProof/>
            </w:rPr>
            <w:fldChar w:fldCharType="end"/>
          </w:r>
        </w:p>
      </w:sdtContent>
    </w:sdt>
    <w:p w14:paraId="0DF73AE5" w14:textId="7665F5A8" w:rsidR="008F5188" w:rsidRDefault="008F5188" w:rsidP="008F5188">
      <w:pPr>
        <w:tabs>
          <w:tab w:val="left" w:pos="8184"/>
        </w:tabs>
        <w:rPr>
          <w:rFonts w:ascii="Arial" w:hAnsi="Arial" w:cs="Arial"/>
        </w:rPr>
      </w:pPr>
      <w:r>
        <w:rPr>
          <w:rFonts w:ascii="Arial" w:hAnsi="Arial" w:cs="Arial"/>
        </w:rPr>
        <w:tab/>
      </w:r>
    </w:p>
    <w:p w14:paraId="66EA81E1" w14:textId="77777777" w:rsidR="003E4136" w:rsidRDefault="003E4136" w:rsidP="001065BF">
      <w:pPr>
        <w:jc w:val="center"/>
        <w:rPr>
          <w:rFonts w:ascii="Arial" w:hAnsi="Arial" w:cs="Arial"/>
        </w:rPr>
      </w:pPr>
    </w:p>
    <w:p w14:paraId="13770F5D" w14:textId="77777777" w:rsidR="003E4136" w:rsidRDefault="003E4136" w:rsidP="001065BF">
      <w:pPr>
        <w:jc w:val="center"/>
        <w:rPr>
          <w:rFonts w:ascii="Arial" w:hAnsi="Arial" w:cs="Arial"/>
        </w:rPr>
      </w:pPr>
    </w:p>
    <w:p w14:paraId="472ABE05" w14:textId="77777777" w:rsidR="003E4136" w:rsidRDefault="003E4136" w:rsidP="001065BF">
      <w:pPr>
        <w:jc w:val="center"/>
        <w:rPr>
          <w:rFonts w:ascii="Arial" w:hAnsi="Arial" w:cs="Arial"/>
        </w:rPr>
      </w:pPr>
    </w:p>
    <w:p w14:paraId="26764CA0" w14:textId="77777777" w:rsidR="003E4136" w:rsidRDefault="003E4136" w:rsidP="001065BF">
      <w:pPr>
        <w:jc w:val="center"/>
        <w:rPr>
          <w:rFonts w:ascii="Arial" w:hAnsi="Arial" w:cs="Arial"/>
        </w:rPr>
      </w:pPr>
    </w:p>
    <w:p w14:paraId="28E2AAEF" w14:textId="77777777" w:rsidR="003E4136" w:rsidRDefault="003E4136" w:rsidP="001065BF">
      <w:pPr>
        <w:jc w:val="center"/>
        <w:rPr>
          <w:rFonts w:ascii="Arial" w:hAnsi="Arial" w:cs="Arial"/>
        </w:rPr>
      </w:pPr>
    </w:p>
    <w:p w14:paraId="7AA3BD48" w14:textId="77777777" w:rsidR="003E4136" w:rsidRDefault="003E4136" w:rsidP="001065BF">
      <w:pPr>
        <w:jc w:val="center"/>
        <w:rPr>
          <w:rFonts w:ascii="Arial" w:hAnsi="Arial" w:cs="Arial"/>
        </w:rPr>
      </w:pPr>
    </w:p>
    <w:p w14:paraId="2BA538A8" w14:textId="77777777" w:rsidR="003E4136" w:rsidRDefault="003E4136" w:rsidP="001065BF">
      <w:pPr>
        <w:jc w:val="center"/>
        <w:rPr>
          <w:rFonts w:ascii="Arial" w:hAnsi="Arial" w:cs="Arial"/>
        </w:rPr>
      </w:pPr>
    </w:p>
    <w:p w14:paraId="1F0E1B12" w14:textId="77777777" w:rsidR="003E4136" w:rsidRDefault="003E4136" w:rsidP="001065BF">
      <w:pPr>
        <w:jc w:val="center"/>
        <w:rPr>
          <w:rFonts w:ascii="Arial" w:hAnsi="Arial" w:cs="Arial"/>
        </w:rPr>
      </w:pPr>
    </w:p>
    <w:p w14:paraId="2E8E754B" w14:textId="77777777" w:rsidR="003E4136" w:rsidRDefault="003E4136" w:rsidP="001065BF">
      <w:pPr>
        <w:jc w:val="center"/>
        <w:rPr>
          <w:rFonts w:ascii="Arial" w:hAnsi="Arial" w:cs="Arial"/>
        </w:rPr>
      </w:pPr>
    </w:p>
    <w:p w14:paraId="0844FA65" w14:textId="77777777" w:rsidR="003E4136" w:rsidRDefault="003E4136" w:rsidP="001065BF">
      <w:pPr>
        <w:jc w:val="center"/>
        <w:rPr>
          <w:rFonts w:ascii="Arial" w:hAnsi="Arial" w:cs="Arial"/>
        </w:rPr>
      </w:pPr>
    </w:p>
    <w:p w14:paraId="09886A73" w14:textId="77777777" w:rsidR="003E4136" w:rsidRDefault="003E4136" w:rsidP="001065BF">
      <w:pPr>
        <w:jc w:val="center"/>
        <w:rPr>
          <w:rFonts w:ascii="Arial" w:hAnsi="Arial" w:cs="Arial"/>
        </w:rPr>
      </w:pPr>
    </w:p>
    <w:p w14:paraId="2D18AFF2" w14:textId="77777777" w:rsidR="003E4136" w:rsidRDefault="003E4136" w:rsidP="001065BF">
      <w:pPr>
        <w:jc w:val="center"/>
        <w:rPr>
          <w:rFonts w:ascii="Arial" w:hAnsi="Arial" w:cs="Arial"/>
        </w:rPr>
      </w:pPr>
    </w:p>
    <w:p w14:paraId="7D89F254" w14:textId="516865DD" w:rsidR="001065BF" w:rsidRPr="003E4136" w:rsidRDefault="001065BF" w:rsidP="003E4136">
      <w:pPr>
        <w:pStyle w:val="Heading1"/>
      </w:pPr>
      <w:bookmarkStart w:id="0" w:name="_Toc183683658"/>
      <w:r w:rsidRPr="003E4136">
        <w:lastRenderedPageBreak/>
        <w:t>Introduction</w:t>
      </w:r>
      <w:bookmarkEnd w:id="0"/>
    </w:p>
    <w:p w14:paraId="302289DC" w14:textId="5DBD516B" w:rsidR="001065BF" w:rsidRPr="003E4136" w:rsidRDefault="00A8624D" w:rsidP="001065BF">
      <w:pPr>
        <w:rPr>
          <w:rFonts w:ascii="Arial" w:hAnsi="Arial" w:cs="Arial"/>
        </w:rPr>
      </w:pPr>
      <w:r w:rsidRPr="003E4136">
        <w:rPr>
          <w:rFonts w:ascii="Arial" w:hAnsi="Arial" w:cs="Arial"/>
        </w:rPr>
        <w:t xml:space="preserve">This essay aims to examine the social reproduction of inequality for a chosen group, using theory, examples of policy and social practice to present an argument for how and why social inequality is reproduced. I will provide definitions of the relevant terminology and aim to use historical and contemporary examples of inequality, as well as presenting possible solutions to the problem of this social reproduction of inequality. </w:t>
      </w:r>
    </w:p>
    <w:p w14:paraId="48CCCBE0" w14:textId="19321EE0" w:rsidR="001065BF" w:rsidRPr="003E4136" w:rsidRDefault="00A8624D" w:rsidP="000C6898">
      <w:pPr>
        <w:rPr>
          <w:rFonts w:ascii="Arial" w:hAnsi="Arial" w:cs="Arial"/>
        </w:rPr>
      </w:pPr>
      <w:r w:rsidRPr="003E4136">
        <w:rPr>
          <w:rFonts w:ascii="Arial" w:hAnsi="Arial" w:cs="Arial"/>
        </w:rPr>
        <w:t xml:space="preserve">Control, in a sociological sense is </w:t>
      </w:r>
      <w:r w:rsidR="000C6898" w:rsidRPr="003E4136">
        <w:rPr>
          <w:rFonts w:ascii="Arial" w:hAnsi="Arial" w:cs="Arial"/>
        </w:rPr>
        <w:t xml:space="preserve">often </w:t>
      </w:r>
      <w:r w:rsidRPr="003E4136">
        <w:rPr>
          <w:rFonts w:ascii="Arial" w:hAnsi="Arial" w:cs="Arial"/>
        </w:rPr>
        <w:t>defined as</w:t>
      </w:r>
      <w:r w:rsidRPr="003E4136">
        <w:rPr>
          <w:rFonts w:ascii="Arial" w:hAnsi="Arial" w:cs="Arial"/>
        </w:rPr>
        <w:t xml:space="preserve"> </w:t>
      </w:r>
      <w:r w:rsidRPr="003E4136">
        <w:rPr>
          <w:rFonts w:ascii="Arial" w:hAnsi="Arial" w:cs="Arial"/>
        </w:rPr>
        <w:t>“</w:t>
      </w:r>
      <w:r w:rsidRPr="003E4136">
        <w:rPr>
          <w:rFonts w:ascii="Arial" w:hAnsi="Arial" w:cs="Arial"/>
        </w:rPr>
        <w:t xml:space="preserve">a central concept both for relating sociology to social philosophy and for </w:t>
      </w:r>
      <w:r w:rsidRPr="003E4136">
        <w:rPr>
          <w:rFonts w:ascii="Arial" w:hAnsi="Arial" w:cs="Arial"/>
        </w:rPr>
        <w:t>analysing</w:t>
      </w:r>
      <w:r w:rsidRPr="003E4136">
        <w:rPr>
          <w:rFonts w:ascii="Arial" w:hAnsi="Arial" w:cs="Arial"/>
        </w:rPr>
        <w:t xml:space="preserve"> total societies. In its classical sense, it referred to the capacity of a social group to regulate itself. The concept supplied a basis for integration of theory and research until the 1930s. While the traditional usage of social control has persisted, the term has been redefined to mean either socialization or social repressio</w:t>
      </w:r>
      <w:r w:rsidRPr="003E4136">
        <w:rPr>
          <w:rFonts w:ascii="Arial" w:hAnsi="Arial" w:cs="Arial"/>
        </w:rPr>
        <w:t xml:space="preserve">n” </w:t>
      </w:r>
      <w:r w:rsidR="000C6898" w:rsidRPr="003E4136">
        <w:rPr>
          <w:rFonts w:ascii="Arial" w:hAnsi="Arial" w:cs="Arial"/>
        </w:rPr>
        <w:t>(Segal, Janowitz and Burk, 1992)</w:t>
      </w:r>
      <w:r w:rsidR="000C6898" w:rsidRPr="003E4136">
        <w:rPr>
          <w:rFonts w:ascii="Arial" w:hAnsi="Arial" w:cs="Arial"/>
        </w:rPr>
        <w:t xml:space="preserve"> yet Meier (1982) points out that despite the term ‘social control’ being one of the most commonly used terms in the lexicon of sociology, there is no agreement about a firmly defining term, he states that there are “th</w:t>
      </w:r>
      <w:r w:rsidR="000C6898" w:rsidRPr="003E4136">
        <w:rPr>
          <w:rFonts w:ascii="Arial" w:hAnsi="Arial" w:cs="Arial"/>
        </w:rPr>
        <w:t>ree contexts</w:t>
      </w:r>
      <w:r w:rsidR="000C6898" w:rsidRPr="003E4136">
        <w:rPr>
          <w:rFonts w:ascii="Arial" w:hAnsi="Arial" w:cs="Arial"/>
        </w:rPr>
        <w:t xml:space="preserve"> </w:t>
      </w:r>
      <w:r w:rsidR="000C6898" w:rsidRPr="003E4136">
        <w:rPr>
          <w:rFonts w:ascii="Arial" w:hAnsi="Arial" w:cs="Arial"/>
        </w:rPr>
        <w:t>in the sociological literature: (a) as a description of a basic social process or</w:t>
      </w:r>
      <w:r w:rsidR="000C6898" w:rsidRPr="003E4136">
        <w:rPr>
          <w:rFonts w:ascii="Arial" w:hAnsi="Arial" w:cs="Arial"/>
        </w:rPr>
        <w:t xml:space="preserve"> </w:t>
      </w:r>
      <w:r w:rsidR="000C6898" w:rsidRPr="003E4136">
        <w:rPr>
          <w:rFonts w:ascii="Arial" w:hAnsi="Arial" w:cs="Arial"/>
        </w:rPr>
        <w:t>condition; (b) as a mechanism to insure compliance with norms; and (c) as a</w:t>
      </w:r>
      <w:r w:rsidR="000C6898" w:rsidRPr="003E4136">
        <w:rPr>
          <w:rFonts w:ascii="Arial" w:hAnsi="Arial" w:cs="Arial"/>
        </w:rPr>
        <w:t xml:space="preserve"> </w:t>
      </w:r>
      <w:r w:rsidR="000C6898" w:rsidRPr="003E4136">
        <w:rPr>
          <w:rFonts w:ascii="Arial" w:hAnsi="Arial" w:cs="Arial"/>
        </w:rPr>
        <w:t>method by which to study (or to interpret data about) social order</w:t>
      </w:r>
      <w:r w:rsidR="000C6898" w:rsidRPr="003E4136">
        <w:rPr>
          <w:rFonts w:ascii="Arial" w:hAnsi="Arial" w:cs="Arial"/>
        </w:rPr>
        <w:t xml:space="preserve">” </w:t>
      </w:r>
      <w:r w:rsidR="000C6898" w:rsidRPr="003E4136">
        <w:rPr>
          <w:rFonts w:ascii="Arial" w:hAnsi="Arial" w:cs="Arial"/>
        </w:rPr>
        <w:t xml:space="preserve">(Zarit, </w:t>
      </w:r>
      <w:proofErr w:type="spellStart"/>
      <w:r w:rsidR="000C6898" w:rsidRPr="003E4136">
        <w:rPr>
          <w:rFonts w:ascii="Arial" w:hAnsi="Arial" w:cs="Arial"/>
        </w:rPr>
        <w:t>Pearlin</w:t>
      </w:r>
      <w:proofErr w:type="spellEnd"/>
      <w:r w:rsidR="000C6898" w:rsidRPr="003E4136">
        <w:rPr>
          <w:rFonts w:ascii="Arial" w:hAnsi="Arial" w:cs="Arial"/>
        </w:rPr>
        <w:t xml:space="preserve"> and </w:t>
      </w:r>
      <w:proofErr w:type="spellStart"/>
      <w:r w:rsidR="000C6898" w:rsidRPr="003E4136">
        <w:rPr>
          <w:rFonts w:ascii="Arial" w:hAnsi="Arial" w:cs="Arial"/>
        </w:rPr>
        <w:t>Schaie</w:t>
      </w:r>
      <w:proofErr w:type="spellEnd"/>
      <w:r w:rsidR="000C6898" w:rsidRPr="003E4136">
        <w:rPr>
          <w:rFonts w:ascii="Arial" w:hAnsi="Arial" w:cs="Arial"/>
        </w:rPr>
        <w:t>, 2003)</w:t>
      </w:r>
      <w:r w:rsidR="000C6898" w:rsidRPr="003E4136">
        <w:rPr>
          <w:rFonts w:ascii="Arial" w:hAnsi="Arial" w:cs="Arial"/>
        </w:rPr>
        <w:t xml:space="preserve"> </w:t>
      </w:r>
    </w:p>
    <w:p w14:paraId="3C3D8AC2" w14:textId="7E40B295" w:rsidR="00B54947" w:rsidRPr="003E4136" w:rsidRDefault="00B54947" w:rsidP="000C6898">
      <w:pPr>
        <w:rPr>
          <w:rFonts w:ascii="Arial" w:hAnsi="Arial" w:cs="Arial"/>
        </w:rPr>
      </w:pPr>
      <w:r w:rsidRPr="003E4136">
        <w:rPr>
          <w:rFonts w:ascii="Arial" w:hAnsi="Arial" w:cs="Arial"/>
        </w:rPr>
        <w:t xml:space="preserve">The main types of control, in a sociological sense are Social Control, Medical Control and Legal control, and the sub sectors of these are internalisation of norms and values and external sanctions, both positive and negative. </w:t>
      </w:r>
    </w:p>
    <w:p w14:paraId="57AEAFB4" w14:textId="0EAF7057" w:rsidR="001065BF" w:rsidRPr="003E4136" w:rsidRDefault="00B54947" w:rsidP="00F209BB">
      <w:pPr>
        <w:rPr>
          <w:rFonts w:ascii="Arial" w:hAnsi="Arial" w:cs="Arial"/>
        </w:rPr>
      </w:pPr>
      <w:r w:rsidRPr="003E4136">
        <w:rPr>
          <w:rFonts w:ascii="Arial" w:hAnsi="Arial" w:cs="Arial"/>
        </w:rPr>
        <w:t xml:space="preserve">This essay will address the problem of the social reproduction of inequality for women, and will focus mainly on women within the UK, with some mention of factors affecting women around the world, </w:t>
      </w:r>
      <w:r w:rsidR="00F209BB" w:rsidRPr="003E4136">
        <w:rPr>
          <w:rFonts w:ascii="Arial" w:hAnsi="Arial" w:cs="Arial"/>
        </w:rPr>
        <w:t xml:space="preserve">the emphasis will be on contemporary issues and contemporary reproduction of inequality, but </w:t>
      </w:r>
      <w:proofErr w:type="gramStart"/>
      <w:r w:rsidR="00F209BB" w:rsidRPr="003E4136">
        <w:rPr>
          <w:rFonts w:ascii="Arial" w:hAnsi="Arial" w:cs="Arial"/>
        </w:rPr>
        <w:t>in order to</w:t>
      </w:r>
      <w:proofErr w:type="gramEnd"/>
      <w:r w:rsidR="00F209BB" w:rsidRPr="003E4136">
        <w:rPr>
          <w:rFonts w:ascii="Arial" w:hAnsi="Arial" w:cs="Arial"/>
        </w:rPr>
        <w:t xml:space="preserve"> provide a full analysis it will also be necessary to explore the historical context.</w:t>
      </w:r>
    </w:p>
    <w:p w14:paraId="3708E979" w14:textId="07080245" w:rsidR="009432A6" w:rsidRPr="003E4136" w:rsidRDefault="009432A6" w:rsidP="00F209BB">
      <w:pPr>
        <w:rPr>
          <w:rFonts w:ascii="Arial" w:hAnsi="Arial" w:cs="Arial"/>
        </w:rPr>
      </w:pPr>
      <w:r w:rsidRPr="003E4136">
        <w:rPr>
          <w:rFonts w:ascii="Arial" w:hAnsi="Arial" w:cs="Arial"/>
        </w:rPr>
        <w:t xml:space="preserve">It is important to note, that while in the body of this essay I use the term ‘Women’ – </w:t>
      </w:r>
      <w:r w:rsidR="002873BB" w:rsidRPr="003E4136">
        <w:rPr>
          <w:rFonts w:ascii="Arial" w:hAnsi="Arial" w:cs="Arial"/>
        </w:rPr>
        <w:t xml:space="preserve">many of </w:t>
      </w:r>
      <w:r w:rsidRPr="003E4136">
        <w:rPr>
          <w:rFonts w:ascii="Arial" w:hAnsi="Arial" w:cs="Arial"/>
        </w:rPr>
        <w:t xml:space="preserve">the issues of control and inequality apply also to anyone presenting as female, the </w:t>
      </w:r>
      <w:r w:rsidRPr="003E4136">
        <w:rPr>
          <w:rFonts w:ascii="Arial" w:hAnsi="Arial" w:cs="Arial"/>
          <w:i/>
          <w:iCs/>
        </w:rPr>
        <w:t>perception</w:t>
      </w:r>
      <w:r w:rsidRPr="003E4136">
        <w:rPr>
          <w:rFonts w:ascii="Arial" w:hAnsi="Arial" w:cs="Arial"/>
        </w:rPr>
        <w:t xml:space="preserve"> of femaleness is enough to skew behaviour and attitudes</w:t>
      </w:r>
      <w:r w:rsidR="003E4136">
        <w:rPr>
          <w:rFonts w:ascii="Arial" w:hAnsi="Arial" w:cs="Arial"/>
        </w:rPr>
        <w:t>.</w:t>
      </w:r>
    </w:p>
    <w:p w14:paraId="7FF63056" w14:textId="49BDF69D" w:rsidR="000E111F" w:rsidRPr="003E4136" w:rsidRDefault="003E4136" w:rsidP="003E4136">
      <w:pPr>
        <w:pStyle w:val="Heading1"/>
        <w:rPr>
          <w:sz w:val="24"/>
          <w:szCs w:val="24"/>
        </w:rPr>
      </w:pPr>
      <w:bookmarkStart w:id="1" w:name="_Toc183683659"/>
      <w:r w:rsidRPr="003E4136">
        <w:t>Women and social control</w:t>
      </w:r>
      <w:bookmarkEnd w:id="1"/>
    </w:p>
    <w:p w14:paraId="6397810E" w14:textId="3424E34D" w:rsidR="001065BF" w:rsidRPr="003E4136" w:rsidRDefault="000E111F" w:rsidP="000E111F">
      <w:pPr>
        <w:rPr>
          <w:rFonts w:ascii="Arial" w:hAnsi="Arial" w:cs="Arial"/>
        </w:rPr>
      </w:pPr>
      <w:r w:rsidRPr="003E4136">
        <w:rPr>
          <w:rFonts w:ascii="Arial" w:hAnsi="Arial" w:cs="Arial"/>
          <w:highlight w:val="yellow"/>
        </w:rPr>
        <w:br/>
      </w:r>
      <w:bookmarkStart w:id="2" w:name="_Toc183683660"/>
      <w:r w:rsidRPr="008F5188">
        <w:rPr>
          <w:rStyle w:val="Heading2Char"/>
        </w:rPr>
        <w:t>The historical and cultural context</w:t>
      </w:r>
      <w:bookmarkEnd w:id="2"/>
      <w:r w:rsidRPr="003E4136">
        <w:rPr>
          <w:rFonts w:ascii="Arial" w:hAnsi="Arial" w:cs="Arial"/>
          <w:i/>
          <w:iCs/>
        </w:rPr>
        <w:br/>
      </w:r>
      <w:r w:rsidRPr="003E4136">
        <w:rPr>
          <w:rFonts w:ascii="Arial" w:hAnsi="Arial" w:cs="Arial"/>
        </w:rPr>
        <w:t>Broadly speaking, we live in a patriarchal society, this means that the society is comprised of “</w:t>
      </w:r>
      <w:r w:rsidRPr="003E4136">
        <w:rPr>
          <w:rFonts w:ascii="Arial" w:hAnsi="Arial" w:cs="Arial"/>
        </w:rPr>
        <w:t>a system of social structures and practices in which men dominate, oppress, and exploit women</w:t>
      </w:r>
      <w:r w:rsidRPr="003E4136">
        <w:rPr>
          <w:rFonts w:ascii="Arial" w:hAnsi="Arial" w:cs="Arial"/>
        </w:rPr>
        <w:t xml:space="preserve">” </w:t>
      </w:r>
      <w:r w:rsidRPr="003E4136">
        <w:rPr>
          <w:rFonts w:ascii="Arial" w:hAnsi="Arial" w:cs="Arial"/>
        </w:rPr>
        <w:t>(Walby, 2012)</w:t>
      </w:r>
      <w:r w:rsidRPr="003E4136">
        <w:rPr>
          <w:rFonts w:ascii="Arial" w:hAnsi="Arial" w:cs="Arial"/>
        </w:rPr>
        <w:t xml:space="preserve"> and this has been the case since the beginning of ‘civilised’ western society, with sociologist Olga Soffer stating that there is no solid historical evidence of matriarchal society, anywhere in the world </w:t>
      </w:r>
      <w:r w:rsidRPr="003E4136">
        <w:rPr>
          <w:rFonts w:ascii="Arial" w:hAnsi="Arial" w:cs="Arial"/>
        </w:rPr>
        <w:t>(</w:t>
      </w:r>
      <w:proofErr w:type="spellStart"/>
      <w:r w:rsidRPr="003E4136">
        <w:rPr>
          <w:rFonts w:ascii="Arial" w:hAnsi="Arial" w:cs="Arial"/>
        </w:rPr>
        <w:t>Adovasio</w:t>
      </w:r>
      <w:proofErr w:type="spellEnd"/>
      <w:r w:rsidRPr="003E4136">
        <w:rPr>
          <w:rFonts w:ascii="Arial" w:hAnsi="Arial" w:cs="Arial"/>
        </w:rPr>
        <w:t>, Soffer and Page, 2007)</w:t>
      </w:r>
      <w:r w:rsidRPr="003E4136">
        <w:rPr>
          <w:rFonts w:ascii="Arial" w:hAnsi="Arial" w:cs="Arial"/>
        </w:rPr>
        <w:t xml:space="preserve"> although this is disputed by many other sociologists and historians, who present the argument that there is evidence of </w:t>
      </w:r>
      <w:r w:rsidRPr="003E4136">
        <w:rPr>
          <w:rFonts w:ascii="Arial" w:hAnsi="Arial" w:cs="Arial"/>
        </w:rPr>
        <w:lastRenderedPageBreak/>
        <w:t xml:space="preserve">historical and contemporary matrilineal power structures and matriarchal societies, with a 2019 article by </w:t>
      </w:r>
      <w:r w:rsidRPr="003E4136">
        <w:rPr>
          <w:rFonts w:ascii="Arial" w:hAnsi="Arial" w:cs="Arial"/>
        </w:rPr>
        <w:t xml:space="preserve">Surowiec, Snyder and </w:t>
      </w:r>
      <w:proofErr w:type="spellStart"/>
      <w:r w:rsidRPr="003E4136">
        <w:rPr>
          <w:rFonts w:ascii="Arial" w:hAnsi="Arial" w:cs="Arial"/>
        </w:rPr>
        <w:t>Creanza</w:t>
      </w:r>
      <w:proofErr w:type="spellEnd"/>
      <w:r w:rsidRPr="003E4136">
        <w:rPr>
          <w:rFonts w:ascii="Arial" w:hAnsi="Arial" w:cs="Arial"/>
        </w:rPr>
        <w:t xml:space="preserve"> (2019)</w:t>
      </w:r>
      <w:r w:rsidRPr="003E4136">
        <w:rPr>
          <w:rFonts w:ascii="Arial" w:hAnsi="Arial" w:cs="Arial"/>
        </w:rPr>
        <w:t xml:space="preserve"> presenting evidence for over 160 matrilineal societies worldwide, mainly within India, Africa and Indonesia. The evidence presented by Surowiec, Snyder and </w:t>
      </w:r>
      <w:proofErr w:type="spellStart"/>
      <w:r w:rsidRPr="003E4136">
        <w:rPr>
          <w:rFonts w:ascii="Arial" w:hAnsi="Arial" w:cs="Arial"/>
        </w:rPr>
        <w:t>Creanza</w:t>
      </w:r>
      <w:proofErr w:type="spellEnd"/>
      <w:r w:rsidRPr="003E4136">
        <w:rPr>
          <w:rFonts w:ascii="Arial" w:hAnsi="Arial" w:cs="Arial"/>
        </w:rPr>
        <w:t xml:space="preserve"> leads us to believe that patriarchal societies are a western construction, and Saini (2020) expands on this, discussing how the exploration and colonisation of the 19</w:t>
      </w:r>
      <w:r w:rsidRPr="003E4136">
        <w:rPr>
          <w:rFonts w:ascii="Arial" w:hAnsi="Arial" w:cs="Arial"/>
          <w:vertAlign w:val="superscript"/>
        </w:rPr>
        <w:t>th</w:t>
      </w:r>
      <w:r w:rsidRPr="003E4136">
        <w:rPr>
          <w:rFonts w:ascii="Arial" w:hAnsi="Arial" w:cs="Arial"/>
        </w:rPr>
        <w:t xml:space="preserve"> century led to western explorers encountering other societies and cultures, and finding them wanting, with “</w:t>
      </w:r>
      <w:r w:rsidRPr="003E4136">
        <w:rPr>
          <w:rFonts w:ascii="Arial" w:hAnsi="Arial" w:cs="Arial"/>
        </w:rPr>
        <w:t xml:space="preserve">European intellectuals </w:t>
      </w:r>
      <w:proofErr w:type="spellStart"/>
      <w:r w:rsidRPr="003E4136">
        <w:rPr>
          <w:rFonts w:ascii="Arial" w:hAnsi="Arial" w:cs="Arial"/>
        </w:rPr>
        <w:t>imagin</w:t>
      </w:r>
      <w:proofErr w:type="spellEnd"/>
      <w:r w:rsidRPr="003E4136">
        <w:rPr>
          <w:rFonts w:ascii="Arial" w:hAnsi="Arial" w:cs="Arial"/>
        </w:rPr>
        <w:t>(</w:t>
      </w:r>
      <w:proofErr w:type="spellStart"/>
      <w:r w:rsidRPr="003E4136">
        <w:rPr>
          <w:rFonts w:ascii="Arial" w:hAnsi="Arial" w:cs="Arial"/>
        </w:rPr>
        <w:t>ing</w:t>
      </w:r>
      <w:proofErr w:type="spellEnd"/>
      <w:r w:rsidRPr="003E4136">
        <w:rPr>
          <w:rFonts w:ascii="Arial" w:hAnsi="Arial" w:cs="Arial"/>
        </w:rPr>
        <w:t>)</w:t>
      </w:r>
      <w:r w:rsidRPr="003E4136">
        <w:rPr>
          <w:rFonts w:ascii="Arial" w:hAnsi="Arial" w:cs="Arial"/>
        </w:rPr>
        <w:t xml:space="preserve"> a transition from savagery to civilisation, from irrationality to rationality, from immorality to morality [in which male authority] was believed to be another marker of humanity’s progress</w:t>
      </w:r>
      <w:r w:rsidRPr="003E4136">
        <w:rPr>
          <w:rFonts w:ascii="Arial" w:hAnsi="Arial" w:cs="Arial"/>
        </w:rPr>
        <w:t xml:space="preserve">” </w:t>
      </w:r>
      <w:r w:rsidRPr="003E4136">
        <w:rPr>
          <w:rFonts w:ascii="Arial" w:hAnsi="Arial" w:cs="Arial"/>
        </w:rPr>
        <w:t>Nelson (</w:t>
      </w:r>
      <w:r w:rsidRPr="003E4136">
        <w:rPr>
          <w:rFonts w:ascii="Arial" w:hAnsi="Arial" w:cs="Arial"/>
        </w:rPr>
        <w:t>2023</w:t>
      </w:r>
      <w:r w:rsidRPr="003E4136">
        <w:rPr>
          <w:rFonts w:ascii="Arial" w:hAnsi="Arial" w:cs="Arial"/>
        </w:rPr>
        <w:t>)</w:t>
      </w:r>
      <w:r w:rsidRPr="003E4136">
        <w:rPr>
          <w:rFonts w:ascii="Arial" w:hAnsi="Arial" w:cs="Arial"/>
        </w:rPr>
        <w:t xml:space="preserve"> </w:t>
      </w:r>
    </w:p>
    <w:p w14:paraId="1C38A460" w14:textId="5430C881" w:rsidR="000E111F" w:rsidRPr="003E4136" w:rsidRDefault="000E111F" w:rsidP="000E111F">
      <w:pPr>
        <w:rPr>
          <w:rFonts w:ascii="Arial" w:hAnsi="Arial" w:cs="Arial"/>
        </w:rPr>
      </w:pPr>
      <w:r w:rsidRPr="003E4136">
        <w:rPr>
          <w:rFonts w:ascii="Arial" w:hAnsi="Arial" w:cs="Arial"/>
        </w:rPr>
        <w:t xml:space="preserve">Within the UK, Women are subject to social, medical and legal control, at a level which exceeds their male counterparts, the history of women’s’ rights within the UK teaches us that while things have improved in the last 200 years, there is still room for change. </w:t>
      </w:r>
    </w:p>
    <w:p w14:paraId="5BEA2094" w14:textId="7DB31FDC" w:rsidR="000E111F" w:rsidRPr="003E4136" w:rsidRDefault="000E111F" w:rsidP="000E111F">
      <w:pPr>
        <w:rPr>
          <w:rFonts w:ascii="Arial" w:hAnsi="Arial" w:cs="Arial"/>
        </w:rPr>
      </w:pPr>
      <w:r w:rsidRPr="003E4136">
        <w:rPr>
          <w:rFonts w:ascii="Arial" w:hAnsi="Arial" w:cs="Arial"/>
        </w:rPr>
        <w:t>Women in the UK were unable to own property before 1870, and unable to vote (with universal suffrage) until 1928, and rape in marriage was not recognised or made illegal until 1994, while these areas have been addressed by law, this essay with explore social, legal and medical areas in which women are still subject to power imbalance and inequality.</w:t>
      </w:r>
    </w:p>
    <w:p w14:paraId="3744240A" w14:textId="594BD34D" w:rsidR="00237BDE" w:rsidRPr="003E4136" w:rsidRDefault="00237BDE" w:rsidP="00237BDE">
      <w:pPr>
        <w:rPr>
          <w:rFonts w:ascii="Arial" w:hAnsi="Arial" w:cs="Arial"/>
          <w:color w:val="ED0000"/>
        </w:rPr>
      </w:pPr>
      <w:r w:rsidRPr="003E4136">
        <w:rPr>
          <w:rFonts w:ascii="Arial" w:hAnsi="Arial" w:cs="Arial"/>
        </w:rPr>
        <w:t xml:space="preserve">Sociologists describe two distinct facets to social control, these being formal control and informal control. Formal control is usually related to the state, including laws and regulations, with the aim of keeping order and reducing the likelihood of </w:t>
      </w:r>
      <w:r w:rsidR="008E1517" w:rsidRPr="003E4136">
        <w:rPr>
          <w:rFonts w:ascii="Arial" w:hAnsi="Arial" w:cs="Arial"/>
        </w:rPr>
        <w:t>individuals</w:t>
      </w:r>
      <w:r w:rsidRPr="003E4136">
        <w:rPr>
          <w:rFonts w:ascii="Arial" w:hAnsi="Arial" w:cs="Arial"/>
        </w:rPr>
        <w:t xml:space="preserve"> committing crime, but can also cover medical control, an example of formal control that is also medical are the laws governing abortion.</w:t>
      </w:r>
    </w:p>
    <w:p w14:paraId="44790220" w14:textId="49778E95" w:rsidR="00237BDE" w:rsidRPr="003E4136" w:rsidRDefault="00237BDE" w:rsidP="00237BDE">
      <w:pPr>
        <w:rPr>
          <w:rFonts w:ascii="Arial" w:hAnsi="Arial" w:cs="Arial"/>
          <w:highlight w:val="yellow"/>
        </w:rPr>
      </w:pPr>
      <w:r w:rsidRPr="003E4136">
        <w:rPr>
          <w:rFonts w:ascii="Arial" w:hAnsi="Arial" w:cs="Arial"/>
        </w:rPr>
        <w:t>Vine and Nye described Internal control as “a system of socialisation by which individuals are inculcated with a set of norms, values, beliefs and rules” (Vine and Nye, 1959)</w:t>
      </w:r>
      <w:r w:rsidRPr="003E4136">
        <w:rPr>
          <w:rFonts w:ascii="Arial" w:hAnsi="Arial" w:cs="Arial"/>
        </w:rPr>
        <w:t xml:space="preserve"> while </w:t>
      </w:r>
      <w:r w:rsidRPr="003E4136">
        <w:rPr>
          <w:rFonts w:ascii="Arial" w:hAnsi="Arial" w:cs="Arial"/>
        </w:rPr>
        <w:t>Travis Hirschi</w:t>
      </w:r>
      <w:r w:rsidRPr="003E4136">
        <w:rPr>
          <w:rFonts w:ascii="Arial" w:hAnsi="Arial" w:cs="Arial"/>
        </w:rPr>
        <w:t xml:space="preserve">, in his 1969 ‘social control theory’ proposed that the level to which an individual conforms or deviates to social norms and social control is based on the level of attachment they feel to </w:t>
      </w:r>
      <w:r w:rsidRPr="003E4136">
        <w:rPr>
          <w:rFonts w:ascii="Arial" w:hAnsi="Arial" w:cs="Arial"/>
        </w:rPr>
        <w:t>parents, peers, and school</w:t>
      </w:r>
      <w:r w:rsidRPr="003E4136">
        <w:rPr>
          <w:rFonts w:ascii="Arial" w:hAnsi="Arial" w:cs="Arial"/>
        </w:rPr>
        <w:t xml:space="preserve">; as well as their level of </w:t>
      </w:r>
      <w:r w:rsidRPr="003E4136">
        <w:rPr>
          <w:rFonts w:ascii="Arial" w:hAnsi="Arial" w:cs="Arial"/>
        </w:rPr>
        <w:t xml:space="preserve"> occupational and educational commitment</w:t>
      </w:r>
      <w:r w:rsidRPr="003E4136">
        <w:rPr>
          <w:rFonts w:ascii="Arial" w:hAnsi="Arial" w:cs="Arial"/>
        </w:rPr>
        <w:t xml:space="preserve">, </w:t>
      </w:r>
      <w:r w:rsidRPr="003E4136">
        <w:rPr>
          <w:rFonts w:ascii="Arial" w:hAnsi="Arial" w:cs="Arial"/>
        </w:rPr>
        <w:t>academic involvement</w:t>
      </w:r>
      <w:r w:rsidRPr="003E4136">
        <w:rPr>
          <w:rFonts w:ascii="Arial" w:hAnsi="Arial" w:cs="Arial"/>
        </w:rPr>
        <w:t xml:space="preserve"> and their </w:t>
      </w:r>
      <w:r w:rsidRPr="003E4136">
        <w:rPr>
          <w:rFonts w:ascii="Arial" w:hAnsi="Arial" w:cs="Arial"/>
        </w:rPr>
        <w:t>belief in social rules and convention</w:t>
      </w:r>
      <w:r w:rsidRPr="003E4136">
        <w:rPr>
          <w:rFonts w:ascii="Arial" w:hAnsi="Arial" w:cs="Arial"/>
        </w:rPr>
        <w:t xml:space="preserve"> </w:t>
      </w:r>
      <w:r w:rsidRPr="003E4136">
        <w:rPr>
          <w:rFonts w:ascii="Arial" w:hAnsi="Arial" w:cs="Arial"/>
        </w:rPr>
        <w:t>(DeLisi, 1996)</w:t>
      </w:r>
      <w:r w:rsidR="008E1517" w:rsidRPr="003E4136">
        <w:rPr>
          <w:rFonts w:ascii="Arial" w:hAnsi="Arial" w:cs="Arial"/>
        </w:rPr>
        <w:t xml:space="preserve"> this could lead us to consider that deviant behaviour, and adherence to social normal and social control is a socially reproduced factor, influenced by parents and caregivers, as well as the wider society an individual lives in</w:t>
      </w:r>
      <w:r w:rsidR="00E621E8" w:rsidRPr="003E4136">
        <w:rPr>
          <w:rFonts w:ascii="Arial" w:hAnsi="Arial" w:cs="Arial"/>
        </w:rPr>
        <w:t>, a report by the institute for Fiscal Studies stated that “</w:t>
      </w:r>
      <w:r w:rsidR="00E621E8" w:rsidRPr="003E4136">
        <w:rPr>
          <w:rFonts w:ascii="Arial" w:hAnsi="Arial" w:cs="Arial"/>
        </w:rPr>
        <w:t>Family structure can, in principle, act as an amplifier or a mitigator of economic inequality</w:t>
      </w:r>
      <w:r w:rsidR="00E621E8" w:rsidRPr="003E4136">
        <w:rPr>
          <w:rFonts w:ascii="Arial" w:hAnsi="Arial" w:cs="Arial"/>
        </w:rPr>
        <w:t xml:space="preserve">” </w:t>
      </w:r>
      <w:r w:rsidR="00E621E8" w:rsidRPr="003E4136">
        <w:rPr>
          <w:rFonts w:ascii="Arial" w:hAnsi="Arial" w:cs="Arial"/>
        </w:rPr>
        <w:t xml:space="preserve">(Santos and </w:t>
      </w:r>
      <w:proofErr w:type="spellStart"/>
      <w:r w:rsidR="00E621E8" w:rsidRPr="003E4136">
        <w:rPr>
          <w:rFonts w:ascii="Arial" w:hAnsi="Arial" w:cs="Arial"/>
        </w:rPr>
        <w:t>Tertilt</w:t>
      </w:r>
      <w:proofErr w:type="spellEnd"/>
      <w:r w:rsidR="00E621E8" w:rsidRPr="003E4136">
        <w:rPr>
          <w:rFonts w:ascii="Arial" w:hAnsi="Arial" w:cs="Arial"/>
        </w:rPr>
        <w:t>, 2023)</w:t>
      </w:r>
      <w:r w:rsidR="008E1517" w:rsidRPr="003E4136">
        <w:rPr>
          <w:rFonts w:ascii="Arial" w:hAnsi="Arial" w:cs="Arial"/>
        </w:rPr>
        <w:t>.</w:t>
      </w:r>
    </w:p>
    <w:p w14:paraId="7C9C921B" w14:textId="2784F08B" w:rsidR="000E111F" w:rsidRPr="003E4136" w:rsidRDefault="000E111F" w:rsidP="003E4136">
      <w:pPr>
        <w:pStyle w:val="Heading1"/>
        <w:rPr>
          <w:highlight w:val="cyan"/>
        </w:rPr>
      </w:pPr>
      <w:bookmarkStart w:id="3" w:name="_Toc183683661"/>
      <w:r w:rsidRPr="003E4136">
        <w:t>Social Control</w:t>
      </w:r>
      <w:bookmarkEnd w:id="3"/>
    </w:p>
    <w:p w14:paraId="45931AED" w14:textId="6B250DEC" w:rsidR="000E111F" w:rsidRPr="003E4136" w:rsidRDefault="000E111F" w:rsidP="000E111F">
      <w:pPr>
        <w:rPr>
          <w:rFonts w:ascii="Arial" w:hAnsi="Arial" w:cs="Arial"/>
        </w:rPr>
      </w:pPr>
      <w:bookmarkStart w:id="4" w:name="_Toc183683662"/>
      <w:r w:rsidRPr="008F5188">
        <w:rPr>
          <w:rStyle w:val="Heading2Char"/>
        </w:rPr>
        <w:t>The household:</w:t>
      </w:r>
      <w:bookmarkEnd w:id="4"/>
      <w:r w:rsidRPr="003E4136">
        <w:rPr>
          <w:rFonts w:ascii="Arial" w:hAnsi="Arial" w:cs="Arial"/>
        </w:rPr>
        <w:t xml:space="preserve"> </w:t>
      </w:r>
      <w:r w:rsidR="00637096" w:rsidRPr="003E4136">
        <w:rPr>
          <w:rFonts w:ascii="Arial" w:hAnsi="Arial" w:cs="Arial"/>
        </w:rPr>
        <w:br/>
      </w:r>
      <w:proofErr w:type="spellStart"/>
      <w:r w:rsidR="00637096" w:rsidRPr="003E4136">
        <w:rPr>
          <w:rFonts w:ascii="Arial" w:hAnsi="Arial" w:cs="Arial"/>
        </w:rPr>
        <w:t>Delphy</w:t>
      </w:r>
      <w:proofErr w:type="spellEnd"/>
      <w:r w:rsidR="00637096" w:rsidRPr="003E4136">
        <w:rPr>
          <w:rFonts w:ascii="Arial" w:hAnsi="Arial" w:cs="Arial"/>
        </w:rPr>
        <w:t xml:space="preserve">, in his 1981 paper, argued that the emphasis on males as ‘heads of the family’ in research and data collection represents an androcentric bias in stratification </w:t>
      </w:r>
      <w:r w:rsidR="00637096" w:rsidRPr="003E4136">
        <w:rPr>
          <w:rFonts w:ascii="Arial" w:hAnsi="Arial" w:cs="Arial"/>
        </w:rPr>
        <w:lastRenderedPageBreak/>
        <w:t xml:space="preserve">theories, and has led to an understatement of the economic disparity and household contribution by men and women </w:t>
      </w:r>
      <w:r w:rsidR="00637096" w:rsidRPr="003E4136">
        <w:rPr>
          <w:rFonts w:ascii="Arial" w:hAnsi="Arial" w:cs="Arial"/>
        </w:rPr>
        <w:t>(Foord and Gregson, 1986)</w:t>
      </w:r>
      <w:r w:rsidR="00637096" w:rsidRPr="003E4136">
        <w:rPr>
          <w:rFonts w:ascii="Arial" w:hAnsi="Arial" w:cs="Arial"/>
        </w:rPr>
        <w:t>.</w:t>
      </w:r>
      <w:r w:rsidR="002C7B50" w:rsidRPr="003E4136">
        <w:rPr>
          <w:rFonts w:ascii="Arial" w:hAnsi="Arial" w:cs="Arial"/>
        </w:rPr>
        <w:t xml:space="preserve"> Studies also show that w</w:t>
      </w:r>
      <w:r w:rsidRPr="003E4136">
        <w:rPr>
          <w:rFonts w:ascii="Arial" w:hAnsi="Arial" w:cs="Arial"/>
        </w:rPr>
        <w:t xml:space="preserve">omen are more likely to </w:t>
      </w:r>
      <w:r w:rsidR="002C7B50" w:rsidRPr="003E4136">
        <w:rPr>
          <w:rFonts w:ascii="Arial" w:hAnsi="Arial" w:cs="Arial"/>
        </w:rPr>
        <w:t xml:space="preserve">carry out the majority of household domestic duties, and they are more likely to suffer home/work conflict, due to needing to prioritise childcare and other domestic duties, a study by </w:t>
      </w:r>
      <w:r w:rsidR="002C7B50" w:rsidRPr="003E4136">
        <w:rPr>
          <w:rFonts w:ascii="Arial" w:hAnsi="Arial" w:cs="Arial"/>
        </w:rPr>
        <w:t>Martínez-Pérez and Osca (2001)</w:t>
      </w:r>
      <w:r w:rsidR="002C7B50" w:rsidRPr="003E4136">
        <w:rPr>
          <w:rFonts w:ascii="Arial" w:hAnsi="Arial" w:cs="Arial"/>
        </w:rPr>
        <w:t xml:space="preserve"> found that “</w:t>
      </w:r>
      <w:r w:rsidR="002C7B50" w:rsidRPr="003E4136">
        <w:rPr>
          <w:rFonts w:ascii="Arial" w:hAnsi="Arial" w:cs="Arial"/>
        </w:rPr>
        <w:t>gender ideology seems to determine the percentage of tasks considered traditionally feminine by members of the couple, such as washing, ironing, shopping, cooking, or cleaning</w:t>
      </w:r>
      <w:r w:rsidR="002C7B50" w:rsidRPr="003E4136">
        <w:rPr>
          <w:rFonts w:ascii="Arial" w:hAnsi="Arial" w:cs="Arial"/>
        </w:rPr>
        <w:t xml:space="preserve">” </w:t>
      </w:r>
      <w:r w:rsidR="0081631C" w:rsidRPr="003E4136">
        <w:rPr>
          <w:rFonts w:ascii="Arial" w:hAnsi="Arial" w:cs="Arial"/>
        </w:rPr>
        <w:t xml:space="preserve"> </w:t>
      </w:r>
    </w:p>
    <w:p w14:paraId="71229C9E" w14:textId="626FC9DB" w:rsidR="0081631C" w:rsidRPr="003E4136" w:rsidRDefault="0081631C" w:rsidP="000E111F">
      <w:pPr>
        <w:rPr>
          <w:rFonts w:ascii="Arial" w:hAnsi="Arial" w:cs="Arial"/>
        </w:rPr>
      </w:pPr>
      <w:r w:rsidRPr="003E4136">
        <w:rPr>
          <w:rFonts w:ascii="Arial" w:hAnsi="Arial" w:cs="Arial"/>
        </w:rPr>
        <w:t xml:space="preserve">A study by the office for National statistics found that women carry out an average of 60% more ‘unpaid work’ in the home than men, this being presented as 16 hours per week of unpaid week for men, and 26 hours per week of unpaid work for women (average), the study also found that women from low income households carry out more unpaid work than women from more affluent households, and while a woman on maternity leave is likely to carry out 60 hours per week of unpaid work, this reduces to only </w:t>
      </w:r>
      <w:r w:rsidR="002A5E00" w:rsidRPr="003E4136">
        <w:rPr>
          <w:rFonts w:ascii="Arial" w:hAnsi="Arial" w:cs="Arial"/>
        </w:rPr>
        <w:t xml:space="preserve">an additional </w:t>
      </w:r>
      <w:r w:rsidR="002A5E00" w:rsidRPr="003E4136">
        <w:rPr>
          <w:rFonts w:ascii="Arial" w:hAnsi="Arial" w:cs="Arial"/>
        </w:rPr>
        <w:t>3 hours and 37 minutes per day</w:t>
      </w:r>
      <w:r w:rsidR="002A5E00" w:rsidRPr="003E4136">
        <w:rPr>
          <w:rFonts w:ascii="Arial" w:hAnsi="Arial" w:cs="Arial"/>
        </w:rPr>
        <w:t xml:space="preserve"> for women in paid work </w:t>
      </w:r>
      <w:r w:rsidR="002A5E00" w:rsidRPr="003E4136">
        <w:rPr>
          <w:rFonts w:ascii="Arial" w:hAnsi="Arial" w:cs="Arial"/>
        </w:rPr>
        <w:t>(</w:t>
      </w:r>
      <w:proofErr w:type="spellStart"/>
      <w:r w:rsidR="002A5E00" w:rsidRPr="003E4136">
        <w:rPr>
          <w:rFonts w:ascii="Arial" w:hAnsi="Arial" w:cs="Arial"/>
        </w:rPr>
        <w:t>Oecd</w:t>
      </w:r>
      <w:proofErr w:type="spellEnd"/>
      <w:r w:rsidR="002A5E00" w:rsidRPr="003E4136">
        <w:rPr>
          <w:rFonts w:ascii="Arial" w:hAnsi="Arial" w:cs="Arial"/>
        </w:rPr>
        <w:t>, 2020)</w:t>
      </w:r>
    </w:p>
    <w:p w14:paraId="255F004D" w14:textId="77777777" w:rsidR="002A5E00" w:rsidRPr="003E4136" w:rsidRDefault="002A5E00" w:rsidP="002A5E00">
      <w:pPr>
        <w:rPr>
          <w:rFonts w:ascii="Arial" w:hAnsi="Arial" w:cs="Arial"/>
        </w:rPr>
      </w:pPr>
      <w:r w:rsidRPr="003E4136">
        <w:rPr>
          <w:rFonts w:ascii="Arial" w:hAnsi="Arial" w:cs="Arial"/>
        </w:rPr>
        <w:t>Working from home, which has rapidly increased since the COVID 19 pandemic, has further exacerbated the problems of inequality around domestic duties and childcare, with a 2024 study by Understanding Society finding that “</w:t>
      </w:r>
      <w:r w:rsidRPr="003E4136">
        <w:rPr>
          <w:rFonts w:ascii="Arial" w:hAnsi="Arial" w:cs="Arial"/>
        </w:rPr>
        <w:t>Women were mainly responsible for childcare in 35-54% of couples, while men took on main responsibility for this role in less than 5% of couples. The gender disparity in childcare was more pronounced when women used flexible working.</w:t>
      </w:r>
    </w:p>
    <w:p w14:paraId="0C0AF60A" w14:textId="22039C4F" w:rsidR="002A5E00" w:rsidRPr="003E4136" w:rsidRDefault="00C30360" w:rsidP="002A5E00">
      <w:pPr>
        <w:rPr>
          <w:rFonts w:ascii="Arial" w:hAnsi="Arial" w:cs="Arial"/>
        </w:rPr>
      </w:pPr>
      <w:r w:rsidRPr="003E4136">
        <w:rPr>
          <w:rFonts w:ascii="Arial" w:hAnsi="Arial" w:cs="Arial"/>
        </w:rPr>
        <w:t xml:space="preserve">The </w:t>
      </w:r>
      <w:r w:rsidR="002A5E00" w:rsidRPr="003E4136">
        <w:rPr>
          <w:rFonts w:ascii="Arial" w:hAnsi="Arial" w:cs="Arial"/>
        </w:rPr>
        <w:t>presence of young children (aged 0-4) and women’s lower personal income relative to their partner significantly increased women’s burden in housework and childcare tasks</w:t>
      </w:r>
      <w:r w:rsidR="002A5E00" w:rsidRPr="003E4136">
        <w:rPr>
          <w:rFonts w:ascii="Arial" w:hAnsi="Arial" w:cs="Arial"/>
        </w:rPr>
        <w:t xml:space="preserve">” </w:t>
      </w:r>
      <w:r w:rsidR="002A5E00" w:rsidRPr="003E4136">
        <w:rPr>
          <w:rFonts w:ascii="Arial" w:hAnsi="Arial" w:cs="Arial"/>
        </w:rPr>
        <w:t>(Working from home equals more housework for women, but not for men - Understanding Society, 2024)</w:t>
      </w:r>
    </w:p>
    <w:p w14:paraId="56C24CA0" w14:textId="2634B43D" w:rsidR="0081631C" w:rsidRPr="003E4136" w:rsidRDefault="0081631C" w:rsidP="000E111F">
      <w:pPr>
        <w:rPr>
          <w:rFonts w:ascii="Arial" w:hAnsi="Arial" w:cs="Arial"/>
        </w:rPr>
      </w:pPr>
      <w:r w:rsidRPr="003E4136">
        <w:rPr>
          <w:rFonts w:ascii="Arial" w:hAnsi="Arial" w:cs="Arial"/>
        </w:rPr>
        <w:drawing>
          <wp:inline distT="0" distB="0" distL="0" distR="0" wp14:anchorId="4EF35B41" wp14:editId="0E4F0374">
            <wp:extent cx="4724400" cy="3029040"/>
            <wp:effectExtent l="0" t="0" r="0" b="0"/>
            <wp:docPr id="962843038" name="Picture 1" descr="A graph of a number of peop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62843038" name="Picture 1" descr="A graph of a number of people&#10;&#10;Description automatically generated"/>
                    <pic:cNvPicPr/>
                  </pic:nvPicPr>
                  <pic:blipFill>
                    <a:blip r:embed="rId5"/>
                    <a:stretch>
                      <a:fillRect/>
                    </a:stretch>
                  </pic:blipFill>
                  <pic:spPr>
                    <a:xfrm>
                      <a:off x="0" y="0"/>
                      <a:ext cx="4732982" cy="3034542"/>
                    </a:xfrm>
                    <a:prstGeom prst="rect">
                      <a:avLst/>
                    </a:prstGeom>
                  </pic:spPr>
                </pic:pic>
              </a:graphicData>
            </a:graphic>
          </wp:inline>
        </w:drawing>
      </w:r>
    </w:p>
    <w:p w14:paraId="3252DF92" w14:textId="51A34FEE" w:rsidR="002A5E00" w:rsidRPr="003E4136" w:rsidRDefault="000E111F" w:rsidP="00217640">
      <w:pPr>
        <w:rPr>
          <w:rFonts w:ascii="Arial" w:hAnsi="Arial" w:cs="Arial"/>
        </w:rPr>
      </w:pPr>
      <w:bookmarkStart w:id="5" w:name="_Toc183683663"/>
      <w:r w:rsidRPr="008F5188">
        <w:rPr>
          <w:rStyle w:val="Heading2Char"/>
        </w:rPr>
        <w:lastRenderedPageBreak/>
        <w:t>Paid work:</w:t>
      </w:r>
      <w:bookmarkEnd w:id="5"/>
      <w:r w:rsidR="008E1517" w:rsidRPr="003E4136">
        <w:rPr>
          <w:rFonts w:ascii="Arial" w:hAnsi="Arial" w:cs="Arial"/>
        </w:rPr>
        <w:br/>
      </w:r>
      <w:r w:rsidR="002A5E00" w:rsidRPr="003E4136">
        <w:rPr>
          <w:rFonts w:ascii="Arial" w:hAnsi="Arial" w:cs="Arial"/>
        </w:rPr>
        <w:t xml:space="preserve">The gender pay gap is an issue that is </w:t>
      </w:r>
      <w:r w:rsidR="00217640" w:rsidRPr="003E4136">
        <w:rPr>
          <w:rFonts w:ascii="Arial" w:hAnsi="Arial" w:cs="Arial"/>
        </w:rPr>
        <w:t>‘current’, but also prevalent, and despite organisations such as UNISON with their ‘bridge the gap’ campaign and the Fawcet society making ‘equal pay day’ (20</w:t>
      </w:r>
      <w:r w:rsidR="00217640" w:rsidRPr="003E4136">
        <w:rPr>
          <w:rFonts w:ascii="Arial" w:hAnsi="Arial" w:cs="Arial"/>
          <w:vertAlign w:val="superscript"/>
        </w:rPr>
        <w:t>th</w:t>
      </w:r>
      <w:r w:rsidR="00217640" w:rsidRPr="003E4136">
        <w:rPr>
          <w:rFonts w:ascii="Arial" w:hAnsi="Arial" w:cs="Arial"/>
        </w:rPr>
        <w:t xml:space="preserve"> November 2024 is the day from which women effectively work for free for the rest of year, due to the gender pay gap) the gender pay gap currently stands at a difference of 14%. Companies that have more than 250 employees are legally obliged to publish details of pay disparity, and despite campaigns the pay gaps in large companies continue to be an issue, with </w:t>
      </w:r>
      <w:r w:rsidR="00217640" w:rsidRPr="003E4136">
        <w:rPr>
          <w:rFonts w:ascii="Arial" w:hAnsi="Arial" w:cs="Arial"/>
        </w:rPr>
        <w:t>Lloyds Banking Group</w:t>
      </w:r>
      <w:r w:rsidR="00217640" w:rsidRPr="003E4136">
        <w:rPr>
          <w:rFonts w:ascii="Arial" w:hAnsi="Arial" w:cs="Arial"/>
        </w:rPr>
        <w:t xml:space="preserve"> reporting a gap</w:t>
      </w:r>
      <w:r w:rsidR="00217640" w:rsidRPr="003E4136">
        <w:rPr>
          <w:rFonts w:ascii="Arial" w:hAnsi="Arial" w:cs="Arial"/>
        </w:rPr>
        <w:t xml:space="preserve"> 34.8% in 2017, </w:t>
      </w:r>
      <w:r w:rsidR="00217640" w:rsidRPr="003E4136">
        <w:rPr>
          <w:rFonts w:ascii="Arial" w:hAnsi="Arial" w:cs="Arial"/>
        </w:rPr>
        <w:t>this having increased by</w:t>
      </w:r>
      <w:r w:rsidR="00217640" w:rsidRPr="003E4136">
        <w:rPr>
          <w:rFonts w:ascii="Arial" w:hAnsi="Arial" w:cs="Arial"/>
        </w:rPr>
        <w:t xml:space="preserve"> 2022 </w:t>
      </w:r>
      <w:r w:rsidR="00217640" w:rsidRPr="003E4136">
        <w:rPr>
          <w:rFonts w:ascii="Arial" w:hAnsi="Arial" w:cs="Arial"/>
        </w:rPr>
        <w:t xml:space="preserve">and British Airways reporting 28.5% in 2017, also reported to have increased by 2022 </w:t>
      </w:r>
      <w:r w:rsidR="00217640" w:rsidRPr="003E4136">
        <w:rPr>
          <w:rFonts w:ascii="Arial" w:hAnsi="Arial" w:cs="Arial"/>
        </w:rPr>
        <w:t>(Bridge the Gap | Campaigns | UNISON National, 2024)</w:t>
      </w:r>
    </w:p>
    <w:p w14:paraId="4E96ABB5" w14:textId="3F3D935D" w:rsidR="00217640" w:rsidRPr="003E4136" w:rsidRDefault="00217640" w:rsidP="00217640">
      <w:pPr>
        <w:rPr>
          <w:rFonts w:ascii="Arial" w:hAnsi="Arial" w:cs="Arial"/>
        </w:rPr>
      </w:pPr>
      <w:r w:rsidRPr="003E4136">
        <w:rPr>
          <w:rFonts w:ascii="Arial" w:hAnsi="Arial" w:cs="Arial"/>
        </w:rPr>
        <w:t>Progression within employment is more difficult for women, with disparity in promotion rates (23% of men receive promotions, compared to only 16% of men), social cloning, a phenomenon in which people in positions of power promote those who are similar to themselves may be partly responsible for this, as well as the fact that women are more likely to undertake part time or low paid work, due to childcare and other household responsibilities</w:t>
      </w:r>
      <w:r w:rsidR="009E4ADF" w:rsidRPr="003E4136">
        <w:rPr>
          <w:rFonts w:ascii="Arial" w:hAnsi="Arial" w:cs="Arial"/>
        </w:rPr>
        <w:t xml:space="preserve"> </w:t>
      </w:r>
      <w:r w:rsidR="009E4ADF" w:rsidRPr="003E4136">
        <w:rPr>
          <w:rFonts w:ascii="Arial" w:hAnsi="Arial" w:cs="Arial"/>
        </w:rPr>
        <w:t>(Booth, 2024)</w:t>
      </w:r>
      <w:r w:rsidR="009E4ADF" w:rsidRPr="003E4136">
        <w:rPr>
          <w:rFonts w:ascii="Arial" w:hAnsi="Arial" w:cs="Arial"/>
        </w:rPr>
        <w:t xml:space="preserve"> , </w:t>
      </w:r>
    </w:p>
    <w:p w14:paraId="1381DDAA" w14:textId="0F50BB84" w:rsidR="009E4ADF" w:rsidRPr="003E4136" w:rsidRDefault="009E4ADF" w:rsidP="00217640">
      <w:pPr>
        <w:rPr>
          <w:rFonts w:ascii="Arial" w:hAnsi="Arial" w:cs="Arial"/>
        </w:rPr>
      </w:pPr>
      <w:r w:rsidRPr="003E4136">
        <w:rPr>
          <w:rFonts w:ascii="Arial" w:hAnsi="Arial" w:cs="Arial"/>
        </w:rPr>
        <w:t xml:space="preserve">Maternity discrimination is also a factor in inequality and social control for women, with the Young </w:t>
      </w:r>
      <w:proofErr w:type="spellStart"/>
      <w:r w:rsidRPr="003E4136">
        <w:rPr>
          <w:rFonts w:ascii="Arial" w:hAnsi="Arial" w:cs="Arial"/>
        </w:rPr>
        <w:t>womens</w:t>
      </w:r>
      <w:proofErr w:type="spellEnd"/>
      <w:r w:rsidRPr="003E4136">
        <w:rPr>
          <w:rFonts w:ascii="Arial" w:hAnsi="Arial" w:cs="Arial"/>
        </w:rPr>
        <w:t xml:space="preserve"> Trust citing </w:t>
      </w:r>
      <w:r w:rsidRPr="003E4136">
        <w:rPr>
          <w:rFonts w:ascii="Arial" w:hAnsi="Arial" w:cs="Arial"/>
        </w:rPr>
        <w:t>cited “a significant degree of misogyny out there</w:t>
      </w:r>
      <w:r w:rsidRPr="003E4136">
        <w:rPr>
          <w:rFonts w:ascii="Arial" w:hAnsi="Arial" w:cs="Arial"/>
        </w:rPr>
        <w:t xml:space="preserve">, </w:t>
      </w:r>
      <w:r w:rsidRPr="003E4136">
        <w:rPr>
          <w:rFonts w:ascii="Arial" w:hAnsi="Arial" w:cs="Arial"/>
        </w:rPr>
        <w:t>with the trust’s surveys of human resources decision-makers revealing some won’t hire women because of the “risk of their fertility” and some who believe women are “less suitable to senior management jobs”</w:t>
      </w:r>
      <w:r w:rsidRPr="003E4136">
        <w:rPr>
          <w:rFonts w:ascii="Arial" w:hAnsi="Arial" w:cs="Arial"/>
        </w:rPr>
        <w:t>” (</w:t>
      </w:r>
      <w:proofErr w:type="spellStart"/>
      <w:r w:rsidRPr="003E4136">
        <w:rPr>
          <w:rFonts w:ascii="Arial" w:hAnsi="Arial" w:cs="Arial"/>
        </w:rPr>
        <w:t>Reindorp</w:t>
      </w:r>
      <w:proofErr w:type="spellEnd"/>
      <w:r w:rsidRPr="003E4136">
        <w:rPr>
          <w:rFonts w:ascii="Arial" w:hAnsi="Arial" w:cs="Arial"/>
        </w:rPr>
        <w:t>, 2023)</w:t>
      </w:r>
    </w:p>
    <w:p w14:paraId="377CE179" w14:textId="1B741FF9" w:rsidR="000E111F" w:rsidRPr="003E4136" w:rsidRDefault="00D97B6D" w:rsidP="000E111F">
      <w:pPr>
        <w:rPr>
          <w:rFonts w:ascii="Arial" w:hAnsi="Arial" w:cs="Arial"/>
        </w:rPr>
      </w:pPr>
      <w:r w:rsidRPr="003E4136">
        <w:rPr>
          <w:rFonts w:ascii="Arial" w:hAnsi="Arial" w:cs="Arial"/>
        </w:rPr>
        <w:t xml:space="preserve">Women statistically and traditionally do not work in male dominated industries such as construction, trades, </w:t>
      </w:r>
      <w:r w:rsidRPr="003E4136">
        <w:rPr>
          <w:rFonts w:ascii="Arial" w:hAnsi="Arial" w:cs="Arial"/>
        </w:rPr>
        <w:t>utilities, mining, and transportation</w:t>
      </w:r>
      <w:r w:rsidRPr="003E4136">
        <w:rPr>
          <w:rFonts w:ascii="Arial" w:hAnsi="Arial" w:cs="Arial"/>
        </w:rPr>
        <w:t xml:space="preserve">/ </w:t>
      </w:r>
      <w:r w:rsidRPr="003E4136">
        <w:rPr>
          <w:rFonts w:ascii="Arial" w:hAnsi="Arial" w:cs="Arial"/>
        </w:rPr>
        <w:t>warehousing</w:t>
      </w:r>
      <w:r w:rsidRPr="003E4136">
        <w:rPr>
          <w:rFonts w:ascii="Arial" w:hAnsi="Arial" w:cs="Arial"/>
        </w:rPr>
        <w:t xml:space="preserve"> with just 8% of these roles filled by women across the UK and Europe. Of the women that work in </w:t>
      </w:r>
      <w:r w:rsidR="00E302F3" w:rsidRPr="003E4136">
        <w:rPr>
          <w:rFonts w:ascii="Arial" w:hAnsi="Arial" w:cs="Arial"/>
        </w:rPr>
        <w:t>these industries</w:t>
      </w:r>
      <w:r w:rsidRPr="003E4136">
        <w:rPr>
          <w:rFonts w:ascii="Arial" w:hAnsi="Arial" w:cs="Arial"/>
        </w:rPr>
        <w:t xml:space="preserve"> 47% reported sexual harassment at work, and additionally more than 50% reported h</w:t>
      </w:r>
      <w:r w:rsidRPr="003E4136">
        <w:rPr>
          <w:rFonts w:ascii="Arial" w:hAnsi="Arial" w:cs="Arial"/>
        </w:rPr>
        <w:t>igh</w:t>
      </w:r>
      <w:r w:rsidRPr="003E4136">
        <w:rPr>
          <w:rFonts w:ascii="Arial" w:hAnsi="Arial" w:cs="Arial"/>
        </w:rPr>
        <w:t>er than average</w:t>
      </w:r>
      <w:r w:rsidRPr="003E4136">
        <w:rPr>
          <w:rFonts w:ascii="Arial" w:hAnsi="Arial" w:cs="Arial"/>
        </w:rPr>
        <w:t xml:space="preserve"> levels of stress, anxiety, depression, low self-esteem, and “imposter syndrome</w:t>
      </w:r>
      <w:r w:rsidRPr="003E4136">
        <w:rPr>
          <w:rFonts w:ascii="Arial" w:hAnsi="Arial" w:cs="Arial"/>
        </w:rPr>
        <w:t xml:space="preserve">, as well as a culture that led to a lack of mentoring and opportunities for career development </w:t>
      </w:r>
      <w:r w:rsidRPr="003E4136">
        <w:rPr>
          <w:rFonts w:ascii="Arial" w:hAnsi="Arial" w:cs="Arial"/>
        </w:rPr>
        <w:t>(Catalyst Inc., 2024)</w:t>
      </w:r>
      <w:r w:rsidRPr="003E4136">
        <w:rPr>
          <w:rFonts w:ascii="Arial" w:hAnsi="Arial" w:cs="Arial"/>
        </w:rPr>
        <w:t>.</w:t>
      </w:r>
    </w:p>
    <w:p w14:paraId="63BD902B" w14:textId="0804EA3D" w:rsidR="00D97B6D" w:rsidRPr="003E4136" w:rsidRDefault="00D97B6D" w:rsidP="000E111F">
      <w:pPr>
        <w:rPr>
          <w:rFonts w:ascii="Arial" w:hAnsi="Arial" w:cs="Arial"/>
        </w:rPr>
      </w:pPr>
      <w:r w:rsidRPr="003E4136">
        <w:rPr>
          <w:rFonts w:ascii="Arial" w:hAnsi="Arial" w:cs="Arial"/>
        </w:rPr>
        <w:t xml:space="preserve">In the UK, only one in ten companies have a female CEO, and while female CEOs are more likely to have female dominated boards, this is an echo of social cloning, and not a true representative of the social positioning of women. Part of the problem of lack </w:t>
      </w:r>
      <w:r w:rsidR="00670C68" w:rsidRPr="003E4136">
        <w:rPr>
          <w:rFonts w:ascii="Arial" w:hAnsi="Arial" w:cs="Arial"/>
        </w:rPr>
        <w:t>of</w:t>
      </w:r>
      <w:r w:rsidRPr="003E4136">
        <w:rPr>
          <w:rFonts w:ascii="Arial" w:hAnsi="Arial" w:cs="Arial"/>
        </w:rPr>
        <w:t xml:space="preserve"> women in positions of power relates to the expectation of feminine traits, and that women are not ‘</w:t>
      </w:r>
      <w:r w:rsidR="00F71595" w:rsidRPr="003E4136">
        <w:rPr>
          <w:rFonts w:ascii="Arial" w:hAnsi="Arial" w:cs="Arial"/>
        </w:rPr>
        <w:t>cutthroat</w:t>
      </w:r>
      <w:r w:rsidRPr="003E4136">
        <w:rPr>
          <w:rFonts w:ascii="Arial" w:hAnsi="Arial" w:cs="Arial"/>
        </w:rPr>
        <w:t xml:space="preserve">’ enough to lead companies, and </w:t>
      </w:r>
      <w:r w:rsidR="00670C68" w:rsidRPr="003E4136">
        <w:rPr>
          <w:rFonts w:ascii="Arial" w:hAnsi="Arial" w:cs="Arial"/>
        </w:rPr>
        <w:t xml:space="preserve">party relates to the social conditioning applied to women from birth, with girls being steered away from STEM and ‘boys’ activities, and directed towards more gentle feminine occupations </w:t>
      </w:r>
      <w:r w:rsidR="00F71595" w:rsidRPr="003E4136">
        <w:rPr>
          <w:rFonts w:ascii="Arial" w:hAnsi="Arial" w:cs="Arial"/>
        </w:rPr>
        <w:t>(Beede, 2011)</w:t>
      </w:r>
    </w:p>
    <w:p w14:paraId="031522BB" w14:textId="31759995" w:rsidR="00915329" w:rsidRPr="003E4136" w:rsidRDefault="000E111F" w:rsidP="000E111F">
      <w:pPr>
        <w:rPr>
          <w:rFonts w:ascii="Arial" w:hAnsi="Arial" w:cs="Arial"/>
        </w:rPr>
      </w:pPr>
      <w:bookmarkStart w:id="6" w:name="_Toc183683664"/>
      <w:r w:rsidRPr="008F5188">
        <w:rPr>
          <w:rStyle w:val="Heading2Char"/>
        </w:rPr>
        <w:t>The state:</w:t>
      </w:r>
      <w:bookmarkEnd w:id="6"/>
      <w:r w:rsidRPr="003E4136">
        <w:rPr>
          <w:rFonts w:ascii="Arial" w:hAnsi="Arial" w:cs="Arial"/>
        </w:rPr>
        <w:t xml:space="preserve"> </w:t>
      </w:r>
      <w:r w:rsidR="008E1517" w:rsidRPr="003E4136">
        <w:rPr>
          <w:rFonts w:ascii="Arial" w:hAnsi="Arial" w:cs="Arial"/>
        </w:rPr>
        <w:br/>
      </w:r>
      <w:r w:rsidR="00F71595" w:rsidRPr="003E4136">
        <w:rPr>
          <w:rFonts w:ascii="Arial" w:hAnsi="Arial" w:cs="Arial"/>
        </w:rPr>
        <w:t xml:space="preserve">In the UK, women make up 32% of the Commons and lords, and </w:t>
      </w:r>
      <w:r w:rsidR="00915329" w:rsidRPr="003E4136">
        <w:rPr>
          <w:rFonts w:ascii="Arial" w:hAnsi="Arial" w:cs="Arial"/>
        </w:rPr>
        <w:t>while this is higher for members of devolved legislatures, i</w:t>
      </w:r>
      <w:r w:rsidR="00E302F3" w:rsidRPr="003E4136">
        <w:rPr>
          <w:rFonts w:ascii="Arial" w:hAnsi="Arial" w:cs="Arial"/>
        </w:rPr>
        <w:t>t</w:t>
      </w:r>
      <w:r w:rsidR="00915329" w:rsidRPr="003E4136">
        <w:rPr>
          <w:rFonts w:ascii="Arial" w:hAnsi="Arial" w:cs="Arial"/>
        </w:rPr>
        <w:t xml:space="preserve"> remains under 50%. The number of women </w:t>
      </w:r>
      <w:r w:rsidR="00915329" w:rsidRPr="003E4136">
        <w:rPr>
          <w:rFonts w:ascii="Arial" w:hAnsi="Arial" w:cs="Arial"/>
        </w:rPr>
        <w:lastRenderedPageBreak/>
        <w:t xml:space="preserve">in public sector roles in the UK has increased in the last 30 years, although the below chart, provided by the House of Commons library, shows that women are predominantly employed in sectors which are traditionally involved in ‘caring and nurturing’ </w:t>
      </w:r>
    </w:p>
    <w:p w14:paraId="54AEEE50" w14:textId="77777777" w:rsidR="00915329" w:rsidRPr="003E4136" w:rsidRDefault="00915329" w:rsidP="000E111F">
      <w:pPr>
        <w:rPr>
          <w:rFonts w:ascii="Arial" w:hAnsi="Arial" w:cs="Arial"/>
        </w:rPr>
      </w:pPr>
      <w:r w:rsidRPr="003E4136">
        <w:rPr>
          <w:rFonts w:ascii="Arial" w:hAnsi="Arial" w:cs="Arial"/>
        </w:rPr>
        <w:drawing>
          <wp:inline distT="0" distB="0" distL="0" distR="0" wp14:anchorId="06B7A2E0" wp14:editId="65D23C81">
            <wp:extent cx="5731510" cy="1948180"/>
            <wp:effectExtent l="0" t="0" r="2540" b="0"/>
            <wp:docPr id="221791477" name="Picture 1" descr="A graph of a bar&#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1791477" name="Picture 1" descr="A graph of a bar&#10;&#10;Description automatically generated with medium confidence"/>
                    <pic:cNvPicPr/>
                  </pic:nvPicPr>
                  <pic:blipFill>
                    <a:blip r:embed="rId6"/>
                    <a:stretch>
                      <a:fillRect/>
                    </a:stretch>
                  </pic:blipFill>
                  <pic:spPr>
                    <a:xfrm>
                      <a:off x="0" y="0"/>
                      <a:ext cx="5731510" cy="1948180"/>
                    </a:xfrm>
                    <a:prstGeom prst="rect">
                      <a:avLst/>
                    </a:prstGeom>
                  </pic:spPr>
                </pic:pic>
              </a:graphicData>
            </a:graphic>
          </wp:inline>
        </w:drawing>
      </w:r>
      <w:r w:rsidR="00F71595" w:rsidRPr="003E4136">
        <w:rPr>
          <w:rFonts w:ascii="Arial" w:hAnsi="Arial" w:cs="Arial"/>
        </w:rPr>
        <w:br/>
      </w:r>
      <w:r w:rsidR="000E111F" w:rsidRPr="003E4136">
        <w:rPr>
          <w:rFonts w:ascii="Arial" w:hAnsi="Arial" w:cs="Arial"/>
        </w:rPr>
        <w:t xml:space="preserve">women are </w:t>
      </w:r>
      <w:r w:rsidRPr="003E4136">
        <w:rPr>
          <w:rFonts w:ascii="Arial" w:hAnsi="Arial" w:cs="Arial"/>
        </w:rPr>
        <w:t>much less likely</w:t>
      </w:r>
      <w:r w:rsidR="000E111F" w:rsidRPr="003E4136">
        <w:rPr>
          <w:rFonts w:ascii="Arial" w:hAnsi="Arial" w:cs="Arial"/>
        </w:rPr>
        <w:t xml:space="preserve"> to have formal power and representation</w:t>
      </w:r>
      <w:r w:rsidRPr="003E4136">
        <w:rPr>
          <w:rFonts w:ascii="Arial" w:hAnsi="Arial" w:cs="Arial"/>
        </w:rPr>
        <w:t xml:space="preserve">, and the reasons for this have been identified as an extension of the barriers and issues affecting women in the home. The continuing role in managing the bulk of household and caring responsibilities, especially among women with children or younger women means that women do not have the time to consider becoming involved in politics or the criminal justice system, and the increased likelihood of low paid and part time work can mean that the financial resources required to ‘put themselves forward’ are not in evidence. </w:t>
      </w:r>
      <w:r w:rsidRPr="003E4136">
        <w:rPr>
          <w:rFonts w:ascii="Arial" w:hAnsi="Arial" w:cs="Arial"/>
        </w:rPr>
        <w:br/>
        <w:t xml:space="preserve">There will also be motivational factors, including a lack of role models, lack of childcare, lack of self-belief and self-confidence, ambition and time (or that which could be perceived as ‘dedication’) these are factors which are socio-cultural, and grow with the influx of gender bias information that women receive for </w:t>
      </w:r>
      <w:proofErr w:type="gramStart"/>
      <w:r w:rsidRPr="003E4136">
        <w:rPr>
          <w:rFonts w:ascii="Arial" w:hAnsi="Arial" w:cs="Arial"/>
        </w:rPr>
        <w:t>all of</w:t>
      </w:r>
      <w:proofErr w:type="gramEnd"/>
      <w:r w:rsidRPr="003E4136">
        <w:rPr>
          <w:rFonts w:ascii="Arial" w:hAnsi="Arial" w:cs="Arial"/>
        </w:rPr>
        <w:t xml:space="preserve"> their lives. </w:t>
      </w:r>
    </w:p>
    <w:p w14:paraId="01FAD1DC" w14:textId="77777777" w:rsidR="000537C9" w:rsidRPr="003E4136" w:rsidRDefault="00915329" w:rsidP="000E111F">
      <w:pPr>
        <w:rPr>
          <w:rFonts w:ascii="Arial" w:hAnsi="Arial" w:cs="Arial"/>
        </w:rPr>
      </w:pPr>
      <w:r w:rsidRPr="003E4136">
        <w:rPr>
          <w:rFonts w:ascii="Arial" w:hAnsi="Arial" w:cs="Arial"/>
        </w:rPr>
        <w:t xml:space="preserve">Black and Ethnic Minority women are even less likely to be represented in positions of power, </w:t>
      </w:r>
      <w:r w:rsidR="001A7DB1" w:rsidRPr="003E4136">
        <w:rPr>
          <w:rFonts w:ascii="Arial" w:hAnsi="Arial" w:cs="Arial"/>
        </w:rPr>
        <w:t xml:space="preserve">with only 10% of MPs being from minority ethnic backgrounds, with 37 of the 650 elected MPS being women </w:t>
      </w:r>
      <w:r w:rsidR="001A7DB1" w:rsidRPr="003E4136">
        <w:rPr>
          <w:rFonts w:ascii="Arial" w:hAnsi="Arial" w:cs="Arial"/>
        </w:rPr>
        <w:t>from minority ethnic backgrounds (Uberoi and Tunnicliffe, 2019)</w:t>
      </w:r>
      <w:r w:rsidRPr="003E4136">
        <w:rPr>
          <w:rFonts w:ascii="Arial" w:hAnsi="Arial" w:cs="Arial"/>
        </w:rPr>
        <w:br/>
      </w:r>
      <w:r w:rsidR="0081631C" w:rsidRPr="003E4136">
        <w:rPr>
          <w:rFonts w:ascii="Arial" w:hAnsi="Arial" w:cs="Arial"/>
        </w:rPr>
        <w:br/>
      </w:r>
      <w:r w:rsidR="000E111F" w:rsidRPr="008F5188">
        <w:rPr>
          <w:rStyle w:val="Heading2Char"/>
        </w:rPr>
        <w:t>Violence:</w:t>
      </w:r>
      <w:r w:rsidR="008E1517" w:rsidRPr="003E4136">
        <w:rPr>
          <w:rFonts w:ascii="Arial" w:hAnsi="Arial" w:cs="Arial"/>
        </w:rPr>
        <w:br/>
      </w:r>
      <w:r w:rsidR="001A7DB1" w:rsidRPr="003E4136">
        <w:rPr>
          <w:rFonts w:ascii="Arial" w:hAnsi="Arial" w:cs="Arial"/>
        </w:rPr>
        <w:t xml:space="preserve">A key factor in social control, the reproduction of control and inequality in society is violence against women, and the </w:t>
      </w:r>
      <w:r w:rsidR="001A7DB1" w:rsidRPr="003E4136">
        <w:rPr>
          <w:rFonts w:ascii="Arial" w:hAnsi="Arial" w:cs="Arial"/>
          <w:i/>
          <w:iCs/>
        </w:rPr>
        <w:t xml:space="preserve">fear </w:t>
      </w:r>
      <w:r w:rsidR="001A7DB1" w:rsidRPr="003E4136">
        <w:rPr>
          <w:rFonts w:ascii="Arial" w:hAnsi="Arial" w:cs="Arial"/>
        </w:rPr>
        <w:t>of violence</w:t>
      </w:r>
      <w:r w:rsidR="000537C9" w:rsidRPr="003E4136">
        <w:rPr>
          <w:rFonts w:ascii="Arial" w:hAnsi="Arial" w:cs="Arial"/>
        </w:rPr>
        <w:t>.</w:t>
      </w:r>
      <w:r w:rsidR="001A7DB1" w:rsidRPr="003E4136">
        <w:rPr>
          <w:rFonts w:ascii="Arial" w:hAnsi="Arial" w:cs="Arial"/>
        </w:rPr>
        <w:t xml:space="preserve"> </w:t>
      </w:r>
      <w:r w:rsidR="000537C9" w:rsidRPr="003E4136">
        <w:rPr>
          <w:rFonts w:ascii="Arial" w:hAnsi="Arial" w:cs="Arial"/>
        </w:rPr>
        <w:t>T</w:t>
      </w:r>
      <w:r w:rsidR="001A7DB1" w:rsidRPr="003E4136">
        <w:rPr>
          <w:rFonts w:ascii="Arial" w:hAnsi="Arial" w:cs="Arial"/>
        </w:rPr>
        <w:t>he fear and/or anticipation of violence has an undeniable effect on women’s behaviour</w:t>
      </w:r>
      <w:r w:rsidR="000537C9" w:rsidRPr="003E4136">
        <w:rPr>
          <w:rFonts w:ascii="Arial" w:hAnsi="Arial" w:cs="Arial"/>
        </w:rPr>
        <w:t xml:space="preserve">. In her 1975 book ‘Against our Will, Men, Women and Rape’ Susan Brownmiller stated that rape, sexual violence and the fear of these are a tool of social control, describing this is “a conscious process of intimidation in which </w:t>
      </w:r>
      <w:r w:rsidR="000537C9" w:rsidRPr="003E4136">
        <w:rPr>
          <w:rFonts w:ascii="Arial" w:hAnsi="Arial" w:cs="Arial"/>
          <w:i/>
          <w:iCs/>
        </w:rPr>
        <w:t>all</w:t>
      </w:r>
      <w:r w:rsidR="000537C9" w:rsidRPr="003E4136">
        <w:rPr>
          <w:rFonts w:ascii="Arial" w:hAnsi="Arial" w:cs="Arial"/>
        </w:rPr>
        <w:t xml:space="preserve"> men keep </w:t>
      </w:r>
      <w:r w:rsidR="000537C9" w:rsidRPr="003E4136">
        <w:rPr>
          <w:rFonts w:ascii="Arial" w:hAnsi="Arial" w:cs="Arial"/>
          <w:i/>
          <w:iCs/>
        </w:rPr>
        <w:t>all</w:t>
      </w:r>
      <w:r w:rsidR="000537C9" w:rsidRPr="003E4136">
        <w:rPr>
          <w:rFonts w:ascii="Arial" w:hAnsi="Arial" w:cs="Arial"/>
        </w:rPr>
        <w:t xml:space="preserve"> women in a state of fear” </w:t>
      </w:r>
      <w:r w:rsidR="000537C9" w:rsidRPr="003E4136">
        <w:rPr>
          <w:rFonts w:ascii="Arial" w:hAnsi="Arial" w:cs="Arial"/>
        </w:rPr>
        <w:t>(Brownmiller, 1975)</w:t>
      </w:r>
      <w:r w:rsidR="000537C9" w:rsidRPr="003E4136">
        <w:rPr>
          <w:rFonts w:ascii="Arial" w:hAnsi="Arial" w:cs="Arial"/>
        </w:rPr>
        <w:t xml:space="preserve"> </w:t>
      </w:r>
    </w:p>
    <w:p w14:paraId="6E6E7754" w14:textId="77777777" w:rsidR="000537C9" w:rsidRPr="003E4136" w:rsidRDefault="000537C9" w:rsidP="000E111F">
      <w:pPr>
        <w:rPr>
          <w:rFonts w:ascii="Arial" w:hAnsi="Arial" w:cs="Arial"/>
        </w:rPr>
      </w:pPr>
      <w:r w:rsidRPr="003E4136">
        <w:rPr>
          <w:rFonts w:ascii="Arial" w:hAnsi="Arial" w:cs="Arial"/>
        </w:rPr>
        <w:t xml:space="preserve">While </w:t>
      </w:r>
      <w:proofErr w:type="spellStart"/>
      <w:r w:rsidRPr="003E4136">
        <w:rPr>
          <w:rFonts w:ascii="Arial" w:hAnsi="Arial" w:cs="Arial"/>
        </w:rPr>
        <w:t>Brownmillers</w:t>
      </w:r>
      <w:proofErr w:type="spellEnd"/>
      <w:r w:rsidRPr="003E4136">
        <w:rPr>
          <w:rFonts w:ascii="Arial" w:hAnsi="Arial" w:cs="Arial"/>
        </w:rPr>
        <w:t xml:space="preserve">’ assertion caused much controversy, and led to counter arguments disputing her statement, the author emphasised that rape and sexual </w:t>
      </w:r>
      <w:r w:rsidRPr="003E4136">
        <w:rPr>
          <w:rFonts w:ascii="Arial" w:hAnsi="Arial" w:cs="Arial"/>
        </w:rPr>
        <w:lastRenderedPageBreak/>
        <w:t xml:space="preserve">violence affect all women, even if indirectly, by making them adjust their behaviours to counteract the potential threat. Women are unable to have as much freedom of movement as men, and this “provides support for a social system based on make dominance” </w:t>
      </w:r>
      <w:r w:rsidRPr="003E4136">
        <w:rPr>
          <w:rFonts w:ascii="Arial" w:hAnsi="Arial" w:cs="Arial"/>
        </w:rPr>
        <w:t>(Pryor, Hughes and Langdon, 2023)</w:t>
      </w:r>
      <w:r w:rsidRPr="003E4136">
        <w:rPr>
          <w:rFonts w:ascii="Arial" w:hAnsi="Arial" w:cs="Arial"/>
        </w:rPr>
        <w:t xml:space="preserve"> </w:t>
      </w:r>
    </w:p>
    <w:p w14:paraId="1C02FBA5" w14:textId="79E9D35A" w:rsidR="00E22F81" w:rsidRPr="003E4136" w:rsidRDefault="000537C9" w:rsidP="000E111F">
      <w:pPr>
        <w:rPr>
          <w:rFonts w:ascii="Arial" w:hAnsi="Arial" w:cs="Arial"/>
        </w:rPr>
      </w:pPr>
      <w:r w:rsidRPr="003E4136">
        <w:rPr>
          <w:rFonts w:ascii="Arial" w:hAnsi="Arial" w:cs="Arial"/>
        </w:rPr>
        <w:t xml:space="preserve">Violence against women and girls is an epidemic, with the NPCC estimating that two million women and girls are victim to violence every year </w:t>
      </w:r>
      <w:r w:rsidR="00E22F81" w:rsidRPr="003E4136">
        <w:rPr>
          <w:rFonts w:ascii="Arial" w:hAnsi="Arial" w:cs="Arial"/>
        </w:rPr>
        <w:t>(Dodd, 2024)</w:t>
      </w:r>
      <w:r w:rsidR="00E22F81" w:rsidRPr="003E4136">
        <w:rPr>
          <w:rFonts w:ascii="Arial" w:hAnsi="Arial" w:cs="Arial"/>
        </w:rPr>
        <w:t xml:space="preserve"> and based on this knowledge, and the cultural osmosis that surrounds us, women are subject to social and internal control , they will have a </w:t>
      </w:r>
      <w:r w:rsidR="00E22F81" w:rsidRPr="003E4136">
        <w:rPr>
          <w:rFonts w:ascii="Arial" w:hAnsi="Arial" w:cs="Arial"/>
        </w:rPr>
        <w:t>set of norms, values, beliefs and rules</w:t>
      </w:r>
      <w:r w:rsidR="00E22F81" w:rsidRPr="003E4136">
        <w:rPr>
          <w:rFonts w:ascii="Arial" w:hAnsi="Arial" w:cs="Arial"/>
        </w:rPr>
        <w:t xml:space="preserve"> around how to deal with this issue, and this can include staying indoors after dark, travelling in groups, carrying keys between fingers to use as a makeshift weapon, avoiding certain areas, and otherwise taking steps that an individual presenting as a male may not need to consider. While schools and campaigners have taken steps to increase awareness and make changes around how boys and young men treat women, perpetrators of sexual violence have become younger, influenced by social media actors such as Andrew Tate </w:t>
      </w:r>
      <w:r w:rsidR="00E22F81" w:rsidRPr="003E4136">
        <w:rPr>
          <w:rFonts w:ascii="Arial" w:hAnsi="Arial" w:cs="Arial"/>
        </w:rPr>
        <w:t>(Mir, 2018)</w:t>
      </w:r>
    </w:p>
    <w:p w14:paraId="2A20AE75" w14:textId="1F3E6C30" w:rsidR="00E22F81" w:rsidRPr="003E4136" w:rsidRDefault="00E22F81" w:rsidP="000E111F">
      <w:pPr>
        <w:rPr>
          <w:rFonts w:ascii="Arial" w:hAnsi="Arial" w:cs="Arial"/>
        </w:rPr>
      </w:pPr>
      <w:r w:rsidRPr="003E4136">
        <w:rPr>
          <w:rFonts w:ascii="Arial" w:hAnsi="Arial" w:cs="Arial"/>
        </w:rPr>
        <w:t xml:space="preserve">The fact that women and girls have to change and monitor their </w:t>
      </w:r>
      <w:proofErr w:type="gramStart"/>
      <w:r w:rsidRPr="003E4136">
        <w:rPr>
          <w:rFonts w:ascii="Arial" w:hAnsi="Arial" w:cs="Arial"/>
        </w:rPr>
        <w:t>behaviour, and</w:t>
      </w:r>
      <w:proofErr w:type="gramEnd"/>
      <w:r w:rsidRPr="003E4136">
        <w:rPr>
          <w:rFonts w:ascii="Arial" w:hAnsi="Arial" w:cs="Arial"/>
        </w:rPr>
        <w:t xml:space="preserve"> be ever assessing the level of risk is an example of how social control is perpetuating an inequality.</w:t>
      </w:r>
    </w:p>
    <w:p w14:paraId="47698CC7" w14:textId="58E54E04" w:rsidR="000E111F" w:rsidRPr="003E4136" w:rsidRDefault="00E22F81" w:rsidP="000E111F">
      <w:pPr>
        <w:rPr>
          <w:rFonts w:ascii="Arial" w:hAnsi="Arial" w:cs="Arial"/>
          <w:color w:val="ED0000"/>
        </w:rPr>
      </w:pPr>
      <w:r w:rsidRPr="003E4136">
        <w:rPr>
          <w:rFonts w:ascii="Arial" w:hAnsi="Arial" w:cs="Arial"/>
          <w:color w:val="ED0000"/>
        </w:rPr>
        <w:drawing>
          <wp:inline distT="0" distB="0" distL="0" distR="0" wp14:anchorId="639925D3" wp14:editId="10894BCC">
            <wp:extent cx="5731510" cy="2474595"/>
            <wp:effectExtent l="0" t="0" r="2540" b="1905"/>
            <wp:docPr id="307111867" name="Picture 1" descr="A screenshot of a graph&#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07111867" name="Picture 1" descr="A screenshot of a graph&#10;&#10;Description automatically generated"/>
                    <pic:cNvPicPr/>
                  </pic:nvPicPr>
                  <pic:blipFill>
                    <a:blip r:embed="rId7"/>
                    <a:stretch>
                      <a:fillRect/>
                    </a:stretch>
                  </pic:blipFill>
                  <pic:spPr>
                    <a:xfrm>
                      <a:off x="0" y="0"/>
                      <a:ext cx="5731510" cy="2474595"/>
                    </a:xfrm>
                    <a:prstGeom prst="rect">
                      <a:avLst/>
                    </a:prstGeom>
                  </pic:spPr>
                </pic:pic>
              </a:graphicData>
            </a:graphic>
          </wp:inline>
        </w:drawing>
      </w:r>
      <w:r w:rsidR="001A7DB1" w:rsidRPr="003E4136">
        <w:rPr>
          <w:rFonts w:ascii="Arial" w:hAnsi="Arial" w:cs="Arial"/>
          <w:color w:val="ED0000"/>
        </w:rPr>
        <w:br/>
      </w:r>
      <w:r w:rsidR="000E111F" w:rsidRPr="003E4136">
        <w:rPr>
          <w:rFonts w:ascii="Arial" w:hAnsi="Arial" w:cs="Arial"/>
        </w:rPr>
        <w:br/>
      </w:r>
      <w:r w:rsidR="000E111F" w:rsidRPr="008F5188">
        <w:rPr>
          <w:rStyle w:val="Heading1Char"/>
        </w:rPr>
        <w:t>Medical Control</w:t>
      </w:r>
    </w:p>
    <w:p w14:paraId="4F93DA6B" w14:textId="07C4AF49" w:rsidR="00641D85" w:rsidRPr="003E4136" w:rsidRDefault="00641D85" w:rsidP="000E111F">
      <w:pPr>
        <w:rPr>
          <w:rFonts w:ascii="Arial" w:hAnsi="Arial" w:cs="Arial"/>
        </w:rPr>
      </w:pPr>
      <w:r w:rsidRPr="003E4136">
        <w:rPr>
          <w:rFonts w:ascii="Arial" w:hAnsi="Arial" w:cs="Arial"/>
        </w:rPr>
        <w:t>Bartley (2004) quipped that “</w:t>
      </w:r>
      <w:r w:rsidRPr="003E4136">
        <w:rPr>
          <w:rFonts w:ascii="Arial" w:hAnsi="Arial" w:cs="Arial"/>
        </w:rPr>
        <w:t>“men die quicker but women are sicker”</w:t>
      </w:r>
      <w:r w:rsidRPr="003E4136">
        <w:rPr>
          <w:rFonts w:ascii="Arial" w:hAnsi="Arial" w:cs="Arial"/>
        </w:rPr>
        <w:t xml:space="preserve"> referring of course to a lower life expectancy overall for men, however </w:t>
      </w:r>
      <w:r w:rsidR="00E302F3" w:rsidRPr="003E4136">
        <w:rPr>
          <w:rFonts w:ascii="Arial" w:hAnsi="Arial" w:cs="Arial"/>
        </w:rPr>
        <w:t>a</w:t>
      </w:r>
      <w:r w:rsidR="00E302F3" w:rsidRPr="003E4136">
        <w:rPr>
          <w:rFonts w:ascii="Arial" w:hAnsi="Arial" w:cs="Arial"/>
        </w:rPr>
        <w:t xml:space="preserve">lthough </w:t>
      </w:r>
      <w:r w:rsidR="00E302F3" w:rsidRPr="003E4136">
        <w:rPr>
          <w:rFonts w:ascii="Arial" w:hAnsi="Arial" w:cs="Arial"/>
        </w:rPr>
        <w:t xml:space="preserve">our natural biology and overall ‘makeup’ </w:t>
      </w:r>
      <w:r w:rsidR="00E302F3" w:rsidRPr="003E4136">
        <w:rPr>
          <w:rFonts w:ascii="Arial" w:hAnsi="Arial" w:cs="Arial"/>
        </w:rPr>
        <w:t xml:space="preserve">influences health, biology </w:t>
      </w:r>
      <w:r w:rsidR="00E302F3" w:rsidRPr="003E4136">
        <w:rPr>
          <w:rFonts w:ascii="Arial" w:hAnsi="Arial" w:cs="Arial"/>
        </w:rPr>
        <w:t xml:space="preserve">alone </w:t>
      </w:r>
      <w:r w:rsidR="00E302F3" w:rsidRPr="003E4136">
        <w:rPr>
          <w:rFonts w:ascii="Arial" w:hAnsi="Arial" w:cs="Arial"/>
        </w:rPr>
        <w:t>does not determine</w:t>
      </w:r>
      <w:r w:rsidR="00E302F3" w:rsidRPr="003E4136">
        <w:rPr>
          <w:rFonts w:ascii="Arial" w:hAnsi="Arial" w:cs="Arial"/>
        </w:rPr>
        <w:t xml:space="preserve"> health outcomes</w:t>
      </w:r>
      <w:r w:rsidR="00E302F3" w:rsidRPr="003E4136">
        <w:rPr>
          <w:rFonts w:ascii="Arial" w:hAnsi="Arial" w:cs="Arial"/>
        </w:rPr>
        <w:t xml:space="preserve"> (Annandale, 2014)</w:t>
      </w:r>
      <w:r w:rsidR="00E302F3" w:rsidRPr="003E4136">
        <w:rPr>
          <w:rFonts w:ascii="Arial" w:hAnsi="Arial" w:cs="Arial"/>
        </w:rPr>
        <w:t xml:space="preserve"> Annandale also stated that “</w:t>
      </w:r>
      <w:r w:rsidR="00E302F3" w:rsidRPr="003E4136">
        <w:rPr>
          <w:rFonts w:ascii="Arial" w:hAnsi="Arial" w:cs="Arial"/>
        </w:rPr>
        <w:t>Health inequalities between the sexes are the result of the interaction between biology and society in terms of how society structures and influences our lives</w:t>
      </w:r>
      <w:r w:rsidR="00E302F3" w:rsidRPr="003E4136">
        <w:rPr>
          <w:rFonts w:ascii="Arial" w:hAnsi="Arial" w:cs="Arial"/>
        </w:rPr>
        <w:t xml:space="preserve">” and argued that the culturally significant factor in medical treatment differences for men and women is similar to the ‘gender job confidence’ phenomenon, in which men have the confidence and self-belief to apply for something they are not qualified for, while less </w:t>
      </w:r>
      <w:r w:rsidR="00E302F3" w:rsidRPr="003E4136">
        <w:rPr>
          <w:rFonts w:ascii="Arial" w:hAnsi="Arial" w:cs="Arial"/>
        </w:rPr>
        <w:lastRenderedPageBreak/>
        <w:t xml:space="preserve">than 60% of women would take the same step. This can be interpreted as an issue of confidence and entitlement, the statistics show that men will seek treatment sooner, make more demands of medical professionals and ‘push’ for diagnosis more frequently than women, often resulting in medical issues being treated or resolved at a much earlier stage </w:t>
      </w:r>
      <w:r w:rsidR="00E302F3" w:rsidRPr="003E4136">
        <w:rPr>
          <w:rFonts w:ascii="Arial" w:hAnsi="Arial" w:cs="Arial"/>
        </w:rPr>
        <w:t>(Schopen, 2017)</w:t>
      </w:r>
      <w:r w:rsidR="00E302F3" w:rsidRPr="003E4136">
        <w:rPr>
          <w:rFonts w:ascii="Arial" w:hAnsi="Arial" w:cs="Arial"/>
        </w:rPr>
        <w:t xml:space="preserve"> </w:t>
      </w:r>
    </w:p>
    <w:p w14:paraId="62064710" w14:textId="77777777" w:rsidR="000E111F" w:rsidRPr="003E4136" w:rsidRDefault="000E111F" w:rsidP="008F5188">
      <w:pPr>
        <w:pStyle w:val="Heading2"/>
      </w:pPr>
      <w:bookmarkStart w:id="7" w:name="_Toc183683665"/>
      <w:r w:rsidRPr="003E4136">
        <w:t>Pain management</w:t>
      </w:r>
      <w:bookmarkEnd w:id="7"/>
    </w:p>
    <w:p w14:paraId="25E114C5" w14:textId="22699F8A" w:rsidR="000E111F" w:rsidRPr="003E4136" w:rsidRDefault="00E302F3" w:rsidP="000E111F">
      <w:pPr>
        <w:rPr>
          <w:rFonts w:ascii="Arial" w:hAnsi="Arial" w:cs="Arial"/>
        </w:rPr>
      </w:pPr>
      <w:r w:rsidRPr="003E4136">
        <w:rPr>
          <w:rFonts w:ascii="Arial" w:hAnsi="Arial" w:cs="Arial"/>
        </w:rPr>
        <w:t xml:space="preserve">A study using the details of hospital discharge paperwork of over 21,000 people found that </w:t>
      </w:r>
      <w:r w:rsidR="00C908D8" w:rsidRPr="003E4136">
        <w:rPr>
          <w:rFonts w:ascii="Arial" w:hAnsi="Arial" w:cs="Arial"/>
        </w:rPr>
        <w:t>w</w:t>
      </w:r>
      <w:r w:rsidR="00C908D8" w:rsidRPr="003E4136">
        <w:rPr>
          <w:rFonts w:ascii="Arial" w:hAnsi="Arial" w:cs="Arial"/>
        </w:rPr>
        <w:t>omen are</w:t>
      </w:r>
      <w:r w:rsidR="00C908D8" w:rsidRPr="003E4136">
        <w:rPr>
          <w:rFonts w:ascii="Arial" w:hAnsi="Arial" w:cs="Arial"/>
        </w:rPr>
        <w:t xml:space="preserve"> likely to present later at medical centres or A&amp;E, are</w:t>
      </w:r>
      <w:r w:rsidR="00C908D8" w:rsidRPr="003E4136">
        <w:rPr>
          <w:rFonts w:ascii="Arial" w:hAnsi="Arial" w:cs="Arial"/>
        </w:rPr>
        <w:t xml:space="preserve"> less likely to have their pain treated, and are less likely to receive opioid painkillers in emergency department</w:t>
      </w:r>
      <w:r w:rsidR="00C908D8" w:rsidRPr="003E4136">
        <w:rPr>
          <w:rFonts w:ascii="Arial" w:hAnsi="Arial" w:cs="Arial"/>
        </w:rPr>
        <w:t xml:space="preserve">s than men, the researchers suggest that this may be due to preexisting unconscious bias relating to beliefs about the pain tolerance of men and women, as well as concerns that females are more emotional and likely to over report their pain levels </w:t>
      </w:r>
      <w:r w:rsidR="00C908D8" w:rsidRPr="003E4136">
        <w:rPr>
          <w:rFonts w:ascii="Arial" w:hAnsi="Arial" w:cs="Arial"/>
        </w:rPr>
        <w:t>(</w:t>
      </w:r>
      <w:proofErr w:type="spellStart"/>
      <w:r w:rsidR="00C908D8" w:rsidRPr="003E4136">
        <w:rPr>
          <w:rFonts w:ascii="Arial" w:hAnsi="Arial" w:cs="Arial"/>
        </w:rPr>
        <w:t>Guzikevits</w:t>
      </w:r>
      <w:proofErr w:type="spellEnd"/>
      <w:r w:rsidR="00C908D8" w:rsidRPr="003E4136">
        <w:rPr>
          <w:rFonts w:ascii="Arial" w:hAnsi="Arial" w:cs="Arial"/>
        </w:rPr>
        <w:t xml:space="preserve"> et al., 2024)</w:t>
      </w:r>
    </w:p>
    <w:p w14:paraId="3CC8343C" w14:textId="77777777" w:rsidR="000E111F" w:rsidRPr="003E4136" w:rsidRDefault="000E111F" w:rsidP="008F5188">
      <w:pPr>
        <w:pStyle w:val="Heading2"/>
      </w:pPr>
      <w:bookmarkStart w:id="8" w:name="_Toc183683666"/>
      <w:r w:rsidRPr="003E4136">
        <w:t>Diagnosis</w:t>
      </w:r>
      <w:bookmarkEnd w:id="8"/>
    </w:p>
    <w:p w14:paraId="6788C4DA" w14:textId="1C59894A" w:rsidR="000E111F" w:rsidRPr="003E4136" w:rsidRDefault="00C908D8" w:rsidP="000E111F">
      <w:pPr>
        <w:rPr>
          <w:rFonts w:ascii="Arial" w:hAnsi="Arial" w:cs="Arial"/>
        </w:rPr>
      </w:pPr>
      <w:r w:rsidRPr="003E4136">
        <w:rPr>
          <w:rFonts w:ascii="Arial" w:hAnsi="Arial" w:cs="Arial"/>
        </w:rPr>
        <w:t xml:space="preserve">In her book, ‘Invisible Women’ </w:t>
      </w:r>
      <w:r w:rsidRPr="003E4136">
        <w:rPr>
          <w:rFonts w:ascii="Arial" w:hAnsi="Arial" w:cs="Arial"/>
        </w:rPr>
        <w:t>Criado Perez</w:t>
      </w:r>
      <w:r w:rsidRPr="003E4136">
        <w:rPr>
          <w:rFonts w:ascii="Arial" w:hAnsi="Arial" w:cs="Arial"/>
        </w:rPr>
        <w:t xml:space="preserve"> stated that “</w:t>
      </w:r>
      <w:r w:rsidRPr="003E4136">
        <w:rPr>
          <w:rFonts w:ascii="Arial" w:hAnsi="Arial" w:cs="Arial"/>
        </w:rPr>
        <w:t>we have a huge historical data gap when it comes to female bodies. Women are dying, and the medical world is complicit. It needs to wake up.”</w:t>
      </w:r>
      <w:r w:rsidRPr="003E4136">
        <w:rPr>
          <w:rFonts w:ascii="Arial" w:hAnsi="Arial" w:cs="Arial"/>
        </w:rPr>
        <w:t xml:space="preserve"> </w:t>
      </w:r>
      <w:r w:rsidRPr="003E4136">
        <w:rPr>
          <w:rFonts w:ascii="Arial" w:hAnsi="Arial" w:cs="Arial"/>
        </w:rPr>
        <w:t>(Williams, 2020)</w:t>
      </w:r>
      <w:r w:rsidRPr="003E4136">
        <w:rPr>
          <w:rFonts w:ascii="Arial" w:hAnsi="Arial" w:cs="Arial"/>
        </w:rPr>
        <w:t xml:space="preserve"> and this is based on the fact that the majority of medical trials and investigations are carried out on men, using a one size fits all approach, symptoms can present differently in men and women, and medications can react differently, but as the data bias is skewed towards men, this is </w:t>
      </w:r>
      <w:r w:rsidR="003A0F8B" w:rsidRPr="003E4136">
        <w:rPr>
          <w:rFonts w:ascii="Arial" w:hAnsi="Arial" w:cs="Arial"/>
        </w:rPr>
        <w:t>an ongoing problem where inequality is deepened by social control, w</w:t>
      </w:r>
      <w:r w:rsidR="000E111F" w:rsidRPr="003E4136">
        <w:rPr>
          <w:rFonts w:ascii="Arial" w:hAnsi="Arial" w:cs="Arial"/>
        </w:rPr>
        <w:t>omen are less likely to be given a diagnosis than men</w:t>
      </w:r>
      <w:r w:rsidR="003A0F8B" w:rsidRPr="003E4136">
        <w:rPr>
          <w:rFonts w:ascii="Arial" w:hAnsi="Arial" w:cs="Arial"/>
        </w:rPr>
        <w:t xml:space="preserve">, and when the diagnosis is given (on average 4 years later than for a man), treatment guidelines are used that are designed for </w:t>
      </w:r>
      <w:proofErr w:type="spellStart"/>
      <w:r w:rsidR="003A0F8B" w:rsidRPr="003E4136">
        <w:rPr>
          <w:rFonts w:ascii="Arial" w:hAnsi="Arial" w:cs="Arial"/>
        </w:rPr>
        <w:t>mens’</w:t>
      </w:r>
      <w:proofErr w:type="spellEnd"/>
      <w:r w:rsidR="003A0F8B" w:rsidRPr="003E4136">
        <w:rPr>
          <w:rFonts w:ascii="Arial" w:hAnsi="Arial" w:cs="Arial"/>
        </w:rPr>
        <w:t xml:space="preserve"> bodies </w:t>
      </w:r>
      <w:r w:rsidR="003A0F8B" w:rsidRPr="003E4136">
        <w:rPr>
          <w:rFonts w:ascii="Arial" w:hAnsi="Arial" w:cs="Arial"/>
        </w:rPr>
        <w:t>(Graham, 2001)</w:t>
      </w:r>
      <w:r w:rsidR="000E111F" w:rsidRPr="003E4136">
        <w:rPr>
          <w:rFonts w:ascii="Arial" w:hAnsi="Arial" w:cs="Arial"/>
        </w:rPr>
        <w:t xml:space="preserve">. </w:t>
      </w:r>
    </w:p>
    <w:p w14:paraId="0F73C6BA" w14:textId="77777777" w:rsidR="000E111F" w:rsidRPr="003E4136" w:rsidRDefault="000E111F" w:rsidP="008F5188">
      <w:pPr>
        <w:pStyle w:val="Heading2"/>
      </w:pPr>
      <w:bookmarkStart w:id="9" w:name="_Toc183683667"/>
      <w:r w:rsidRPr="003E4136">
        <w:t>Antimicrobial resistance</w:t>
      </w:r>
      <w:bookmarkEnd w:id="9"/>
    </w:p>
    <w:p w14:paraId="711E89A1" w14:textId="08A211F1" w:rsidR="003A0F8B" w:rsidRPr="003E4136" w:rsidRDefault="009C282D" w:rsidP="000E111F">
      <w:pPr>
        <w:rPr>
          <w:rFonts w:ascii="Arial" w:hAnsi="Arial" w:cs="Arial"/>
        </w:rPr>
      </w:pPr>
      <w:r w:rsidRPr="003E4136">
        <w:rPr>
          <w:rFonts w:ascii="Arial" w:hAnsi="Arial" w:cs="Arial"/>
        </w:rPr>
        <w:t xml:space="preserve">Women make up around 70% of healthcare workers worldwide, and provide the bulk of caring responsibilities, especially in low and medium income households </w:t>
      </w:r>
      <w:r w:rsidRPr="003E4136">
        <w:rPr>
          <w:rFonts w:ascii="Arial" w:hAnsi="Arial" w:cs="Arial"/>
        </w:rPr>
        <w:t>(Ahuja, 2024)</w:t>
      </w:r>
      <w:r w:rsidRPr="003E4136">
        <w:rPr>
          <w:rFonts w:ascii="Arial" w:hAnsi="Arial" w:cs="Arial"/>
        </w:rPr>
        <w:t xml:space="preserve"> and data from the World Health Organisation shows that women are more likely to be exposed to antibiotic resistant superbugs, this can be contributed to a number of factors including being 23% more likely to be prescribed antibiotics </w:t>
      </w:r>
      <w:r w:rsidRPr="003E4136">
        <w:rPr>
          <w:rFonts w:ascii="Arial" w:hAnsi="Arial" w:cs="Arial"/>
        </w:rPr>
        <w:t>(Wong, 2024)</w:t>
      </w:r>
      <w:r w:rsidRPr="003E4136">
        <w:rPr>
          <w:rFonts w:ascii="Arial" w:hAnsi="Arial" w:cs="Arial"/>
        </w:rPr>
        <w:t xml:space="preserve"> increased risk of exposure during childbirth and gynaecological procedures, as well as </w:t>
      </w:r>
    </w:p>
    <w:p w14:paraId="2891B2E1" w14:textId="67695FA2" w:rsidR="000E111F" w:rsidRPr="003E4136" w:rsidRDefault="000E111F" w:rsidP="000E111F">
      <w:pPr>
        <w:rPr>
          <w:rFonts w:ascii="Arial" w:hAnsi="Arial" w:cs="Arial"/>
        </w:rPr>
      </w:pPr>
      <w:r w:rsidRPr="003E4136">
        <w:rPr>
          <w:rFonts w:ascii="Arial" w:hAnsi="Arial" w:cs="Arial"/>
        </w:rPr>
        <w:t>In additional, black women more likely to die of treatable illness</w:t>
      </w:r>
      <w:r w:rsidR="00403AFF" w:rsidRPr="003E4136">
        <w:rPr>
          <w:rFonts w:ascii="Arial" w:hAnsi="Arial" w:cs="Arial"/>
        </w:rPr>
        <w:t xml:space="preserve">, and more </w:t>
      </w:r>
      <w:proofErr w:type="spellStart"/>
      <w:r w:rsidR="00403AFF" w:rsidRPr="003E4136">
        <w:rPr>
          <w:rFonts w:ascii="Arial" w:hAnsi="Arial" w:cs="Arial"/>
        </w:rPr>
        <w:t>likey</w:t>
      </w:r>
      <w:proofErr w:type="spellEnd"/>
      <w:r w:rsidR="00403AFF" w:rsidRPr="003E4136">
        <w:rPr>
          <w:rFonts w:ascii="Arial" w:hAnsi="Arial" w:cs="Arial"/>
        </w:rPr>
        <w:t xml:space="preserve"> to have multiple long term health conditions, a study found that black women were almost 50% more likely to have multiple long term health conditions, compared to 33% of white women </w:t>
      </w:r>
      <w:r w:rsidR="00403AFF" w:rsidRPr="003E4136">
        <w:rPr>
          <w:rFonts w:ascii="Arial" w:hAnsi="Arial" w:cs="Arial"/>
        </w:rPr>
        <w:t>(King’s College London, 2023)</w:t>
      </w:r>
      <w:r w:rsidR="00403AFF" w:rsidRPr="003E4136">
        <w:rPr>
          <w:rFonts w:ascii="Arial" w:hAnsi="Arial" w:cs="Arial"/>
        </w:rPr>
        <w:t xml:space="preserve"> this can be related to intermediate and proximal risk factors, which are most likely to be behavioural and could potentially be modified by the patient, for example smoking or poor diet, but these in turn are affected by distal risk factors, for example people from minority ethnic backgrounds are more likely to live in overcrowded homes, and suffer child poverty </w:t>
      </w:r>
      <w:r w:rsidR="00403AFF" w:rsidRPr="003E4136">
        <w:rPr>
          <w:rFonts w:ascii="Arial" w:hAnsi="Arial" w:cs="Arial"/>
        </w:rPr>
        <w:t>(Hickman, Delucchi and Prochaska, 2015)</w:t>
      </w:r>
      <w:r w:rsidR="00403AFF" w:rsidRPr="003E4136">
        <w:rPr>
          <w:rFonts w:ascii="Arial" w:hAnsi="Arial" w:cs="Arial"/>
        </w:rPr>
        <w:t>.</w:t>
      </w:r>
    </w:p>
    <w:p w14:paraId="13937140" w14:textId="04D56621" w:rsidR="00855A53" w:rsidRPr="003E4136" w:rsidRDefault="00855A53" w:rsidP="008F5188">
      <w:pPr>
        <w:pStyle w:val="Heading2"/>
      </w:pPr>
      <w:bookmarkStart w:id="10" w:name="_Toc183683668"/>
      <w:r w:rsidRPr="003E4136">
        <w:lastRenderedPageBreak/>
        <w:t>Access to Contraception/Abortion</w:t>
      </w:r>
      <w:bookmarkEnd w:id="10"/>
      <w:r w:rsidRPr="003E4136">
        <w:t xml:space="preserve"> </w:t>
      </w:r>
    </w:p>
    <w:p w14:paraId="00903187" w14:textId="777D5C1A" w:rsidR="00855A53" w:rsidRPr="003E4136" w:rsidRDefault="00403AFF" w:rsidP="000E111F">
      <w:pPr>
        <w:rPr>
          <w:rFonts w:ascii="Arial" w:hAnsi="Arial" w:cs="Arial"/>
        </w:rPr>
      </w:pPr>
      <w:r w:rsidRPr="003E4136">
        <w:rPr>
          <w:rFonts w:ascii="Arial" w:hAnsi="Arial" w:cs="Arial"/>
        </w:rPr>
        <w:t>A report by BPAS found that 49% of women face barriers to contraception, including “l</w:t>
      </w:r>
      <w:r w:rsidRPr="003E4136">
        <w:rPr>
          <w:rFonts w:ascii="Arial" w:hAnsi="Arial" w:cs="Arial"/>
        </w:rPr>
        <w:t>ong wait times, difficulty securing appointments, and financial hurdles when trying to access their preferred method of contraception</w:t>
      </w:r>
      <w:r w:rsidRPr="003E4136">
        <w:rPr>
          <w:rFonts w:ascii="Arial" w:hAnsi="Arial" w:cs="Arial"/>
        </w:rPr>
        <w:t xml:space="preserve">” </w:t>
      </w:r>
      <w:r w:rsidRPr="003E4136">
        <w:rPr>
          <w:rFonts w:ascii="Arial" w:hAnsi="Arial" w:cs="Arial"/>
        </w:rPr>
        <w:t xml:space="preserve">(BPAS, </w:t>
      </w:r>
      <w:r w:rsidRPr="003E4136">
        <w:rPr>
          <w:rFonts w:ascii="Arial" w:hAnsi="Arial" w:cs="Arial"/>
        </w:rPr>
        <w:t>2023</w:t>
      </w:r>
      <w:r w:rsidRPr="003E4136">
        <w:rPr>
          <w:rFonts w:ascii="Arial" w:hAnsi="Arial" w:cs="Arial"/>
        </w:rPr>
        <w:t>)</w:t>
      </w:r>
      <w:r w:rsidRPr="003E4136">
        <w:rPr>
          <w:rFonts w:ascii="Arial" w:hAnsi="Arial" w:cs="Arial"/>
        </w:rPr>
        <w:t xml:space="preserve"> </w:t>
      </w:r>
      <w:r w:rsidR="002873BB" w:rsidRPr="003E4136">
        <w:rPr>
          <w:rFonts w:ascii="Arial" w:hAnsi="Arial" w:cs="Arial"/>
        </w:rPr>
        <w:t>Inequality and social control is inextricably entwined with contraceptive use, the political, religious and personal degree to which women are able to make choices around sexual activity, through access to reliable contraception can have long term consequences, forcing changes for the individual in potential social mobility, quality of life and child poverty. Any problems of abuse and power imbalance in personal relationships can also be affected by access to, or lack of contraception</w:t>
      </w:r>
      <w:r w:rsidR="00C30360" w:rsidRPr="003E4136">
        <w:rPr>
          <w:rFonts w:ascii="Arial" w:hAnsi="Arial" w:cs="Arial"/>
        </w:rPr>
        <w:t xml:space="preserve"> </w:t>
      </w:r>
      <w:r w:rsidR="00C30360" w:rsidRPr="003E4136">
        <w:rPr>
          <w:rFonts w:ascii="Arial" w:hAnsi="Arial" w:cs="Arial"/>
        </w:rPr>
        <w:t>(</w:t>
      </w:r>
      <w:proofErr w:type="spellStart"/>
      <w:r w:rsidR="00C30360" w:rsidRPr="003E4136">
        <w:rPr>
          <w:rFonts w:ascii="Arial" w:hAnsi="Arial" w:cs="Arial"/>
        </w:rPr>
        <w:t>Casastpete</w:t>
      </w:r>
      <w:proofErr w:type="spellEnd"/>
      <w:r w:rsidR="00C30360" w:rsidRPr="003E4136">
        <w:rPr>
          <w:rFonts w:ascii="Arial" w:hAnsi="Arial" w:cs="Arial"/>
        </w:rPr>
        <w:t>, 2024)</w:t>
      </w:r>
    </w:p>
    <w:p w14:paraId="2F8F6F5B" w14:textId="49CA62CA" w:rsidR="000E111F" w:rsidRPr="003E4136" w:rsidRDefault="000E111F" w:rsidP="003E4136">
      <w:pPr>
        <w:pStyle w:val="Heading1"/>
      </w:pPr>
      <w:r w:rsidRPr="003E4136">
        <w:br/>
      </w:r>
      <w:bookmarkStart w:id="11" w:name="_Toc183683669"/>
      <w:r w:rsidRPr="003E4136">
        <w:t>Legal control</w:t>
      </w:r>
      <w:bookmarkEnd w:id="11"/>
      <w:r w:rsidRPr="003E4136">
        <w:t xml:space="preserve"> </w:t>
      </w:r>
    </w:p>
    <w:p w14:paraId="7394CB27" w14:textId="3018BB7B" w:rsidR="00C30360" w:rsidRPr="003E4136" w:rsidRDefault="00C30360" w:rsidP="000E111F">
      <w:pPr>
        <w:rPr>
          <w:rFonts w:ascii="Arial" w:hAnsi="Arial" w:cs="Arial"/>
        </w:rPr>
      </w:pPr>
      <w:r w:rsidRPr="003E4136">
        <w:rPr>
          <w:rFonts w:ascii="Arial" w:hAnsi="Arial" w:cs="Arial"/>
        </w:rPr>
        <w:t xml:space="preserve">In 2021, only 21% of individuals dealt with under the criminal justice system were women, and women make up on 4% of prisoners in long term custody in the UK </w:t>
      </w:r>
      <w:r w:rsidRPr="003E4136">
        <w:rPr>
          <w:rFonts w:ascii="Arial" w:hAnsi="Arial" w:cs="Arial"/>
        </w:rPr>
        <w:t>(Smith, 2022)</w:t>
      </w:r>
      <w:r w:rsidR="003B4308" w:rsidRPr="003E4136">
        <w:rPr>
          <w:rFonts w:ascii="Arial" w:hAnsi="Arial" w:cs="Arial"/>
        </w:rPr>
        <w:t xml:space="preserve"> however, </w:t>
      </w:r>
      <w:r w:rsidR="003B4308" w:rsidRPr="003E4136">
        <w:rPr>
          <w:rFonts w:ascii="Arial" w:hAnsi="Arial" w:cs="Arial"/>
        </w:rPr>
        <w:t xml:space="preserve">Women are </w:t>
      </w:r>
      <w:r w:rsidR="003B4308" w:rsidRPr="003E4136">
        <w:rPr>
          <w:rFonts w:ascii="Arial" w:hAnsi="Arial" w:cs="Arial"/>
        </w:rPr>
        <w:t xml:space="preserve">statistically likely to be </w:t>
      </w:r>
      <w:r w:rsidR="003B4308" w:rsidRPr="003E4136">
        <w:rPr>
          <w:rFonts w:ascii="Arial" w:hAnsi="Arial" w:cs="Arial"/>
        </w:rPr>
        <w:t xml:space="preserve">punished more harshly for lesser offences; criminalised more quickly and </w:t>
      </w:r>
      <w:r w:rsidR="003B4308" w:rsidRPr="003E4136">
        <w:rPr>
          <w:rFonts w:ascii="Arial" w:hAnsi="Arial" w:cs="Arial"/>
        </w:rPr>
        <w:t>be victim to longer term and harsher</w:t>
      </w:r>
      <w:r w:rsidR="003B4308" w:rsidRPr="003E4136">
        <w:rPr>
          <w:rFonts w:ascii="Arial" w:hAnsi="Arial" w:cs="Arial"/>
        </w:rPr>
        <w:t xml:space="preserve"> consequences in terms of </w:t>
      </w:r>
      <w:r w:rsidR="003B4308" w:rsidRPr="003E4136">
        <w:rPr>
          <w:rFonts w:ascii="Arial" w:hAnsi="Arial" w:cs="Arial"/>
        </w:rPr>
        <w:t>“</w:t>
      </w:r>
      <w:r w:rsidR="003B4308" w:rsidRPr="003E4136">
        <w:rPr>
          <w:rFonts w:ascii="Arial" w:hAnsi="Arial" w:cs="Arial"/>
        </w:rPr>
        <w:t>housing, family support, economic impact, access to and relationships with children, social networks and employment after prison</w:t>
      </w:r>
      <w:r w:rsidR="003B4308" w:rsidRPr="003E4136">
        <w:rPr>
          <w:rFonts w:ascii="Arial" w:hAnsi="Arial" w:cs="Arial"/>
        </w:rPr>
        <w:t>”</w:t>
      </w:r>
      <w:r w:rsidR="003B4308" w:rsidRPr="003E4136">
        <w:rPr>
          <w:rFonts w:ascii="Arial" w:hAnsi="Arial" w:cs="Arial"/>
        </w:rPr>
        <w:t>.</w:t>
      </w:r>
    </w:p>
    <w:p w14:paraId="2337F1E8" w14:textId="3756AA68" w:rsidR="003B4308" w:rsidRPr="003E4136" w:rsidRDefault="003B4308" w:rsidP="000E111F">
      <w:pPr>
        <w:rPr>
          <w:rFonts w:ascii="Arial" w:hAnsi="Arial" w:cs="Arial"/>
        </w:rPr>
      </w:pPr>
      <w:r w:rsidRPr="003E4136">
        <w:rPr>
          <w:rFonts w:ascii="Arial" w:hAnsi="Arial" w:cs="Arial"/>
        </w:rPr>
        <w:t xml:space="preserve">A report by the Ministry of Justice found that </w:t>
      </w:r>
      <w:proofErr w:type="gramStart"/>
      <w:r w:rsidRPr="003E4136">
        <w:rPr>
          <w:rFonts w:ascii="Arial" w:hAnsi="Arial" w:cs="Arial"/>
        </w:rPr>
        <w:t>In</w:t>
      </w:r>
      <w:proofErr w:type="gramEnd"/>
      <w:r w:rsidRPr="003E4136">
        <w:rPr>
          <w:rFonts w:ascii="Arial" w:hAnsi="Arial" w:cs="Arial"/>
        </w:rPr>
        <w:t xml:space="preserve"> 2019</w:t>
      </w:r>
      <w:r w:rsidRPr="003E4136">
        <w:rPr>
          <w:rFonts w:ascii="Arial" w:hAnsi="Arial" w:cs="Arial"/>
        </w:rPr>
        <w:t xml:space="preserve"> “</w:t>
      </w:r>
      <w:r w:rsidRPr="003E4136">
        <w:rPr>
          <w:rFonts w:ascii="Arial" w:hAnsi="Arial" w:cs="Arial"/>
        </w:rPr>
        <w:t>74% of those convicted for TV licence evasion were female. This offence accounted for 30% of all female convictions, compared to 4% of male convictions</w:t>
      </w:r>
      <w:r w:rsidRPr="003E4136">
        <w:rPr>
          <w:rFonts w:ascii="Arial" w:hAnsi="Arial" w:cs="Arial"/>
        </w:rPr>
        <w:t xml:space="preserve">” </w:t>
      </w:r>
      <w:r w:rsidRPr="003E4136">
        <w:rPr>
          <w:rFonts w:ascii="Arial" w:hAnsi="Arial" w:cs="Arial"/>
        </w:rPr>
        <w:t>(Revolving, 2023b)</w:t>
      </w:r>
      <w:r w:rsidRPr="003E4136">
        <w:rPr>
          <w:rFonts w:ascii="Arial" w:hAnsi="Arial" w:cs="Arial"/>
        </w:rPr>
        <w:t xml:space="preserve"> this </w:t>
      </w:r>
      <w:proofErr w:type="gramStart"/>
      <w:r w:rsidRPr="003E4136">
        <w:rPr>
          <w:rFonts w:ascii="Arial" w:hAnsi="Arial" w:cs="Arial"/>
        </w:rPr>
        <w:t>despite the fact that</w:t>
      </w:r>
      <w:proofErr w:type="gramEnd"/>
      <w:r w:rsidRPr="003E4136">
        <w:rPr>
          <w:rFonts w:ascii="Arial" w:hAnsi="Arial" w:cs="Arial"/>
        </w:rPr>
        <w:t xml:space="preserve"> women are more likely to have caring responsibilities, and risk more in losing children or a home while incarcerated.</w:t>
      </w:r>
    </w:p>
    <w:p w14:paraId="6DC61D5E" w14:textId="02B8D851" w:rsidR="003B4308" w:rsidRPr="003E4136" w:rsidRDefault="003B4308" w:rsidP="000E111F">
      <w:pPr>
        <w:rPr>
          <w:rFonts w:ascii="Arial" w:hAnsi="Arial" w:cs="Arial"/>
        </w:rPr>
      </w:pPr>
      <w:r w:rsidRPr="003E4136">
        <w:rPr>
          <w:rFonts w:ascii="Arial" w:hAnsi="Arial" w:cs="Arial"/>
        </w:rPr>
        <w:t xml:space="preserve">Women have a distinct profile of ‘legal need’, which differs to the needs required by men, statistics show that predominantly, women require the assistance of the legal system for </w:t>
      </w:r>
      <w:r w:rsidRPr="003E4136">
        <w:rPr>
          <w:rFonts w:ascii="Arial" w:hAnsi="Arial" w:cs="Arial"/>
        </w:rPr>
        <w:t>welfare law</w:t>
      </w:r>
      <w:r w:rsidRPr="003E4136">
        <w:rPr>
          <w:rFonts w:ascii="Arial" w:hAnsi="Arial" w:cs="Arial"/>
        </w:rPr>
        <w:t>,</w:t>
      </w:r>
      <w:r w:rsidRPr="003E4136">
        <w:rPr>
          <w:rFonts w:ascii="Arial" w:hAnsi="Arial" w:cs="Arial"/>
        </w:rPr>
        <w:t xml:space="preserve"> Employment, housing, social security, family, and immigration and asylum (De La Roche, 2024)</w:t>
      </w:r>
      <w:r w:rsidRPr="003E4136">
        <w:rPr>
          <w:rFonts w:ascii="Arial" w:hAnsi="Arial" w:cs="Arial"/>
        </w:rPr>
        <w:t xml:space="preserve"> yet these are the areas most affected by cuts to public funding. The restrictions of access to legal aid mean thousands of women are unable to access support</w:t>
      </w:r>
      <w:r w:rsidR="00F759BC" w:rsidRPr="003E4136">
        <w:rPr>
          <w:rFonts w:ascii="Arial" w:hAnsi="Arial" w:cs="Arial"/>
        </w:rPr>
        <w:t xml:space="preserve"> </w:t>
      </w:r>
      <w:r w:rsidR="00F759BC" w:rsidRPr="003E4136">
        <w:rPr>
          <w:rFonts w:ascii="Arial" w:hAnsi="Arial" w:cs="Arial"/>
        </w:rPr>
        <w:t xml:space="preserve">(A decade of cuts: Legal aid in tatters, </w:t>
      </w:r>
      <w:r w:rsidR="00F759BC" w:rsidRPr="003E4136">
        <w:rPr>
          <w:rFonts w:ascii="Arial" w:hAnsi="Arial" w:cs="Arial"/>
        </w:rPr>
        <w:t>2023</w:t>
      </w:r>
      <w:r w:rsidR="00F759BC" w:rsidRPr="003E4136">
        <w:rPr>
          <w:rFonts w:ascii="Arial" w:hAnsi="Arial" w:cs="Arial"/>
        </w:rPr>
        <w:t>)</w:t>
      </w:r>
      <w:r w:rsidRPr="003E4136">
        <w:rPr>
          <w:rFonts w:ascii="Arial" w:hAnsi="Arial" w:cs="Arial"/>
        </w:rPr>
        <w:t>.</w:t>
      </w:r>
    </w:p>
    <w:p w14:paraId="236189D8" w14:textId="575646A1" w:rsidR="003B4308" w:rsidRPr="003E4136" w:rsidRDefault="00FA133A" w:rsidP="003E4136">
      <w:pPr>
        <w:pStyle w:val="Heading1"/>
      </w:pPr>
      <w:bookmarkStart w:id="12" w:name="_Toc183683670"/>
      <w:r w:rsidRPr="003E4136">
        <w:t>Conclusion</w:t>
      </w:r>
      <w:bookmarkEnd w:id="12"/>
    </w:p>
    <w:p w14:paraId="588DCE95" w14:textId="312A4E66" w:rsidR="00F759BC" w:rsidRPr="003E4136" w:rsidRDefault="00F759BC" w:rsidP="000E111F">
      <w:pPr>
        <w:rPr>
          <w:rFonts w:ascii="Arial" w:hAnsi="Arial" w:cs="Arial"/>
        </w:rPr>
      </w:pPr>
      <w:r w:rsidRPr="003E4136">
        <w:rPr>
          <w:rFonts w:ascii="Arial" w:hAnsi="Arial" w:cs="Arial"/>
        </w:rPr>
        <w:t xml:space="preserve">The social control that ensures women suffer ongoing inequality, both in the UK and abroad, in the home, workplace and society in general is an ongoing problem, which despite reforms in policy, and the leaps made in the last century in </w:t>
      </w:r>
      <w:proofErr w:type="spellStart"/>
      <w:r w:rsidRPr="003E4136">
        <w:rPr>
          <w:rFonts w:ascii="Arial" w:hAnsi="Arial" w:cs="Arial"/>
        </w:rPr>
        <w:t>womens</w:t>
      </w:r>
      <w:proofErr w:type="spellEnd"/>
      <w:r w:rsidRPr="003E4136">
        <w:rPr>
          <w:rFonts w:ascii="Arial" w:hAnsi="Arial" w:cs="Arial"/>
        </w:rPr>
        <w:t xml:space="preserve">’ rights mean that women are still at a disadvantage. The unconscious ethnocentrism, that leads to social cloning and the continuing gender </w:t>
      </w:r>
      <w:proofErr w:type="spellStart"/>
      <w:r w:rsidRPr="003E4136">
        <w:rPr>
          <w:rFonts w:ascii="Arial" w:hAnsi="Arial" w:cs="Arial"/>
        </w:rPr>
        <w:t>paygap</w:t>
      </w:r>
      <w:proofErr w:type="spellEnd"/>
      <w:r w:rsidRPr="003E4136">
        <w:rPr>
          <w:rFonts w:ascii="Arial" w:hAnsi="Arial" w:cs="Arial"/>
        </w:rPr>
        <w:t xml:space="preserve"> as well as other systemic barriers that face women can only be challenged and changed by changing the message in the media and schools, and fostering attitudes of equity, rather than just equality. </w:t>
      </w:r>
    </w:p>
    <w:p w14:paraId="2929BBE6" w14:textId="1E9C5AAB" w:rsidR="00F759BC" w:rsidRPr="003E4136" w:rsidRDefault="00F759BC" w:rsidP="000E111F">
      <w:pPr>
        <w:rPr>
          <w:rFonts w:ascii="Arial" w:hAnsi="Arial" w:cs="Arial"/>
        </w:rPr>
      </w:pPr>
      <w:r w:rsidRPr="003E4136">
        <w:rPr>
          <w:rFonts w:ascii="Arial" w:hAnsi="Arial" w:cs="Arial"/>
        </w:rPr>
        <w:lastRenderedPageBreak/>
        <w:t>Internalised attitudes and behaviours can not be changed easily, and there must be a multi-generational approach to changing attitudes, as well as improving the legal system, to protect women in all areas, and ensuring that campaign</w:t>
      </w:r>
      <w:r w:rsidR="00FA133A" w:rsidRPr="003E4136">
        <w:rPr>
          <w:rFonts w:ascii="Arial" w:hAnsi="Arial" w:cs="Arial"/>
        </w:rPr>
        <w:t xml:space="preserve">ers and lobby groups are funded and provided with a platform. </w:t>
      </w:r>
    </w:p>
    <w:p w14:paraId="68F672FF" w14:textId="77777777" w:rsidR="001065BF" w:rsidRDefault="001065BF" w:rsidP="001065BF">
      <w:pPr>
        <w:jc w:val="center"/>
        <w:rPr>
          <w:rFonts w:ascii="Arial" w:hAnsi="Arial" w:cs="Arial"/>
          <w:i/>
          <w:iCs/>
          <w:highlight w:val="yellow"/>
          <w:u w:val="single"/>
        </w:rPr>
      </w:pPr>
    </w:p>
    <w:p w14:paraId="3A9019A6" w14:textId="7A95006F" w:rsidR="003E4136" w:rsidRDefault="003E4136" w:rsidP="003E4136">
      <w:pPr>
        <w:rPr>
          <w:rFonts w:ascii="Arial" w:hAnsi="Arial" w:cs="Arial"/>
        </w:rPr>
      </w:pPr>
      <w:r w:rsidRPr="003E4136">
        <w:rPr>
          <w:rFonts w:ascii="Arial" w:hAnsi="Arial" w:cs="Arial"/>
        </w:rPr>
        <w:t>(3394 words)</w:t>
      </w:r>
    </w:p>
    <w:p w14:paraId="66381575" w14:textId="77777777" w:rsidR="008F5188" w:rsidRDefault="008F5188" w:rsidP="003E4136">
      <w:pPr>
        <w:rPr>
          <w:rFonts w:ascii="Arial" w:hAnsi="Arial" w:cs="Arial"/>
        </w:rPr>
      </w:pPr>
    </w:p>
    <w:p w14:paraId="5060A8CA" w14:textId="77777777" w:rsidR="008F5188" w:rsidRDefault="008F5188" w:rsidP="003E4136">
      <w:pPr>
        <w:rPr>
          <w:rFonts w:ascii="Arial" w:hAnsi="Arial" w:cs="Arial"/>
        </w:rPr>
      </w:pPr>
    </w:p>
    <w:p w14:paraId="4E7C94FD" w14:textId="77777777" w:rsidR="008F5188" w:rsidRDefault="008F5188" w:rsidP="003E4136">
      <w:pPr>
        <w:rPr>
          <w:rFonts w:ascii="Arial" w:hAnsi="Arial" w:cs="Arial"/>
        </w:rPr>
      </w:pPr>
    </w:p>
    <w:p w14:paraId="557D5E88" w14:textId="77777777" w:rsidR="008F5188" w:rsidRDefault="008F5188" w:rsidP="003E4136">
      <w:pPr>
        <w:rPr>
          <w:rFonts w:ascii="Arial" w:hAnsi="Arial" w:cs="Arial"/>
        </w:rPr>
      </w:pPr>
    </w:p>
    <w:p w14:paraId="56AD0D5D" w14:textId="77777777" w:rsidR="008F5188" w:rsidRDefault="008F5188" w:rsidP="003E4136">
      <w:pPr>
        <w:rPr>
          <w:rFonts w:ascii="Arial" w:hAnsi="Arial" w:cs="Arial"/>
        </w:rPr>
      </w:pPr>
    </w:p>
    <w:p w14:paraId="2A97B210" w14:textId="77777777" w:rsidR="008F5188" w:rsidRDefault="008F5188" w:rsidP="003E4136">
      <w:pPr>
        <w:rPr>
          <w:rFonts w:ascii="Arial" w:hAnsi="Arial" w:cs="Arial"/>
        </w:rPr>
      </w:pPr>
    </w:p>
    <w:p w14:paraId="1BEE20E9" w14:textId="77777777" w:rsidR="008F5188" w:rsidRDefault="008F5188" w:rsidP="003E4136">
      <w:pPr>
        <w:rPr>
          <w:rFonts w:ascii="Arial" w:hAnsi="Arial" w:cs="Arial"/>
        </w:rPr>
      </w:pPr>
    </w:p>
    <w:p w14:paraId="3C0B5360" w14:textId="77777777" w:rsidR="008F5188" w:rsidRDefault="008F5188" w:rsidP="003E4136">
      <w:pPr>
        <w:rPr>
          <w:rFonts w:ascii="Arial" w:hAnsi="Arial" w:cs="Arial"/>
        </w:rPr>
      </w:pPr>
    </w:p>
    <w:p w14:paraId="210B2A7F" w14:textId="77777777" w:rsidR="008F5188" w:rsidRDefault="008F5188" w:rsidP="003E4136">
      <w:pPr>
        <w:rPr>
          <w:rFonts w:ascii="Arial" w:hAnsi="Arial" w:cs="Arial"/>
        </w:rPr>
      </w:pPr>
    </w:p>
    <w:p w14:paraId="23D15EBD" w14:textId="77777777" w:rsidR="008F5188" w:rsidRDefault="008F5188" w:rsidP="003E4136">
      <w:pPr>
        <w:rPr>
          <w:rFonts w:ascii="Arial" w:hAnsi="Arial" w:cs="Arial"/>
        </w:rPr>
      </w:pPr>
    </w:p>
    <w:p w14:paraId="194159C7" w14:textId="77777777" w:rsidR="008F5188" w:rsidRDefault="008F5188" w:rsidP="003E4136">
      <w:pPr>
        <w:rPr>
          <w:rFonts w:ascii="Arial" w:hAnsi="Arial" w:cs="Arial"/>
        </w:rPr>
      </w:pPr>
    </w:p>
    <w:p w14:paraId="03565D58" w14:textId="77777777" w:rsidR="008F5188" w:rsidRDefault="008F5188" w:rsidP="003E4136">
      <w:pPr>
        <w:rPr>
          <w:rFonts w:ascii="Arial" w:hAnsi="Arial" w:cs="Arial"/>
        </w:rPr>
      </w:pPr>
    </w:p>
    <w:p w14:paraId="4E2E0EB0" w14:textId="77777777" w:rsidR="008F5188" w:rsidRDefault="008F5188" w:rsidP="003E4136">
      <w:pPr>
        <w:rPr>
          <w:rFonts w:ascii="Arial" w:hAnsi="Arial" w:cs="Arial"/>
        </w:rPr>
      </w:pPr>
    </w:p>
    <w:p w14:paraId="6B6371F2" w14:textId="77777777" w:rsidR="008F5188" w:rsidRDefault="008F5188" w:rsidP="003E4136">
      <w:pPr>
        <w:rPr>
          <w:rFonts w:ascii="Arial" w:hAnsi="Arial" w:cs="Arial"/>
        </w:rPr>
      </w:pPr>
    </w:p>
    <w:p w14:paraId="14616B09" w14:textId="77777777" w:rsidR="008F5188" w:rsidRDefault="008F5188" w:rsidP="003E4136">
      <w:pPr>
        <w:rPr>
          <w:rFonts w:ascii="Arial" w:hAnsi="Arial" w:cs="Arial"/>
        </w:rPr>
      </w:pPr>
    </w:p>
    <w:p w14:paraId="06B620D0" w14:textId="77777777" w:rsidR="008F5188" w:rsidRDefault="008F5188" w:rsidP="003E4136">
      <w:pPr>
        <w:rPr>
          <w:rFonts w:ascii="Arial" w:hAnsi="Arial" w:cs="Arial"/>
        </w:rPr>
      </w:pPr>
    </w:p>
    <w:p w14:paraId="02FBADA6" w14:textId="77777777" w:rsidR="008F5188" w:rsidRDefault="008F5188" w:rsidP="003E4136">
      <w:pPr>
        <w:rPr>
          <w:rFonts w:ascii="Arial" w:hAnsi="Arial" w:cs="Arial"/>
        </w:rPr>
      </w:pPr>
    </w:p>
    <w:p w14:paraId="5EEB400C" w14:textId="77777777" w:rsidR="008F5188" w:rsidRDefault="008F5188" w:rsidP="003E4136">
      <w:pPr>
        <w:rPr>
          <w:rFonts w:ascii="Arial" w:hAnsi="Arial" w:cs="Arial"/>
        </w:rPr>
      </w:pPr>
    </w:p>
    <w:p w14:paraId="7F2D4D8F" w14:textId="77777777" w:rsidR="008F5188" w:rsidRDefault="008F5188" w:rsidP="003E4136">
      <w:pPr>
        <w:rPr>
          <w:rFonts w:ascii="Arial" w:hAnsi="Arial" w:cs="Arial"/>
        </w:rPr>
      </w:pPr>
    </w:p>
    <w:p w14:paraId="094A9EAE" w14:textId="77777777" w:rsidR="008F5188" w:rsidRDefault="008F5188" w:rsidP="003E4136">
      <w:pPr>
        <w:rPr>
          <w:rFonts w:ascii="Arial" w:hAnsi="Arial" w:cs="Arial"/>
        </w:rPr>
      </w:pPr>
    </w:p>
    <w:p w14:paraId="696C9230" w14:textId="77777777" w:rsidR="008F5188" w:rsidRPr="003E4136" w:rsidRDefault="008F5188" w:rsidP="003E4136">
      <w:pPr>
        <w:rPr>
          <w:rFonts w:ascii="Arial" w:hAnsi="Arial" w:cs="Arial"/>
        </w:rPr>
      </w:pPr>
    </w:p>
    <w:p w14:paraId="39DD407F" w14:textId="77777777" w:rsidR="003E4136" w:rsidRPr="003E4136" w:rsidRDefault="003E4136" w:rsidP="003E4136">
      <w:pPr>
        <w:pStyle w:val="Heading1"/>
        <w:rPr>
          <w:rFonts w:eastAsia="Times New Roman"/>
          <w:lang w:val="nl-NL" w:eastAsia="en-GB"/>
        </w:rPr>
      </w:pPr>
      <w:bookmarkStart w:id="13" w:name="_Toc183683671"/>
      <w:r w:rsidRPr="003E4136">
        <w:rPr>
          <w:rFonts w:eastAsia="Times New Roman"/>
          <w:lang w:val="nl-NL" w:eastAsia="en-GB"/>
        </w:rPr>
        <w:lastRenderedPageBreak/>
        <w:t>References</w:t>
      </w:r>
      <w:bookmarkEnd w:id="13"/>
    </w:p>
    <w:p w14:paraId="78001CCD" w14:textId="77777777" w:rsidR="003E4136" w:rsidRPr="003E4136" w:rsidRDefault="003E4136" w:rsidP="003E4136">
      <w:pPr>
        <w:spacing w:after="0" w:line="480" w:lineRule="auto"/>
        <w:ind w:firstLine="720"/>
        <w:rPr>
          <w:rFonts w:ascii="Arial" w:eastAsia="Times New Roman" w:hAnsi="Arial" w:cs="Arial"/>
          <w:kern w:val="0"/>
          <w:lang w:eastAsia="en-GB"/>
          <w14:ligatures w14:val="none"/>
        </w:rPr>
      </w:pPr>
      <w:r w:rsidRPr="003E4136">
        <w:rPr>
          <w:rFonts w:ascii="Arial" w:eastAsia="Times New Roman" w:hAnsi="Arial" w:cs="Arial"/>
          <w:i/>
          <w:iCs/>
          <w:kern w:val="0"/>
          <w:lang w:eastAsia="en-GB"/>
          <w14:ligatures w14:val="none"/>
        </w:rPr>
        <w:t>A decade of cuts: Legal aid in tatters</w:t>
      </w:r>
      <w:r w:rsidRPr="003E4136">
        <w:rPr>
          <w:rFonts w:ascii="Arial" w:eastAsia="Times New Roman" w:hAnsi="Arial" w:cs="Arial"/>
          <w:kern w:val="0"/>
          <w:lang w:eastAsia="en-GB"/>
          <w14:ligatures w14:val="none"/>
        </w:rPr>
        <w:t xml:space="preserve"> (no date). https://www.lawsociety.org.uk/contact-or-visit-us/press-office/press-releases/a-decade-of-cuts-legal-aid-in-tatters.</w:t>
      </w:r>
    </w:p>
    <w:p w14:paraId="375DEE6B" w14:textId="77777777" w:rsidR="003E4136" w:rsidRPr="003E4136" w:rsidRDefault="003E4136" w:rsidP="003E4136">
      <w:pPr>
        <w:spacing w:after="0" w:line="480" w:lineRule="auto"/>
        <w:ind w:firstLine="720"/>
        <w:rPr>
          <w:rFonts w:ascii="Arial" w:eastAsia="Times New Roman" w:hAnsi="Arial" w:cs="Arial"/>
          <w:kern w:val="0"/>
          <w:lang w:eastAsia="en-GB"/>
          <w14:ligatures w14:val="none"/>
        </w:rPr>
      </w:pPr>
      <w:r w:rsidRPr="003E4136">
        <w:rPr>
          <w:rFonts w:ascii="Arial" w:eastAsia="Times New Roman" w:hAnsi="Arial" w:cs="Arial"/>
          <w:kern w:val="0"/>
          <w:lang w:eastAsia="en-GB"/>
          <w14:ligatures w14:val="none"/>
        </w:rPr>
        <w:t xml:space="preserve">Acker, J. (2013) &amp;apos;Book review symposium: Sylvia Walby, Globalization and Inequalities: Complexity and Contested Modernities,&amp;apos; </w:t>
      </w:r>
      <w:r w:rsidRPr="003E4136">
        <w:rPr>
          <w:rFonts w:ascii="Arial" w:eastAsia="Times New Roman" w:hAnsi="Arial" w:cs="Arial"/>
          <w:i/>
          <w:iCs/>
          <w:kern w:val="0"/>
          <w:lang w:eastAsia="en-GB"/>
          <w14:ligatures w14:val="none"/>
        </w:rPr>
        <w:t>Work Employment and Society</w:t>
      </w:r>
      <w:r w:rsidRPr="003E4136">
        <w:rPr>
          <w:rFonts w:ascii="Arial" w:eastAsia="Times New Roman" w:hAnsi="Arial" w:cs="Arial"/>
          <w:kern w:val="0"/>
          <w:lang w:eastAsia="en-GB"/>
          <w14:ligatures w14:val="none"/>
        </w:rPr>
        <w:t>, 27(4), pp. 722–724. https://doi.org/10.1177/0950017013487576.</w:t>
      </w:r>
    </w:p>
    <w:p w14:paraId="299041C9" w14:textId="77777777" w:rsidR="003E4136" w:rsidRPr="003E4136" w:rsidRDefault="003E4136" w:rsidP="003E4136">
      <w:pPr>
        <w:spacing w:after="0" w:line="480" w:lineRule="auto"/>
        <w:ind w:firstLine="720"/>
        <w:rPr>
          <w:rFonts w:ascii="Arial" w:eastAsia="Times New Roman" w:hAnsi="Arial" w:cs="Arial"/>
          <w:kern w:val="0"/>
          <w:lang w:eastAsia="en-GB"/>
          <w14:ligatures w14:val="none"/>
        </w:rPr>
      </w:pPr>
      <w:r w:rsidRPr="003E4136">
        <w:rPr>
          <w:rFonts w:ascii="Arial" w:eastAsia="Times New Roman" w:hAnsi="Arial" w:cs="Arial"/>
          <w:kern w:val="0"/>
          <w:lang w:eastAsia="en-GB"/>
          <w14:ligatures w14:val="none"/>
        </w:rPr>
        <w:t xml:space="preserve">Adovasio, J.M., Soffer, O. and Page, J. (2007) </w:t>
      </w:r>
      <w:r w:rsidRPr="003E4136">
        <w:rPr>
          <w:rFonts w:ascii="Arial" w:eastAsia="Times New Roman" w:hAnsi="Arial" w:cs="Arial"/>
          <w:i/>
          <w:iCs/>
          <w:kern w:val="0"/>
          <w:lang w:eastAsia="en-GB"/>
          <w14:ligatures w14:val="none"/>
        </w:rPr>
        <w:t>The Invisible Sex: Uncovering the true roles of women in Prehistory</w:t>
      </w:r>
      <w:r w:rsidRPr="003E4136">
        <w:rPr>
          <w:rFonts w:ascii="Arial" w:eastAsia="Times New Roman" w:hAnsi="Arial" w:cs="Arial"/>
          <w:kern w:val="0"/>
          <w:lang w:eastAsia="en-GB"/>
          <w14:ligatures w14:val="none"/>
        </w:rPr>
        <w:t>. http://ci.nii.ac.jp/ncid/BA91719470.</w:t>
      </w:r>
    </w:p>
    <w:p w14:paraId="1E38775D" w14:textId="77777777" w:rsidR="003E4136" w:rsidRPr="003E4136" w:rsidRDefault="003E4136" w:rsidP="003E4136">
      <w:pPr>
        <w:spacing w:after="0" w:line="480" w:lineRule="auto"/>
        <w:ind w:firstLine="720"/>
        <w:rPr>
          <w:rFonts w:ascii="Arial" w:eastAsia="Times New Roman" w:hAnsi="Arial" w:cs="Arial"/>
          <w:kern w:val="0"/>
          <w:lang w:eastAsia="en-GB"/>
          <w14:ligatures w14:val="none"/>
        </w:rPr>
      </w:pPr>
      <w:r w:rsidRPr="003E4136">
        <w:rPr>
          <w:rFonts w:ascii="Arial" w:eastAsia="Times New Roman" w:hAnsi="Arial" w:cs="Arial"/>
          <w:kern w:val="0"/>
          <w:lang w:eastAsia="en-GB"/>
          <w14:ligatures w14:val="none"/>
        </w:rPr>
        <w:t xml:space="preserve">Ahuja, A. (2024) &amp;apos;Women have a lot on their Petri dish,&amp;apos; </w:t>
      </w:r>
      <w:r w:rsidRPr="003E4136">
        <w:rPr>
          <w:rFonts w:ascii="Arial" w:eastAsia="Times New Roman" w:hAnsi="Arial" w:cs="Arial"/>
          <w:i/>
          <w:iCs/>
          <w:kern w:val="0"/>
          <w:lang w:eastAsia="en-GB"/>
          <w14:ligatures w14:val="none"/>
        </w:rPr>
        <w:t>Financial Times</w:t>
      </w:r>
      <w:r w:rsidRPr="003E4136">
        <w:rPr>
          <w:rFonts w:ascii="Arial" w:eastAsia="Times New Roman" w:hAnsi="Arial" w:cs="Arial"/>
          <w:kern w:val="0"/>
          <w:lang w:eastAsia="en-GB"/>
          <w14:ligatures w14:val="none"/>
        </w:rPr>
        <w:t>, 12 June. https://www.ft.com/content/c1570447-e328-46aa-bc29-68f50262f16c.</w:t>
      </w:r>
    </w:p>
    <w:p w14:paraId="7747FF3A" w14:textId="77777777" w:rsidR="003E4136" w:rsidRPr="003E4136" w:rsidRDefault="003E4136" w:rsidP="003E4136">
      <w:pPr>
        <w:spacing w:after="0" w:line="480" w:lineRule="auto"/>
        <w:ind w:firstLine="720"/>
        <w:rPr>
          <w:rFonts w:ascii="Arial" w:eastAsia="Times New Roman" w:hAnsi="Arial" w:cs="Arial"/>
          <w:kern w:val="0"/>
          <w:lang w:eastAsia="en-GB"/>
          <w14:ligatures w14:val="none"/>
        </w:rPr>
      </w:pPr>
      <w:r w:rsidRPr="003E4136">
        <w:rPr>
          <w:rFonts w:ascii="Arial" w:eastAsia="Times New Roman" w:hAnsi="Arial" w:cs="Arial"/>
          <w:kern w:val="0"/>
          <w:lang w:eastAsia="en-GB"/>
          <w14:ligatures w14:val="none"/>
        </w:rPr>
        <w:t xml:space="preserve">Annandale, E. (1998) </w:t>
      </w:r>
      <w:r w:rsidRPr="003E4136">
        <w:rPr>
          <w:rFonts w:ascii="Arial" w:eastAsia="Times New Roman" w:hAnsi="Arial" w:cs="Arial"/>
          <w:i/>
          <w:iCs/>
          <w:kern w:val="0"/>
          <w:lang w:eastAsia="en-GB"/>
          <w14:ligatures w14:val="none"/>
        </w:rPr>
        <w:t>The Sociology of Health and Medicine: A Critical Introduction</w:t>
      </w:r>
      <w:r w:rsidRPr="003E4136">
        <w:rPr>
          <w:rFonts w:ascii="Arial" w:eastAsia="Times New Roman" w:hAnsi="Arial" w:cs="Arial"/>
          <w:kern w:val="0"/>
          <w:lang w:eastAsia="en-GB"/>
          <w14:ligatures w14:val="none"/>
        </w:rPr>
        <w:t>. https://ci.nii.ac.jp/ncid/BB17303325.</w:t>
      </w:r>
    </w:p>
    <w:p w14:paraId="2017491C" w14:textId="77777777" w:rsidR="003E4136" w:rsidRPr="003E4136" w:rsidRDefault="003E4136" w:rsidP="003E4136">
      <w:pPr>
        <w:spacing w:after="0" w:line="480" w:lineRule="auto"/>
        <w:ind w:firstLine="720"/>
        <w:rPr>
          <w:rFonts w:ascii="Arial" w:eastAsia="Times New Roman" w:hAnsi="Arial" w:cs="Arial"/>
          <w:kern w:val="0"/>
          <w:lang w:eastAsia="en-GB"/>
          <w14:ligatures w14:val="none"/>
        </w:rPr>
      </w:pPr>
      <w:r w:rsidRPr="003E4136">
        <w:rPr>
          <w:rFonts w:ascii="Arial" w:eastAsia="Times New Roman" w:hAnsi="Arial" w:cs="Arial"/>
          <w:i/>
          <w:iCs/>
          <w:kern w:val="0"/>
          <w:lang w:eastAsia="en-GB"/>
          <w14:ligatures w14:val="none"/>
        </w:rPr>
        <w:t>Annual Survey Report 2023 | Young Women&amp;#039;s Trust</w:t>
      </w:r>
      <w:r w:rsidRPr="003E4136">
        <w:rPr>
          <w:rFonts w:ascii="Arial" w:eastAsia="Times New Roman" w:hAnsi="Arial" w:cs="Arial"/>
          <w:kern w:val="0"/>
          <w:lang w:eastAsia="en-GB"/>
          <w14:ligatures w14:val="none"/>
        </w:rPr>
        <w:t xml:space="preserve"> (2024). https://www.youngwomenstrust.org/our-research/the-long-road-to-change-annual-survey-2023/.</w:t>
      </w:r>
    </w:p>
    <w:p w14:paraId="385C8686" w14:textId="77777777" w:rsidR="003E4136" w:rsidRPr="003E4136" w:rsidRDefault="003E4136" w:rsidP="003E4136">
      <w:pPr>
        <w:spacing w:after="0" w:line="480" w:lineRule="auto"/>
        <w:ind w:firstLine="720"/>
        <w:rPr>
          <w:rFonts w:ascii="Arial" w:eastAsia="Times New Roman" w:hAnsi="Arial" w:cs="Arial"/>
          <w:kern w:val="0"/>
          <w:lang w:eastAsia="en-GB"/>
          <w14:ligatures w14:val="none"/>
        </w:rPr>
      </w:pPr>
      <w:r w:rsidRPr="003E4136">
        <w:rPr>
          <w:rFonts w:ascii="Arial" w:eastAsia="Times New Roman" w:hAnsi="Arial" w:cs="Arial"/>
          <w:kern w:val="0"/>
          <w:lang w:eastAsia="en-GB"/>
          <w14:ligatures w14:val="none"/>
        </w:rPr>
        <w:t xml:space="preserve">Beede, D.N. </w:t>
      </w:r>
      <w:r w:rsidRPr="003E4136">
        <w:rPr>
          <w:rFonts w:ascii="Arial" w:eastAsia="Times New Roman" w:hAnsi="Arial" w:cs="Arial"/>
          <w:i/>
          <w:iCs/>
          <w:kern w:val="0"/>
          <w:lang w:eastAsia="en-GB"/>
          <w14:ligatures w14:val="none"/>
        </w:rPr>
        <w:t>et al.</w:t>
      </w:r>
      <w:r w:rsidRPr="003E4136">
        <w:rPr>
          <w:rFonts w:ascii="Arial" w:eastAsia="Times New Roman" w:hAnsi="Arial" w:cs="Arial"/>
          <w:kern w:val="0"/>
          <w:lang w:eastAsia="en-GB"/>
          <w14:ligatures w14:val="none"/>
        </w:rPr>
        <w:t xml:space="preserve"> (2011) &amp;apos;Women in STEM: A Gender Gap to Innovation,&amp;apos; </w:t>
      </w:r>
      <w:r w:rsidRPr="003E4136">
        <w:rPr>
          <w:rFonts w:ascii="Arial" w:eastAsia="Times New Roman" w:hAnsi="Arial" w:cs="Arial"/>
          <w:i/>
          <w:iCs/>
          <w:kern w:val="0"/>
          <w:lang w:eastAsia="en-GB"/>
          <w14:ligatures w14:val="none"/>
        </w:rPr>
        <w:t>SSRN Electronic Journal</w:t>
      </w:r>
      <w:r w:rsidRPr="003E4136">
        <w:rPr>
          <w:rFonts w:ascii="Arial" w:eastAsia="Times New Roman" w:hAnsi="Arial" w:cs="Arial"/>
          <w:kern w:val="0"/>
          <w:lang w:eastAsia="en-GB"/>
          <w14:ligatures w14:val="none"/>
        </w:rPr>
        <w:t xml:space="preserve"> [Preprint]. https://doi.org/10.2139/ssrn.1964782.</w:t>
      </w:r>
    </w:p>
    <w:p w14:paraId="50A183DE" w14:textId="77777777" w:rsidR="003E4136" w:rsidRPr="003E4136" w:rsidRDefault="003E4136" w:rsidP="003E4136">
      <w:pPr>
        <w:spacing w:after="0" w:line="480" w:lineRule="auto"/>
        <w:ind w:firstLine="720"/>
        <w:rPr>
          <w:rFonts w:ascii="Arial" w:eastAsia="Times New Roman" w:hAnsi="Arial" w:cs="Arial"/>
          <w:kern w:val="0"/>
          <w:lang w:eastAsia="en-GB"/>
          <w14:ligatures w14:val="none"/>
        </w:rPr>
      </w:pPr>
      <w:r w:rsidRPr="003E4136">
        <w:rPr>
          <w:rFonts w:ascii="Arial" w:eastAsia="Times New Roman" w:hAnsi="Arial" w:cs="Arial"/>
          <w:kern w:val="0"/>
          <w:lang w:eastAsia="en-GB"/>
          <w14:ligatures w14:val="none"/>
        </w:rPr>
        <w:t xml:space="preserve">Booth, R. (2024) &amp;apos;Young British women struggle more than men to progress at work, study suggests,&amp;apos; </w:t>
      </w:r>
      <w:r w:rsidRPr="003E4136">
        <w:rPr>
          <w:rFonts w:ascii="Arial" w:eastAsia="Times New Roman" w:hAnsi="Arial" w:cs="Arial"/>
          <w:i/>
          <w:iCs/>
          <w:kern w:val="0"/>
          <w:lang w:eastAsia="en-GB"/>
          <w14:ligatures w14:val="none"/>
        </w:rPr>
        <w:t>The Guardian</w:t>
      </w:r>
      <w:r w:rsidRPr="003E4136">
        <w:rPr>
          <w:rFonts w:ascii="Arial" w:eastAsia="Times New Roman" w:hAnsi="Arial" w:cs="Arial"/>
          <w:kern w:val="0"/>
          <w:lang w:eastAsia="en-GB"/>
          <w14:ligatures w14:val="none"/>
        </w:rPr>
        <w:t>, 6 October. https://www.theguardian.com/society/2024/oct/06/young-british-women-struggle-more-than-men-progress-work-study#:~:text=1%20month%20old-,Young%20British%20women%20struggle%20more%20than,progress%20at%20wor</w:t>
      </w:r>
      <w:r w:rsidRPr="003E4136">
        <w:rPr>
          <w:rFonts w:ascii="Arial" w:eastAsia="Times New Roman" w:hAnsi="Arial" w:cs="Arial"/>
          <w:kern w:val="0"/>
          <w:lang w:eastAsia="en-GB"/>
          <w14:ligatures w14:val="none"/>
        </w:rPr>
        <w:lastRenderedPageBreak/>
        <w:t>k%2C%20study%20suggests&amp;text=Young%20women%20are%20struggling%20to,&amp;apos;t%20enjoy%2C%20research%20suggests.</w:t>
      </w:r>
    </w:p>
    <w:p w14:paraId="5F4CB689" w14:textId="77777777" w:rsidR="003E4136" w:rsidRPr="003E4136" w:rsidRDefault="003E4136" w:rsidP="003E4136">
      <w:pPr>
        <w:spacing w:after="0" w:line="480" w:lineRule="auto"/>
        <w:ind w:firstLine="720"/>
        <w:rPr>
          <w:rFonts w:ascii="Arial" w:eastAsia="Times New Roman" w:hAnsi="Arial" w:cs="Arial"/>
          <w:kern w:val="0"/>
          <w:lang w:eastAsia="en-GB"/>
          <w14:ligatures w14:val="none"/>
        </w:rPr>
      </w:pPr>
      <w:r w:rsidRPr="003E4136">
        <w:rPr>
          <w:rFonts w:ascii="Arial" w:eastAsia="Times New Roman" w:hAnsi="Arial" w:cs="Arial"/>
          <w:kern w:val="0"/>
          <w:lang w:eastAsia="en-GB"/>
          <w14:ligatures w14:val="none"/>
        </w:rPr>
        <w:t xml:space="preserve">BPAS (no date) </w:t>
      </w:r>
      <w:r w:rsidRPr="003E4136">
        <w:rPr>
          <w:rFonts w:ascii="Arial" w:eastAsia="Times New Roman" w:hAnsi="Arial" w:cs="Arial"/>
          <w:i/>
          <w:iCs/>
          <w:kern w:val="0"/>
          <w:lang w:eastAsia="en-GB"/>
          <w14:ligatures w14:val="none"/>
        </w:rPr>
        <w:t>49% of women in the UK face barriers to contraception access, reveals new BPAS report</w:t>
      </w:r>
      <w:r w:rsidRPr="003E4136">
        <w:rPr>
          <w:rFonts w:ascii="Arial" w:eastAsia="Times New Roman" w:hAnsi="Arial" w:cs="Arial"/>
          <w:kern w:val="0"/>
          <w:lang w:eastAsia="en-GB"/>
          <w14:ligatures w14:val="none"/>
        </w:rPr>
        <w:t>. https://www.bpas.org/about-bpas/press-office/press-releases/49-of-women-in-the-uk-face-barriers-to-contraception-access-reveals-new-bpas-report/#:~:text=Executive%20opportunities-,49%25%20of%20Women%20in%20the%20UK%20Face%20Barriers%20to,Access%2C%20Reveals%20New%20BPAS%20Report&amp;text=Nearly%20Half%20(49%25)%20of,their%20preferred%20method%20of%20contraception.</w:t>
      </w:r>
    </w:p>
    <w:p w14:paraId="1D038C46" w14:textId="77777777" w:rsidR="003E4136" w:rsidRPr="003E4136" w:rsidRDefault="003E4136" w:rsidP="003E4136">
      <w:pPr>
        <w:spacing w:after="0" w:line="480" w:lineRule="auto"/>
        <w:ind w:firstLine="720"/>
        <w:rPr>
          <w:rFonts w:ascii="Arial" w:eastAsia="Times New Roman" w:hAnsi="Arial" w:cs="Arial"/>
          <w:kern w:val="0"/>
          <w:lang w:eastAsia="en-GB"/>
          <w14:ligatures w14:val="none"/>
        </w:rPr>
      </w:pPr>
      <w:r w:rsidRPr="003E4136">
        <w:rPr>
          <w:rFonts w:ascii="Arial" w:eastAsia="Times New Roman" w:hAnsi="Arial" w:cs="Arial"/>
          <w:i/>
          <w:iCs/>
          <w:kern w:val="0"/>
          <w:lang w:eastAsia="en-GB"/>
          <w14:ligatures w14:val="none"/>
        </w:rPr>
        <w:t>Bridge the Gap | Campaigns | UNISON National</w:t>
      </w:r>
      <w:r w:rsidRPr="003E4136">
        <w:rPr>
          <w:rFonts w:ascii="Arial" w:eastAsia="Times New Roman" w:hAnsi="Arial" w:cs="Arial"/>
          <w:kern w:val="0"/>
          <w:lang w:eastAsia="en-GB"/>
          <w14:ligatures w14:val="none"/>
        </w:rPr>
        <w:t xml:space="preserve"> (2024). https://www.unison.org.uk/our-campaigns/bridgethegap/.</w:t>
      </w:r>
    </w:p>
    <w:p w14:paraId="2C291F7D" w14:textId="77777777" w:rsidR="003E4136" w:rsidRPr="003E4136" w:rsidRDefault="003E4136" w:rsidP="003E4136">
      <w:pPr>
        <w:spacing w:after="0" w:line="480" w:lineRule="auto"/>
        <w:ind w:firstLine="720"/>
        <w:rPr>
          <w:rFonts w:ascii="Arial" w:eastAsia="Times New Roman" w:hAnsi="Arial" w:cs="Arial"/>
          <w:kern w:val="0"/>
          <w:lang w:eastAsia="en-GB"/>
          <w14:ligatures w14:val="none"/>
        </w:rPr>
      </w:pPr>
      <w:r w:rsidRPr="003E4136">
        <w:rPr>
          <w:rFonts w:ascii="Arial" w:eastAsia="Times New Roman" w:hAnsi="Arial" w:cs="Arial"/>
          <w:kern w:val="0"/>
          <w:lang w:eastAsia="en-GB"/>
          <w14:ligatures w14:val="none"/>
        </w:rPr>
        <w:t xml:space="preserve">Brownmiller, S. (1975) </w:t>
      </w:r>
      <w:r w:rsidRPr="003E4136">
        <w:rPr>
          <w:rFonts w:ascii="Arial" w:eastAsia="Times New Roman" w:hAnsi="Arial" w:cs="Arial"/>
          <w:i/>
          <w:iCs/>
          <w:kern w:val="0"/>
          <w:lang w:eastAsia="en-GB"/>
          <w14:ligatures w14:val="none"/>
        </w:rPr>
        <w:t>Against our Will : Men, Women and Rape /[by] Susan Brownmiller</w:t>
      </w:r>
      <w:r w:rsidRPr="003E4136">
        <w:rPr>
          <w:rFonts w:ascii="Arial" w:eastAsia="Times New Roman" w:hAnsi="Arial" w:cs="Arial"/>
          <w:kern w:val="0"/>
          <w:lang w:eastAsia="en-GB"/>
          <w14:ligatures w14:val="none"/>
        </w:rPr>
        <w:t>. http://ci.nii.ac.jp/ncid/BA81870884.</w:t>
      </w:r>
    </w:p>
    <w:p w14:paraId="40A9D1E1" w14:textId="77777777" w:rsidR="003E4136" w:rsidRPr="003E4136" w:rsidRDefault="003E4136" w:rsidP="003E4136">
      <w:pPr>
        <w:spacing w:after="0" w:line="480" w:lineRule="auto"/>
        <w:ind w:firstLine="720"/>
        <w:rPr>
          <w:rFonts w:ascii="Arial" w:eastAsia="Times New Roman" w:hAnsi="Arial" w:cs="Arial"/>
          <w:kern w:val="0"/>
          <w:lang w:eastAsia="en-GB"/>
          <w14:ligatures w14:val="none"/>
        </w:rPr>
      </w:pPr>
      <w:r w:rsidRPr="003E4136">
        <w:rPr>
          <w:rFonts w:ascii="Arial" w:eastAsia="Times New Roman" w:hAnsi="Arial" w:cs="Arial"/>
          <w:kern w:val="0"/>
          <w:lang w:eastAsia="en-GB"/>
          <w14:ligatures w14:val="none"/>
        </w:rPr>
        <w:t xml:space="preserve">Byng-Hall, K. (2020) </w:t>
      </w:r>
      <w:r w:rsidRPr="003E4136">
        <w:rPr>
          <w:rFonts w:ascii="Arial" w:eastAsia="Times New Roman" w:hAnsi="Arial" w:cs="Arial"/>
          <w:i/>
          <w:iCs/>
          <w:kern w:val="0"/>
          <w:lang w:eastAsia="en-GB"/>
          <w14:ligatures w14:val="none"/>
        </w:rPr>
        <w:t>Timeline of women’s rights in Britain</w:t>
      </w:r>
      <w:r w:rsidRPr="003E4136">
        <w:rPr>
          <w:rFonts w:ascii="Arial" w:eastAsia="Times New Roman" w:hAnsi="Arial" w:cs="Arial"/>
          <w:kern w:val="0"/>
          <w:lang w:eastAsia="en-GB"/>
          <w14:ligatures w14:val="none"/>
        </w:rPr>
        <w:t>. https://www.wessexscene.co.uk/features/2020/03/15/timeline-of-womens-rights-in-britain/.</w:t>
      </w:r>
    </w:p>
    <w:p w14:paraId="4DE58BEA" w14:textId="77777777" w:rsidR="003E4136" w:rsidRPr="003E4136" w:rsidRDefault="003E4136" w:rsidP="003E4136">
      <w:pPr>
        <w:spacing w:after="0" w:line="480" w:lineRule="auto"/>
        <w:ind w:firstLine="720"/>
        <w:rPr>
          <w:rFonts w:ascii="Arial" w:eastAsia="Times New Roman" w:hAnsi="Arial" w:cs="Arial"/>
          <w:kern w:val="0"/>
          <w:lang w:eastAsia="en-GB"/>
          <w14:ligatures w14:val="none"/>
        </w:rPr>
      </w:pPr>
      <w:r w:rsidRPr="003E4136">
        <w:rPr>
          <w:rFonts w:ascii="Arial" w:eastAsia="Times New Roman" w:hAnsi="Arial" w:cs="Arial"/>
          <w:kern w:val="0"/>
          <w:lang w:eastAsia="en-GB"/>
          <w14:ligatures w14:val="none"/>
        </w:rPr>
        <w:t xml:space="preserve">Casastpete (2024) </w:t>
      </w:r>
      <w:r w:rsidRPr="003E4136">
        <w:rPr>
          <w:rFonts w:ascii="Arial" w:eastAsia="Times New Roman" w:hAnsi="Arial" w:cs="Arial"/>
          <w:i/>
          <w:iCs/>
          <w:kern w:val="0"/>
          <w:lang w:eastAsia="en-GB"/>
          <w14:ligatures w14:val="none"/>
        </w:rPr>
        <w:t>Reproductive Coercion is Abuse</w:t>
      </w:r>
      <w:r w:rsidRPr="003E4136">
        <w:rPr>
          <w:rFonts w:ascii="Arial" w:eastAsia="Times New Roman" w:hAnsi="Arial" w:cs="Arial"/>
          <w:kern w:val="0"/>
          <w:lang w:eastAsia="en-GB"/>
          <w14:ligatures w14:val="none"/>
        </w:rPr>
        <w:t>. https://www.casapinellas.org/reproductive-coercion-blog/.</w:t>
      </w:r>
    </w:p>
    <w:p w14:paraId="7A356E6A" w14:textId="77777777" w:rsidR="003E4136" w:rsidRPr="003E4136" w:rsidRDefault="003E4136" w:rsidP="003E4136">
      <w:pPr>
        <w:spacing w:after="0" w:line="480" w:lineRule="auto"/>
        <w:ind w:firstLine="720"/>
        <w:rPr>
          <w:rFonts w:ascii="Arial" w:eastAsia="Times New Roman" w:hAnsi="Arial" w:cs="Arial"/>
          <w:kern w:val="0"/>
          <w:lang w:eastAsia="en-GB"/>
          <w14:ligatures w14:val="none"/>
        </w:rPr>
      </w:pPr>
      <w:r w:rsidRPr="003E4136">
        <w:rPr>
          <w:rFonts w:ascii="Arial" w:eastAsia="Times New Roman" w:hAnsi="Arial" w:cs="Arial"/>
          <w:kern w:val="0"/>
          <w:lang w:eastAsia="en-GB"/>
          <w14:ligatures w14:val="none"/>
        </w:rPr>
        <w:t xml:space="preserve">Catalyst Inc. (2024) </w:t>
      </w:r>
      <w:r w:rsidRPr="003E4136">
        <w:rPr>
          <w:rFonts w:ascii="Arial" w:eastAsia="Times New Roman" w:hAnsi="Arial" w:cs="Arial"/>
          <w:i/>
          <w:iCs/>
          <w:kern w:val="0"/>
          <w:lang w:eastAsia="en-GB"/>
          <w14:ligatures w14:val="none"/>
        </w:rPr>
        <w:t>Women in Male-Dominated Industries and Occupations</w:t>
      </w:r>
      <w:r w:rsidRPr="003E4136">
        <w:rPr>
          <w:rFonts w:ascii="Arial" w:eastAsia="Times New Roman" w:hAnsi="Arial" w:cs="Arial"/>
          <w:kern w:val="0"/>
          <w:lang w:eastAsia="en-GB"/>
          <w14:ligatures w14:val="none"/>
        </w:rPr>
        <w:t>. https://www.catalyst.org/research/women-in-male-dominated-industries-and-occupations/.</w:t>
      </w:r>
    </w:p>
    <w:p w14:paraId="6ED9D39D" w14:textId="77777777" w:rsidR="003E4136" w:rsidRPr="003E4136" w:rsidRDefault="003E4136" w:rsidP="003E4136">
      <w:pPr>
        <w:spacing w:after="0" w:line="480" w:lineRule="auto"/>
        <w:ind w:firstLine="720"/>
        <w:rPr>
          <w:rFonts w:ascii="Arial" w:eastAsia="Times New Roman" w:hAnsi="Arial" w:cs="Arial"/>
          <w:kern w:val="0"/>
          <w:lang w:eastAsia="en-GB"/>
          <w14:ligatures w14:val="none"/>
        </w:rPr>
      </w:pPr>
      <w:r w:rsidRPr="003E4136">
        <w:rPr>
          <w:rFonts w:ascii="Arial" w:eastAsia="Times New Roman" w:hAnsi="Arial" w:cs="Arial"/>
          <w:kern w:val="0"/>
          <w:lang w:eastAsia="en-GB"/>
          <w14:ligatures w14:val="none"/>
        </w:rPr>
        <w:t xml:space="preserve">De La Roche, M. (2024) </w:t>
      </w:r>
      <w:r w:rsidRPr="003E4136">
        <w:rPr>
          <w:rFonts w:ascii="Arial" w:eastAsia="Times New Roman" w:hAnsi="Arial" w:cs="Arial"/>
          <w:i/>
          <w:iCs/>
          <w:kern w:val="0"/>
          <w:lang w:eastAsia="en-GB"/>
          <w14:ligatures w14:val="none"/>
        </w:rPr>
        <w:t>Gender gaps in access to civil legal justice: New report reveals alarming disadvantages faced by women</w:t>
      </w:r>
      <w:r w:rsidRPr="003E4136">
        <w:rPr>
          <w:rFonts w:ascii="Arial" w:eastAsia="Times New Roman" w:hAnsi="Arial" w:cs="Arial"/>
          <w:kern w:val="0"/>
          <w:lang w:eastAsia="en-GB"/>
          <w14:ligatures w14:val="none"/>
        </w:rPr>
        <w:t>. https://atjf.org.uk/gender-gaps-in-access-to-civil-legal-justice-new-report-reveals-alarming-disadvantages-faced-by-women.</w:t>
      </w:r>
    </w:p>
    <w:p w14:paraId="359818A9" w14:textId="77777777" w:rsidR="003E4136" w:rsidRPr="003E4136" w:rsidRDefault="003E4136" w:rsidP="003E4136">
      <w:pPr>
        <w:spacing w:after="0" w:line="480" w:lineRule="auto"/>
        <w:ind w:firstLine="720"/>
        <w:rPr>
          <w:rFonts w:ascii="Arial" w:eastAsia="Times New Roman" w:hAnsi="Arial" w:cs="Arial"/>
          <w:kern w:val="0"/>
          <w:lang w:eastAsia="en-GB"/>
          <w14:ligatures w14:val="none"/>
        </w:rPr>
      </w:pPr>
      <w:r w:rsidRPr="003E4136">
        <w:rPr>
          <w:rFonts w:ascii="Arial" w:eastAsia="Times New Roman" w:hAnsi="Arial" w:cs="Arial"/>
          <w:kern w:val="0"/>
          <w:lang w:eastAsia="en-GB"/>
          <w14:ligatures w14:val="none"/>
        </w:rPr>
        <w:lastRenderedPageBreak/>
        <w:t xml:space="preserve">DeLisi, M. (1996) </w:t>
      </w:r>
      <w:r w:rsidRPr="003E4136">
        <w:rPr>
          <w:rFonts w:ascii="Arial" w:eastAsia="Times New Roman" w:hAnsi="Arial" w:cs="Arial"/>
          <w:i/>
          <w:iCs/>
          <w:kern w:val="0"/>
          <w:lang w:eastAsia="en-GB"/>
          <w14:ligatures w14:val="none"/>
        </w:rPr>
        <w:t>Delinquency in society</w:t>
      </w:r>
      <w:r w:rsidRPr="003E4136">
        <w:rPr>
          <w:rFonts w:ascii="Arial" w:eastAsia="Times New Roman" w:hAnsi="Arial" w:cs="Arial"/>
          <w:kern w:val="0"/>
          <w:lang w:eastAsia="en-GB"/>
          <w14:ligatures w14:val="none"/>
        </w:rPr>
        <w:t>. http://ci.nii.ac.jp/ncid/BA84101332.</w:t>
      </w:r>
    </w:p>
    <w:p w14:paraId="26F6D128" w14:textId="77777777" w:rsidR="003E4136" w:rsidRPr="003E4136" w:rsidRDefault="003E4136" w:rsidP="003E4136">
      <w:pPr>
        <w:spacing w:after="0" w:line="480" w:lineRule="auto"/>
        <w:ind w:firstLine="720"/>
        <w:rPr>
          <w:rFonts w:ascii="Arial" w:eastAsia="Times New Roman" w:hAnsi="Arial" w:cs="Arial"/>
          <w:kern w:val="0"/>
          <w:lang w:eastAsia="en-GB"/>
          <w14:ligatures w14:val="none"/>
        </w:rPr>
      </w:pPr>
      <w:r w:rsidRPr="003E4136">
        <w:rPr>
          <w:rFonts w:ascii="Arial" w:eastAsia="Times New Roman" w:hAnsi="Arial" w:cs="Arial"/>
          <w:kern w:val="0"/>
          <w:lang w:eastAsia="en-GB"/>
          <w14:ligatures w14:val="none"/>
        </w:rPr>
        <w:t xml:space="preserve">Dodd, V. (2024) &amp;apos;Violence against women a ‘national emergency’ in England and Wales, police say,&amp;apos; </w:t>
      </w:r>
      <w:r w:rsidRPr="003E4136">
        <w:rPr>
          <w:rFonts w:ascii="Arial" w:eastAsia="Times New Roman" w:hAnsi="Arial" w:cs="Arial"/>
          <w:i/>
          <w:iCs/>
          <w:kern w:val="0"/>
          <w:lang w:eastAsia="en-GB"/>
          <w14:ligatures w14:val="none"/>
        </w:rPr>
        <w:t>The Guardian</w:t>
      </w:r>
      <w:r w:rsidRPr="003E4136">
        <w:rPr>
          <w:rFonts w:ascii="Arial" w:eastAsia="Times New Roman" w:hAnsi="Arial" w:cs="Arial"/>
          <w:kern w:val="0"/>
          <w:lang w:eastAsia="en-GB"/>
          <w14:ligatures w14:val="none"/>
        </w:rPr>
        <w:t>, 23 July. https://www.theguardian.com/society/article/2024/jul/23/violence-against-women-national-emergency-england-wales-police.</w:t>
      </w:r>
    </w:p>
    <w:p w14:paraId="65C2A320" w14:textId="77777777" w:rsidR="003E4136" w:rsidRPr="003E4136" w:rsidRDefault="003E4136" w:rsidP="003E4136">
      <w:pPr>
        <w:spacing w:after="0" w:line="480" w:lineRule="auto"/>
        <w:ind w:firstLine="720"/>
        <w:rPr>
          <w:rFonts w:ascii="Arial" w:eastAsia="Times New Roman" w:hAnsi="Arial" w:cs="Arial"/>
          <w:kern w:val="0"/>
          <w:lang w:eastAsia="en-GB"/>
          <w14:ligatures w14:val="none"/>
        </w:rPr>
      </w:pPr>
      <w:r w:rsidRPr="003E4136">
        <w:rPr>
          <w:rFonts w:ascii="Arial" w:eastAsia="Times New Roman" w:hAnsi="Arial" w:cs="Arial"/>
          <w:kern w:val="0"/>
          <w:lang w:eastAsia="en-GB"/>
          <w14:ligatures w14:val="none"/>
        </w:rPr>
        <w:t xml:space="preserve">Economics Observatory (2024) </w:t>
      </w:r>
      <w:r w:rsidRPr="003E4136">
        <w:rPr>
          <w:rFonts w:ascii="Arial" w:eastAsia="Times New Roman" w:hAnsi="Arial" w:cs="Arial"/>
          <w:i/>
          <w:iCs/>
          <w:kern w:val="0"/>
          <w:lang w:eastAsia="en-GB"/>
          <w14:ligatures w14:val="none"/>
        </w:rPr>
        <w:t>Why are there so few women leading the UK’s biggest companies? - Economics Observatory</w:t>
      </w:r>
      <w:r w:rsidRPr="003E4136">
        <w:rPr>
          <w:rFonts w:ascii="Arial" w:eastAsia="Times New Roman" w:hAnsi="Arial" w:cs="Arial"/>
          <w:kern w:val="0"/>
          <w:lang w:eastAsia="en-GB"/>
          <w14:ligatures w14:val="none"/>
        </w:rPr>
        <w:t>. https://www.economicsobservatory.com/why-are-there-so-few-women-leading-the-uks-biggest-companies.</w:t>
      </w:r>
    </w:p>
    <w:p w14:paraId="76F8FA48" w14:textId="77777777" w:rsidR="003E4136" w:rsidRPr="003E4136" w:rsidRDefault="003E4136" w:rsidP="003E4136">
      <w:pPr>
        <w:spacing w:after="0" w:line="480" w:lineRule="auto"/>
        <w:ind w:firstLine="720"/>
        <w:rPr>
          <w:rFonts w:ascii="Arial" w:eastAsia="Times New Roman" w:hAnsi="Arial" w:cs="Arial"/>
          <w:kern w:val="0"/>
          <w:lang w:eastAsia="en-GB"/>
          <w14:ligatures w14:val="none"/>
        </w:rPr>
      </w:pPr>
      <w:r w:rsidRPr="003E4136">
        <w:rPr>
          <w:rFonts w:ascii="Arial" w:eastAsia="Times New Roman" w:hAnsi="Arial" w:cs="Arial"/>
          <w:kern w:val="0"/>
          <w:lang w:eastAsia="en-GB"/>
          <w14:ligatures w14:val="none"/>
        </w:rPr>
        <w:t xml:space="preserve">Elshtain, J.B. (1976) &amp;apos;Against our will. men, women and rape,&amp;apos; </w:t>
      </w:r>
      <w:r w:rsidRPr="003E4136">
        <w:rPr>
          <w:rFonts w:ascii="Arial" w:eastAsia="Times New Roman" w:hAnsi="Arial" w:cs="Arial"/>
          <w:i/>
          <w:iCs/>
          <w:kern w:val="0"/>
          <w:lang w:eastAsia="en-GB"/>
          <w14:ligatures w14:val="none"/>
        </w:rPr>
        <w:t>Telos</w:t>
      </w:r>
      <w:r w:rsidRPr="003E4136">
        <w:rPr>
          <w:rFonts w:ascii="Arial" w:eastAsia="Times New Roman" w:hAnsi="Arial" w:cs="Arial"/>
          <w:kern w:val="0"/>
          <w:lang w:eastAsia="en-GB"/>
          <w14:ligatures w14:val="none"/>
        </w:rPr>
        <w:t>, 1976(30), pp. 237–242. https://doi.org/10.3817/1276030237.</w:t>
      </w:r>
    </w:p>
    <w:p w14:paraId="48A69F6E" w14:textId="77777777" w:rsidR="003E4136" w:rsidRPr="003E4136" w:rsidRDefault="003E4136" w:rsidP="003E4136">
      <w:pPr>
        <w:spacing w:after="0" w:line="480" w:lineRule="auto"/>
        <w:ind w:firstLine="720"/>
        <w:rPr>
          <w:rFonts w:ascii="Arial" w:eastAsia="Times New Roman" w:hAnsi="Arial" w:cs="Arial"/>
          <w:kern w:val="0"/>
          <w:lang w:eastAsia="en-GB"/>
          <w14:ligatures w14:val="none"/>
        </w:rPr>
      </w:pPr>
      <w:r w:rsidRPr="003E4136">
        <w:rPr>
          <w:rFonts w:ascii="Arial" w:eastAsia="Times New Roman" w:hAnsi="Arial" w:cs="Arial"/>
          <w:i/>
          <w:iCs/>
          <w:kern w:val="0"/>
          <w:lang w:eastAsia="en-GB"/>
          <w14:ligatures w14:val="none"/>
        </w:rPr>
        <w:t>Ethnic disparities in the major causes of mortality and their risk factors – a rapid review</w:t>
      </w:r>
      <w:r w:rsidRPr="003E4136">
        <w:rPr>
          <w:rFonts w:ascii="Arial" w:eastAsia="Times New Roman" w:hAnsi="Arial" w:cs="Arial"/>
          <w:kern w:val="0"/>
          <w:lang w:eastAsia="en-GB"/>
          <w14:ligatures w14:val="none"/>
        </w:rPr>
        <w:t xml:space="preserve"> (2021). https://www.gov.uk/government/publications/the-report-of-the-commission-on-race-and-ethnic-disparities-supporting-research/ethnic-disparities-in-the-major-causes-of-mortality-and-their-risk-factors-by-dr-raghib-ali-et-al.</w:t>
      </w:r>
    </w:p>
    <w:p w14:paraId="3B3F21CB" w14:textId="77777777" w:rsidR="003E4136" w:rsidRPr="003E4136" w:rsidRDefault="003E4136" w:rsidP="003E4136">
      <w:pPr>
        <w:spacing w:after="0" w:line="480" w:lineRule="auto"/>
        <w:ind w:firstLine="720"/>
        <w:rPr>
          <w:rFonts w:ascii="Arial" w:eastAsia="Times New Roman" w:hAnsi="Arial" w:cs="Arial"/>
          <w:kern w:val="0"/>
          <w:lang w:eastAsia="en-GB"/>
          <w14:ligatures w14:val="none"/>
        </w:rPr>
      </w:pPr>
      <w:r w:rsidRPr="003E4136">
        <w:rPr>
          <w:rFonts w:ascii="Arial" w:eastAsia="Times New Roman" w:hAnsi="Arial" w:cs="Arial"/>
          <w:kern w:val="0"/>
          <w:lang w:eastAsia="en-GB"/>
          <w14:ligatures w14:val="none"/>
        </w:rPr>
        <w:t xml:space="preserve">Foord, J. and Gregson, N. (1986) &amp;apos;PATRIARCHY: TOWARDS a RECONCEPTUALISATION*:,&amp;apos; </w:t>
      </w:r>
      <w:r w:rsidRPr="003E4136">
        <w:rPr>
          <w:rFonts w:ascii="Arial" w:eastAsia="Times New Roman" w:hAnsi="Arial" w:cs="Arial"/>
          <w:i/>
          <w:iCs/>
          <w:kern w:val="0"/>
          <w:lang w:eastAsia="en-GB"/>
          <w14:ligatures w14:val="none"/>
        </w:rPr>
        <w:t>Antipode</w:t>
      </w:r>
      <w:r w:rsidRPr="003E4136">
        <w:rPr>
          <w:rFonts w:ascii="Arial" w:eastAsia="Times New Roman" w:hAnsi="Arial" w:cs="Arial"/>
          <w:kern w:val="0"/>
          <w:lang w:eastAsia="en-GB"/>
          <w14:ligatures w14:val="none"/>
        </w:rPr>
        <w:t>, 18(2), pp. 186–211. https://doi.org/10.1111/j.1467-8330.1986.tb00362.x.</w:t>
      </w:r>
    </w:p>
    <w:p w14:paraId="000032A1" w14:textId="77777777" w:rsidR="003E4136" w:rsidRPr="003E4136" w:rsidRDefault="003E4136" w:rsidP="003E4136">
      <w:pPr>
        <w:spacing w:after="0" w:line="480" w:lineRule="auto"/>
        <w:ind w:firstLine="720"/>
        <w:rPr>
          <w:rFonts w:ascii="Arial" w:eastAsia="Times New Roman" w:hAnsi="Arial" w:cs="Arial"/>
          <w:kern w:val="0"/>
          <w:lang w:eastAsia="en-GB"/>
          <w14:ligatures w14:val="none"/>
        </w:rPr>
      </w:pPr>
      <w:r w:rsidRPr="003E4136">
        <w:rPr>
          <w:rFonts w:ascii="Arial" w:eastAsia="Times New Roman" w:hAnsi="Arial" w:cs="Arial"/>
          <w:kern w:val="0"/>
          <w:lang w:eastAsia="en-GB"/>
          <w14:ligatures w14:val="none"/>
        </w:rPr>
        <w:t xml:space="preserve">Garrity, D.L. (1959) &amp;apos;FAMILY RELATIONSHIPS AND DELINQUENT BEHAVIOR. By F. Ivan Nye. New York: John Wiley and Sons, Inc., 1958. $4.95,&amp;apos; </w:t>
      </w:r>
      <w:r w:rsidRPr="003E4136">
        <w:rPr>
          <w:rFonts w:ascii="Arial" w:eastAsia="Times New Roman" w:hAnsi="Arial" w:cs="Arial"/>
          <w:i/>
          <w:iCs/>
          <w:kern w:val="0"/>
          <w:lang w:eastAsia="en-GB"/>
          <w14:ligatures w14:val="none"/>
        </w:rPr>
        <w:t>Social Forces</w:t>
      </w:r>
      <w:r w:rsidRPr="003E4136">
        <w:rPr>
          <w:rFonts w:ascii="Arial" w:eastAsia="Times New Roman" w:hAnsi="Arial" w:cs="Arial"/>
          <w:kern w:val="0"/>
          <w:lang w:eastAsia="en-GB"/>
          <w14:ligatures w14:val="none"/>
        </w:rPr>
        <w:t>, 37(4), pp. 379–380. https://doi.org/10.2307/2574209.</w:t>
      </w:r>
    </w:p>
    <w:p w14:paraId="22A301B6" w14:textId="77777777" w:rsidR="003E4136" w:rsidRPr="003E4136" w:rsidRDefault="003E4136" w:rsidP="003E4136">
      <w:pPr>
        <w:spacing w:after="0" w:line="480" w:lineRule="auto"/>
        <w:ind w:firstLine="720"/>
        <w:rPr>
          <w:rFonts w:ascii="Arial" w:eastAsia="Times New Roman" w:hAnsi="Arial" w:cs="Arial"/>
          <w:kern w:val="0"/>
          <w:lang w:eastAsia="en-GB"/>
          <w14:ligatures w14:val="none"/>
        </w:rPr>
      </w:pPr>
      <w:r w:rsidRPr="003E4136">
        <w:rPr>
          <w:rFonts w:ascii="Arial" w:eastAsia="Times New Roman" w:hAnsi="Arial" w:cs="Arial"/>
          <w:i/>
          <w:iCs/>
          <w:kern w:val="0"/>
          <w:lang w:eastAsia="en-GB"/>
          <w14:ligatures w14:val="none"/>
        </w:rPr>
        <w:t>Gender inequality and superbugs - One health Trust</w:t>
      </w:r>
      <w:r w:rsidRPr="003E4136">
        <w:rPr>
          <w:rFonts w:ascii="Arial" w:eastAsia="Times New Roman" w:hAnsi="Arial" w:cs="Arial"/>
          <w:kern w:val="0"/>
          <w:lang w:eastAsia="en-GB"/>
          <w14:ligatures w14:val="none"/>
        </w:rPr>
        <w:t xml:space="preserve"> (2023). https://onehealthtrust.org/news-media/podcasts/gender-inequality-and-superbugs/.</w:t>
      </w:r>
    </w:p>
    <w:p w14:paraId="628577F0" w14:textId="77777777" w:rsidR="003E4136" w:rsidRPr="003E4136" w:rsidRDefault="003E4136" w:rsidP="003E4136">
      <w:pPr>
        <w:spacing w:after="0" w:line="480" w:lineRule="auto"/>
        <w:ind w:firstLine="720"/>
        <w:rPr>
          <w:rFonts w:ascii="Arial" w:eastAsia="Times New Roman" w:hAnsi="Arial" w:cs="Arial"/>
          <w:kern w:val="0"/>
          <w:lang w:eastAsia="en-GB"/>
          <w14:ligatures w14:val="none"/>
        </w:rPr>
      </w:pPr>
      <w:r w:rsidRPr="003E4136">
        <w:rPr>
          <w:rFonts w:ascii="Arial" w:eastAsia="Times New Roman" w:hAnsi="Arial" w:cs="Arial"/>
          <w:kern w:val="0"/>
          <w:lang w:eastAsia="en-GB"/>
          <w14:ligatures w14:val="none"/>
        </w:rPr>
        <w:t xml:space="preserve">Graham, H. (2001) </w:t>
      </w:r>
      <w:r w:rsidRPr="003E4136">
        <w:rPr>
          <w:rFonts w:ascii="Arial" w:eastAsia="Times New Roman" w:hAnsi="Arial" w:cs="Arial"/>
          <w:i/>
          <w:iCs/>
          <w:kern w:val="0"/>
          <w:lang w:eastAsia="en-GB"/>
          <w14:ligatures w14:val="none"/>
        </w:rPr>
        <w:t>Understanding health inequalities</w:t>
      </w:r>
      <w:r w:rsidRPr="003E4136">
        <w:rPr>
          <w:rFonts w:ascii="Arial" w:eastAsia="Times New Roman" w:hAnsi="Arial" w:cs="Arial"/>
          <w:kern w:val="0"/>
          <w:lang w:eastAsia="en-GB"/>
          <w14:ligatures w14:val="none"/>
        </w:rPr>
        <w:t>. https://ci.nii.ac.jp/ncid/BB02405376.</w:t>
      </w:r>
    </w:p>
    <w:p w14:paraId="35570B21" w14:textId="77777777" w:rsidR="003E4136" w:rsidRPr="003E4136" w:rsidRDefault="003E4136" w:rsidP="003E4136">
      <w:pPr>
        <w:spacing w:after="0" w:line="480" w:lineRule="auto"/>
        <w:ind w:firstLine="720"/>
        <w:rPr>
          <w:rFonts w:ascii="Arial" w:eastAsia="Times New Roman" w:hAnsi="Arial" w:cs="Arial"/>
          <w:kern w:val="0"/>
          <w:lang w:eastAsia="en-GB"/>
          <w14:ligatures w14:val="none"/>
        </w:rPr>
      </w:pPr>
      <w:r w:rsidRPr="003E4136">
        <w:rPr>
          <w:rFonts w:ascii="Arial" w:eastAsia="Times New Roman" w:hAnsi="Arial" w:cs="Arial"/>
          <w:kern w:val="0"/>
          <w:lang w:eastAsia="en-GB"/>
          <w14:ligatures w14:val="none"/>
        </w:rPr>
        <w:lastRenderedPageBreak/>
        <w:t xml:space="preserve">Guzikevits, M. </w:t>
      </w:r>
      <w:r w:rsidRPr="003E4136">
        <w:rPr>
          <w:rFonts w:ascii="Arial" w:eastAsia="Times New Roman" w:hAnsi="Arial" w:cs="Arial"/>
          <w:i/>
          <w:iCs/>
          <w:kern w:val="0"/>
          <w:lang w:eastAsia="en-GB"/>
          <w14:ligatures w14:val="none"/>
        </w:rPr>
        <w:t>et al.</w:t>
      </w:r>
      <w:r w:rsidRPr="003E4136">
        <w:rPr>
          <w:rFonts w:ascii="Arial" w:eastAsia="Times New Roman" w:hAnsi="Arial" w:cs="Arial"/>
          <w:kern w:val="0"/>
          <w:lang w:eastAsia="en-GB"/>
          <w14:ligatures w14:val="none"/>
        </w:rPr>
        <w:t xml:space="preserve"> (2024) &amp;apos;Sex bias in pain management decisions,&amp;apos; </w:t>
      </w:r>
      <w:r w:rsidRPr="003E4136">
        <w:rPr>
          <w:rFonts w:ascii="Arial" w:eastAsia="Times New Roman" w:hAnsi="Arial" w:cs="Arial"/>
          <w:i/>
          <w:iCs/>
          <w:kern w:val="0"/>
          <w:lang w:eastAsia="en-GB"/>
          <w14:ligatures w14:val="none"/>
        </w:rPr>
        <w:t>Proceedings of the National Academy of Sciences</w:t>
      </w:r>
      <w:r w:rsidRPr="003E4136">
        <w:rPr>
          <w:rFonts w:ascii="Arial" w:eastAsia="Times New Roman" w:hAnsi="Arial" w:cs="Arial"/>
          <w:kern w:val="0"/>
          <w:lang w:eastAsia="en-GB"/>
          <w14:ligatures w14:val="none"/>
        </w:rPr>
        <w:t>, 121(33). https://doi.org/10.1073/pnas.2401331121.</w:t>
      </w:r>
    </w:p>
    <w:p w14:paraId="6752BBC4" w14:textId="77777777" w:rsidR="003E4136" w:rsidRPr="003E4136" w:rsidRDefault="003E4136" w:rsidP="003E4136">
      <w:pPr>
        <w:spacing w:after="0" w:line="480" w:lineRule="auto"/>
        <w:ind w:firstLine="720"/>
        <w:rPr>
          <w:rFonts w:ascii="Arial" w:eastAsia="Times New Roman" w:hAnsi="Arial" w:cs="Arial"/>
          <w:kern w:val="0"/>
          <w:lang w:eastAsia="en-GB"/>
          <w14:ligatures w14:val="none"/>
        </w:rPr>
      </w:pPr>
      <w:r w:rsidRPr="003E4136">
        <w:rPr>
          <w:rFonts w:ascii="Arial" w:eastAsia="Times New Roman" w:hAnsi="Arial" w:cs="Arial"/>
          <w:kern w:val="0"/>
          <w:lang w:eastAsia="en-GB"/>
          <w14:ligatures w14:val="none"/>
        </w:rPr>
        <w:t xml:space="preserve">Hickman, N.J., Delucchi, K.L. and Prochaska, J.J. (2015) &amp;apos;Treating tobacco dependence at the intersection of diversity, poverty, and mental illness: a randomized feasibility and replication trial,&amp;apos; </w:t>
      </w:r>
      <w:r w:rsidRPr="003E4136">
        <w:rPr>
          <w:rFonts w:ascii="Arial" w:eastAsia="Times New Roman" w:hAnsi="Arial" w:cs="Arial"/>
          <w:i/>
          <w:iCs/>
          <w:kern w:val="0"/>
          <w:lang w:eastAsia="en-GB"/>
          <w14:ligatures w14:val="none"/>
        </w:rPr>
        <w:t>Nicotine &amp; Tobacco Research</w:t>
      </w:r>
      <w:r w:rsidRPr="003E4136">
        <w:rPr>
          <w:rFonts w:ascii="Arial" w:eastAsia="Times New Roman" w:hAnsi="Arial" w:cs="Arial"/>
          <w:kern w:val="0"/>
          <w:lang w:eastAsia="en-GB"/>
          <w14:ligatures w14:val="none"/>
        </w:rPr>
        <w:t>, 17(8), pp. 1012–1021. https://doi.org/10.1093/ntr/ntv034.</w:t>
      </w:r>
    </w:p>
    <w:p w14:paraId="6BFA32AE" w14:textId="77777777" w:rsidR="003E4136" w:rsidRPr="003E4136" w:rsidRDefault="003E4136" w:rsidP="003E4136">
      <w:pPr>
        <w:spacing w:after="0" w:line="480" w:lineRule="auto"/>
        <w:ind w:firstLine="720"/>
        <w:rPr>
          <w:rFonts w:ascii="Arial" w:eastAsia="Times New Roman" w:hAnsi="Arial" w:cs="Arial"/>
          <w:kern w:val="0"/>
          <w:lang w:eastAsia="en-GB"/>
          <w14:ligatures w14:val="none"/>
        </w:rPr>
      </w:pPr>
      <w:r w:rsidRPr="003E4136">
        <w:rPr>
          <w:rFonts w:ascii="Arial" w:eastAsia="Times New Roman" w:hAnsi="Arial" w:cs="Arial"/>
          <w:kern w:val="0"/>
          <w:lang w:eastAsia="en-GB"/>
          <w14:ligatures w14:val="none"/>
        </w:rPr>
        <w:t xml:space="preserve">Kabeer, N. (2005) &amp;apos;Gender equality and women’s empowerment: A critical analysis of the third millennium development goal 1,&amp;apos; </w:t>
      </w:r>
      <w:r w:rsidRPr="003E4136">
        <w:rPr>
          <w:rFonts w:ascii="Arial" w:eastAsia="Times New Roman" w:hAnsi="Arial" w:cs="Arial"/>
          <w:i/>
          <w:iCs/>
          <w:kern w:val="0"/>
          <w:lang w:eastAsia="en-GB"/>
          <w14:ligatures w14:val="none"/>
        </w:rPr>
        <w:t>Gender &amp; Development</w:t>
      </w:r>
      <w:r w:rsidRPr="003E4136">
        <w:rPr>
          <w:rFonts w:ascii="Arial" w:eastAsia="Times New Roman" w:hAnsi="Arial" w:cs="Arial"/>
          <w:kern w:val="0"/>
          <w:lang w:eastAsia="en-GB"/>
          <w14:ligatures w14:val="none"/>
        </w:rPr>
        <w:t>, 13(1), pp. 13–24. https://doi.org/10.1080/13552070512331332273.</w:t>
      </w:r>
    </w:p>
    <w:p w14:paraId="78772D4D" w14:textId="77777777" w:rsidR="003E4136" w:rsidRPr="003E4136" w:rsidRDefault="003E4136" w:rsidP="003E4136">
      <w:pPr>
        <w:spacing w:after="0" w:line="480" w:lineRule="auto"/>
        <w:ind w:firstLine="720"/>
        <w:rPr>
          <w:rFonts w:ascii="Arial" w:eastAsia="Times New Roman" w:hAnsi="Arial" w:cs="Arial"/>
          <w:kern w:val="0"/>
          <w:lang w:eastAsia="en-GB"/>
          <w14:ligatures w14:val="none"/>
        </w:rPr>
      </w:pPr>
      <w:r w:rsidRPr="003E4136">
        <w:rPr>
          <w:rFonts w:ascii="Arial" w:eastAsia="Times New Roman" w:hAnsi="Arial" w:cs="Arial"/>
          <w:kern w:val="0"/>
          <w:lang w:eastAsia="en-GB"/>
          <w14:ligatures w14:val="none"/>
        </w:rPr>
        <w:t xml:space="preserve">Kennedy, H. (2019) &amp;apos;The myth of the she-devil: why we judge female criminals more harshly,&amp;apos; </w:t>
      </w:r>
      <w:r w:rsidRPr="003E4136">
        <w:rPr>
          <w:rFonts w:ascii="Arial" w:eastAsia="Times New Roman" w:hAnsi="Arial" w:cs="Arial"/>
          <w:i/>
          <w:iCs/>
          <w:kern w:val="0"/>
          <w:lang w:eastAsia="en-GB"/>
          <w14:ligatures w14:val="none"/>
        </w:rPr>
        <w:t>The Guardian</w:t>
      </w:r>
      <w:r w:rsidRPr="003E4136">
        <w:rPr>
          <w:rFonts w:ascii="Arial" w:eastAsia="Times New Roman" w:hAnsi="Arial" w:cs="Arial"/>
          <w:kern w:val="0"/>
          <w:lang w:eastAsia="en-GB"/>
          <w14:ligatures w14:val="none"/>
        </w:rPr>
        <w:t>, 1 May. https://www.theguardian.com/uk-news/2018/oct/02/the-myth-of-the-she-devil-why-we-judge-female-criminals-more-harshly.</w:t>
      </w:r>
    </w:p>
    <w:p w14:paraId="0F11D8FD" w14:textId="77777777" w:rsidR="003E4136" w:rsidRPr="003E4136" w:rsidRDefault="003E4136" w:rsidP="003E4136">
      <w:pPr>
        <w:spacing w:after="0" w:line="480" w:lineRule="auto"/>
        <w:ind w:firstLine="720"/>
        <w:rPr>
          <w:rFonts w:ascii="Arial" w:eastAsia="Times New Roman" w:hAnsi="Arial" w:cs="Arial"/>
          <w:kern w:val="0"/>
          <w:lang w:eastAsia="en-GB"/>
          <w14:ligatures w14:val="none"/>
        </w:rPr>
      </w:pPr>
      <w:r w:rsidRPr="003E4136">
        <w:rPr>
          <w:rFonts w:ascii="Arial" w:eastAsia="Times New Roman" w:hAnsi="Arial" w:cs="Arial"/>
          <w:kern w:val="0"/>
          <w:lang w:eastAsia="en-GB"/>
          <w14:ligatures w14:val="none"/>
        </w:rPr>
        <w:t xml:space="preserve">King’s College London (2023) &amp;apos;Black women face the worst health inequalities in South London,&amp;apos; </w:t>
      </w:r>
      <w:r w:rsidRPr="003E4136">
        <w:rPr>
          <w:rFonts w:ascii="Arial" w:eastAsia="Times New Roman" w:hAnsi="Arial" w:cs="Arial"/>
          <w:i/>
          <w:iCs/>
          <w:kern w:val="0"/>
          <w:lang w:eastAsia="en-GB"/>
          <w14:ligatures w14:val="none"/>
        </w:rPr>
        <w:t>King’s College London</w:t>
      </w:r>
      <w:r w:rsidRPr="003E4136">
        <w:rPr>
          <w:rFonts w:ascii="Arial" w:eastAsia="Times New Roman" w:hAnsi="Arial" w:cs="Arial"/>
          <w:kern w:val="0"/>
          <w:lang w:eastAsia="en-GB"/>
          <w14:ligatures w14:val="none"/>
        </w:rPr>
        <w:t>, 26 September. https://www.kcl.ac.uk/news/black-women-face-the-worst-health-inequalities-in-south-london.</w:t>
      </w:r>
    </w:p>
    <w:p w14:paraId="3ABE18AF" w14:textId="77777777" w:rsidR="003E4136" w:rsidRPr="003E4136" w:rsidRDefault="003E4136" w:rsidP="003E4136">
      <w:pPr>
        <w:spacing w:after="0" w:line="480" w:lineRule="auto"/>
        <w:ind w:firstLine="720"/>
        <w:rPr>
          <w:rFonts w:ascii="Arial" w:eastAsia="Times New Roman" w:hAnsi="Arial" w:cs="Arial"/>
          <w:kern w:val="0"/>
          <w:lang w:eastAsia="en-GB"/>
          <w14:ligatures w14:val="none"/>
        </w:rPr>
      </w:pPr>
      <w:r w:rsidRPr="003E4136">
        <w:rPr>
          <w:rFonts w:ascii="Arial" w:eastAsia="Times New Roman" w:hAnsi="Arial" w:cs="Arial"/>
          <w:kern w:val="0"/>
          <w:lang w:eastAsia="en-GB"/>
          <w14:ligatures w14:val="none"/>
        </w:rPr>
        <w:t xml:space="preserve">Martínez-Pérez, M.D. and Osca, A. (2001) &amp;apos;Estudio psicométrico de la versión española de la escala de «Conflicto Familia-Trabajo» de Kopelman, Greenhaus y Connoly (1983),&amp;apos; </w:t>
      </w:r>
      <w:r w:rsidRPr="003E4136">
        <w:rPr>
          <w:rFonts w:ascii="Arial" w:eastAsia="Times New Roman" w:hAnsi="Arial" w:cs="Arial"/>
          <w:i/>
          <w:iCs/>
          <w:kern w:val="0"/>
          <w:lang w:eastAsia="en-GB"/>
          <w14:ligatures w14:val="none"/>
        </w:rPr>
        <w:t>International Journal of Social Psychology Revista De Psicología Social</w:t>
      </w:r>
      <w:r w:rsidRPr="003E4136">
        <w:rPr>
          <w:rFonts w:ascii="Arial" w:eastAsia="Times New Roman" w:hAnsi="Arial" w:cs="Arial"/>
          <w:kern w:val="0"/>
          <w:lang w:eastAsia="en-GB"/>
          <w14:ligatures w14:val="none"/>
        </w:rPr>
        <w:t>, 16(1), pp. 43–57. https://doi.org/10.1174/021347401317351198.</w:t>
      </w:r>
    </w:p>
    <w:p w14:paraId="29C5C2F3" w14:textId="77777777" w:rsidR="003E4136" w:rsidRPr="003E4136" w:rsidRDefault="003E4136" w:rsidP="003E4136">
      <w:pPr>
        <w:spacing w:after="0" w:line="480" w:lineRule="auto"/>
        <w:ind w:firstLine="720"/>
        <w:rPr>
          <w:rFonts w:ascii="Arial" w:eastAsia="Times New Roman" w:hAnsi="Arial" w:cs="Arial"/>
          <w:kern w:val="0"/>
          <w:lang w:eastAsia="en-GB"/>
          <w14:ligatures w14:val="none"/>
        </w:rPr>
      </w:pPr>
      <w:r w:rsidRPr="003E4136">
        <w:rPr>
          <w:rFonts w:ascii="Arial" w:eastAsia="Times New Roman" w:hAnsi="Arial" w:cs="Arial"/>
          <w:kern w:val="0"/>
          <w:lang w:eastAsia="en-GB"/>
          <w14:ligatures w14:val="none"/>
        </w:rPr>
        <w:lastRenderedPageBreak/>
        <w:t xml:space="preserve">Mincer, J. (1958) &amp;apos;Investment in human capital and personal income distribution,&amp;apos; </w:t>
      </w:r>
      <w:r w:rsidRPr="003E4136">
        <w:rPr>
          <w:rFonts w:ascii="Arial" w:eastAsia="Times New Roman" w:hAnsi="Arial" w:cs="Arial"/>
          <w:i/>
          <w:iCs/>
          <w:kern w:val="0"/>
          <w:lang w:eastAsia="en-GB"/>
          <w14:ligatures w14:val="none"/>
        </w:rPr>
        <w:t>Journal of Political Economy</w:t>
      </w:r>
      <w:r w:rsidRPr="003E4136">
        <w:rPr>
          <w:rFonts w:ascii="Arial" w:eastAsia="Times New Roman" w:hAnsi="Arial" w:cs="Arial"/>
          <w:kern w:val="0"/>
          <w:lang w:eastAsia="en-GB"/>
          <w14:ligatures w14:val="none"/>
        </w:rPr>
        <w:t>, 66(4), pp. 281–302. https://doi.org/10.1086/258055.</w:t>
      </w:r>
    </w:p>
    <w:p w14:paraId="22D4A1CC" w14:textId="77777777" w:rsidR="003E4136" w:rsidRPr="003E4136" w:rsidRDefault="003E4136" w:rsidP="003E4136">
      <w:pPr>
        <w:spacing w:after="0" w:line="480" w:lineRule="auto"/>
        <w:ind w:firstLine="720"/>
        <w:rPr>
          <w:rFonts w:ascii="Arial" w:eastAsia="Times New Roman" w:hAnsi="Arial" w:cs="Arial"/>
          <w:kern w:val="0"/>
          <w:lang w:eastAsia="en-GB"/>
          <w14:ligatures w14:val="none"/>
        </w:rPr>
      </w:pPr>
      <w:r w:rsidRPr="003E4136">
        <w:rPr>
          <w:rFonts w:ascii="Arial" w:eastAsia="Times New Roman" w:hAnsi="Arial" w:cs="Arial"/>
          <w:kern w:val="0"/>
          <w:lang w:eastAsia="en-GB"/>
          <w14:ligatures w14:val="none"/>
        </w:rPr>
        <w:t xml:space="preserve">Mir, S. (2018) &amp;apos;If the men of tomorrow are to respect women, parents have to teach it,&amp;apos; </w:t>
      </w:r>
      <w:r w:rsidRPr="003E4136">
        <w:rPr>
          <w:rFonts w:ascii="Arial" w:eastAsia="Times New Roman" w:hAnsi="Arial" w:cs="Arial"/>
          <w:i/>
          <w:iCs/>
          <w:kern w:val="0"/>
          <w:lang w:eastAsia="en-GB"/>
          <w14:ligatures w14:val="none"/>
        </w:rPr>
        <w:t>The Guardian</w:t>
      </w:r>
      <w:r w:rsidRPr="003E4136">
        <w:rPr>
          <w:rFonts w:ascii="Arial" w:eastAsia="Times New Roman" w:hAnsi="Arial" w:cs="Arial"/>
          <w:kern w:val="0"/>
          <w:lang w:eastAsia="en-GB"/>
          <w14:ligatures w14:val="none"/>
        </w:rPr>
        <w:t>, 30 October. https://www.theguardian.com/commentisfree/2018/oct/30/men-respect-women-parents-patriarchy-boys.</w:t>
      </w:r>
    </w:p>
    <w:p w14:paraId="524FC774" w14:textId="77777777" w:rsidR="003E4136" w:rsidRPr="003E4136" w:rsidRDefault="003E4136" w:rsidP="003E4136">
      <w:pPr>
        <w:spacing w:after="0" w:line="480" w:lineRule="auto"/>
        <w:ind w:firstLine="720"/>
        <w:rPr>
          <w:rFonts w:ascii="Arial" w:eastAsia="Times New Roman" w:hAnsi="Arial" w:cs="Arial"/>
          <w:kern w:val="0"/>
          <w:lang w:eastAsia="en-GB"/>
          <w14:ligatures w14:val="none"/>
        </w:rPr>
      </w:pPr>
      <w:r w:rsidRPr="003E4136">
        <w:rPr>
          <w:rFonts w:ascii="Arial" w:eastAsia="Times New Roman" w:hAnsi="Arial" w:cs="Arial"/>
          <w:kern w:val="0"/>
          <w:lang w:eastAsia="en-GB"/>
          <w14:ligatures w14:val="none"/>
        </w:rPr>
        <w:t xml:space="preserve">Nakhaie, M.R., Silverman, R.A. and LaGrange, T.C. (2000) &amp;apos;Self-Control and Social Control: an examination of gender, ethnicity, class and delinquency,&amp;apos; </w:t>
      </w:r>
      <w:r w:rsidRPr="003E4136">
        <w:rPr>
          <w:rFonts w:ascii="Arial" w:eastAsia="Times New Roman" w:hAnsi="Arial" w:cs="Arial"/>
          <w:i/>
          <w:iCs/>
          <w:kern w:val="0"/>
          <w:lang w:eastAsia="en-GB"/>
          <w14:ligatures w14:val="none"/>
        </w:rPr>
        <w:t>The Canadian Journal of Sociology</w:t>
      </w:r>
      <w:r w:rsidRPr="003E4136">
        <w:rPr>
          <w:rFonts w:ascii="Arial" w:eastAsia="Times New Roman" w:hAnsi="Arial" w:cs="Arial"/>
          <w:kern w:val="0"/>
          <w:lang w:eastAsia="en-GB"/>
          <w14:ligatures w14:val="none"/>
        </w:rPr>
        <w:t>, 25(1), p. 35. https://doi.org/10.2307/3341910.</w:t>
      </w:r>
    </w:p>
    <w:p w14:paraId="59A39DC2" w14:textId="77777777" w:rsidR="003E4136" w:rsidRPr="003E4136" w:rsidRDefault="003E4136" w:rsidP="003E4136">
      <w:pPr>
        <w:spacing w:after="0" w:line="480" w:lineRule="auto"/>
        <w:ind w:firstLine="720"/>
        <w:rPr>
          <w:rFonts w:ascii="Arial" w:eastAsia="Times New Roman" w:hAnsi="Arial" w:cs="Arial"/>
          <w:kern w:val="0"/>
          <w:lang w:eastAsia="en-GB"/>
          <w14:ligatures w14:val="none"/>
        </w:rPr>
      </w:pPr>
      <w:r w:rsidRPr="003E4136">
        <w:rPr>
          <w:rFonts w:ascii="Arial" w:eastAsia="Times New Roman" w:hAnsi="Arial" w:cs="Arial"/>
          <w:kern w:val="0"/>
          <w:lang w:eastAsia="en-GB"/>
          <w14:ligatures w14:val="none"/>
        </w:rPr>
        <w:t xml:space="preserve">Nelson, C. (no date) </w:t>
      </w:r>
      <w:r w:rsidRPr="003E4136">
        <w:rPr>
          <w:rFonts w:ascii="Arial" w:eastAsia="Times New Roman" w:hAnsi="Arial" w:cs="Arial"/>
          <w:i/>
          <w:iCs/>
          <w:kern w:val="0"/>
          <w:lang w:eastAsia="en-GB"/>
          <w14:ligatures w14:val="none"/>
        </w:rPr>
        <w:t>Friday essay: matrilineal societies exist around the world – it’s time to look beyond the patriarchy</w:t>
      </w:r>
      <w:r w:rsidRPr="003E4136">
        <w:rPr>
          <w:rFonts w:ascii="Arial" w:eastAsia="Times New Roman" w:hAnsi="Arial" w:cs="Arial"/>
          <w:kern w:val="0"/>
          <w:lang w:eastAsia="en-GB"/>
          <w14:ligatures w14:val="none"/>
        </w:rPr>
        <w:t>. https://theconversation.com/friday-essay-matrilineal-societies-exist-around-the-world-its-time-to-look-beyond-the-patriarchy-200825#:~:text=Although%20most%20dictionaries%20will%20tell,there%20are%20at%20least%20160.</w:t>
      </w:r>
    </w:p>
    <w:p w14:paraId="74E7F58A" w14:textId="77777777" w:rsidR="003E4136" w:rsidRPr="003E4136" w:rsidRDefault="003E4136" w:rsidP="003E4136">
      <w:pPr>
        <w:spacing w:after="0" w:line="480" w:lineRule="auto"/>
        <w:ind w:firstLine="720"/>
        <w:rPr>
          <w:rFonts w:ascii="Arial" w:eastAsia="Times New Roman" w:hAnsi="Arial" w:cs="Arial"/>
          <w:kern w:val="0"/>
          <w:lang w:eastAsia="en-GB"/>
          <w14:ligatures w14:val="none"/>
        </w:rPr>
      </w:pPr>
      <w:r w:rsidRPr="003E4136">
        <w:rPr>
          <w:rFonts w:ascii="Arial" w:eastAsia="Times New Roman" w:hAnsi="Arial" w:cs="Arial"/>
          <w:kern w:val="0"/>
          <w:lang w:eastAsia="en-GB"/>
          <w14:ligatures w14:val="none"/>
        </w:rPr>
        <w:t xml:space="preserve">Oecd (2020) </w:t>
      </w:r>
      <w:r w:rsidRPr="003E4136">
        <w:rPr>
          <w:rFonts w:ascii="Arial" w:eastAsia="Times New Roman" w:hAnsi="Arial" w:cs="Arial"/>
          <w:i/>
          <w:iCs/>
          <w:kern w:val="0"/>
          <w:lang w:eastAsia="en-GB"/>
          <w14:ligatures w14:val="none"/>
        </w:rPr>
        <w:t>Women at the core of the fight against COVID-19 crisis</w:t>
      </w:r>
      <w:r w:rsidRPr="003E4136">
        <w:rPr>
          <w:rFonts w:ascii="Arial" w:eastAsia="Times New Roman" w:hAnsi="Arial" w:cs="Arial"/>
          <w:kern w:val="0"/>
          <w:lang w:eastAsia="en-GB"/>
          <w14:ligatures w14:val="none"/>
        </w:rPr>
        <w:t xml:space="preserve">, </w:t>
      </w:r>
      <w:r w:rsidRPr="003E4136">
        <w:rPr>
          <w:rFonts w:ascii="Arial" w:eastAsia="Times New Roman" w:hAnsi="Arial" w:cs="Arial"/>
          <w:i/>
          <w:iCs/>
          <w:kern w:val="0"/>
          <w:lang w:eastAsia="en-GB"/>
          <w14:ligatures w14:val="none"/>
        </w:rPr>
        <w:t>OECD Policy Responses to Coronavirus (Covid-19)</w:t>
      </w:r>
      <w:r w:rsidRPr="003E4136">
        <w:rPr>
          <w:rFonts w:ascii="Arial" w:eastAsia="Times New Roman" w:hAnsi="Arial" w:cs="Arial"/>
          <w:kern w:val="0"/>
          <w:lang w:eastAsia="en-GB"/>
          <w14:ligatures w14:val="none"/>
        </w:rPr>
        <w:t>. https://doi.org/10.1787/553a8269-en.</w:t>
      </w:r>
    </w:p>
    <w:p w14:paraId="01C395B7" w14:textId="77777777" w:rsidR="003E4136" w:rsidRPr="003E4136" w:rsidRDefault="003E4136" w:rsidP="003E4136">
      <w:pPr>
        <w:spacing w:after="0" w:line="480" w:lineRule="auto"/>
        <w:ind w:firstLine="720"/>
        <w:rPr>
          <w:rFonts w:ascii="Arial" w:eastAsia="Times New Roman" w:hAnsi="Arial" w:cs="Arial"/>
          <w:kern w:val="0"/>
          <w:lang w:eastAsia="en-GB"/>
          <w14:ligatures w14:val="none"/>
        </w:rPr>
      </w:pPr>
      <w:r w:rsidRPr="003E4136">
        <w:rPr>
          <w:rFonts w:ascii="Arial" w:eastAsia="Times New Roman" w:hAnsi="Arial" w:cs="Arial"/>
          <w:i/>
          <w:iCs/>
          <w:kern w:val="0"/>
          <w:lang w:eastAsia="en-GB"/>
          <w14:ligatures w14:val="none"/>
        </w:rPr>
        <w:t>Oxfam GB | Almost two-thirds of women’s working hours excluded from GDP globally</w:t>
      </w:r>
      <w:r w:rsidRPr="003E4136">
        <w:rPr>
          <w:rFonts w:ascii="Arial" w:eastAsia="Times New Roman" w:hAnsi="Arial" w:cs="Arial"/>
          <w:kern w:val="0"/>
          <w:lang w:eastAsia="en-GB"/>
          <w14:ligatures w14:val="none"/>
        </w:rPr>
        <w:t xml:space="preserve"> (2023). https://www.oxfam.org.uk/media/press-releases/almost-two-thirds-of-womens-working-hours-excluded-from-gdp-globally/.</w:t>
      </w:r>
    </w:p>
    <w:p w14:paraId="47533438" w14:textId="77777777" w:rsidR="003E4136" w:rsidRPr="003E4136" w:rsidRDefault="003E4136" w:rsidP="003E4136">
      <w:pPr>
        <w:spacing w:after="0" w:line="480" w:lineRule="auto"/>
        <w:ind w:firstLine="720"/>
        <w:rPr>
          <w:rFonts w:ascii="Arial" w:eastAsia="Times New Roman" w:hAnsi="Arial" w:cs="Arial"/>
          <w:kern w:val="0"/>
          <w:lang w:eastAsia="en-GB"/>
          <w14:ligatures w14:val="none"/>
        </w:rPr>
      </w:pPr>
      <w:r w:rsidRPr="003E4136">
        <w:rPr>
          <w:rFonts w:ascii="Arial" w:eastAsia="Times New Roman" w:hAnsi="Arial" w:cs="Arial"/>
          <w:kern w:val="0"/>
          <w:lang w:eastAsia="en-GB"/>
          <w14:ligatures w14:val="none"/>
        </w:rPr>
        <w:t xml:space="preserve">Pryor, D.W., Hughes, M.R. and Langdon, J.J. (2023) &amp;apos;Agents of socialization, anxiety, college women, and fear of rape,&amp;apos; </w:t>
      </w:r>
      <w:r w:rsidRPr="003E4136">
        <w:rPr>
          <w:rFonts w:ascii="Arial" w:eastAsia="Times New Roman" w:hAnsi="Arial" w:cs="Arial"/>
          <w:i/>
          <w:iCs/>
          <w:kern w:val="0"/>
          <w:lang w:eastAsia="en-GB"/>
          <w14:ligatures w14:val="none"/>
        </w:rPr>
        <w:t>Violence Against Women</w:t>
      </w:r>
      <w:r w:rsidRPr="003E4136">
        <w:rPr>
          <w:rFonts w:ascii="Arial" w:eastAsia="Times New Roman" w:hAnsi="Arial" w:cs="Arial"/>
          <w:kern w:val="0"/>
          <w:lang w:eastAsia="en-GB"/>
          <w14:ligatures w14:val="none"/>
        </w:rPr>
        <w:t>, 30(3–4), pp. 691–721. https://doi.org/10.1177/10778012231172703.</w:t>
      </w:r>
    </w:p>
    <w:p w14:paraId="5E071EA9" w14:textId="77777777" w:rsidR="003E4136" w:rsidRPr="003E4136" w:rsidRDefault="003E4136" w:rsidP="003E4136">
      <w:pPr>
        <w:spacing w:after="0" w:line="480" w:lineRule="auto"/>
        <w:ind w:firstLine="720"/>
        <w:rPr>
          <w:rFonts w:ascii="Arial" w:eastAsia="Times New Roman" w:hAnsi="Arial" w:cs="Arial"/>
          <w:kern w:val="0"/>
          <w:lang w:eastAsia="en-GB"/>
          <w14:ligatures w14:val="none"/>
        </w:rPr>
      </w:pPr>
      <w:r w:rsidRPr="003E4136">
        <w:rPr>
          <w:rFonts w:ascii="Arial" w:eastAsia="Times New Roman" w:hAnsi="Arial" w:cs="Arial"/>
          <w:kern w:val="0"/>
          <w:lang w:eastAsia="en-GB"/>
          <w14:ligatures w14:val="none"/>
        </w:rPr>
        <w:lastRenderedPageBreak/>
        <w:t xml:space="preserve">Revolving (2023a) &amp;apos;Patriarchy on trial: double standards in the criminal justice...,&amp;apos; </w:t>
      </w:r>
      <w:r w:rsidRPr="003E4136">
        <w:rPr>
          <w:rFonts w:ascii="Arial" w:eastAsia="Times New Roman" w:hAnsi="Arial" w:cs="Arial"/>
          <w:i/>
          <w:iCs/>
          <w:kern w:val="0"/>
          <w:lang w:eastAsia="en-GB"/>
          <w14:ligatures w14:val="none"/>
        </w:rPr>
        <w:t>Revolving Doors</w:t>
      </w:r>
      <w:r w:rsidRPr="003E4136">
        <w:rPr>
          <w:rFonts w:ascii="Arial" w:eastAsia="Times New Roman" w:hAnsi="Arial" w:cs="Arial"/>
          <w:kern w:val="0"/>
          <w:lang w:eastAsia="en-GB"/>
          <w14:ligatures w14:val="none"/>
        </w:rPr>
        <w:t>, 9 May. https://revolving-doors.org.uk/women-criminal-justice-double-standards/.</w:t>
      </w:r>
    </w:p>
    <w:p w14:paraId="523033D4" w14:textId="77777777" w:rsidR="003E4136" w:rsidRPr="003E4136" w:rsidRDefault="003E4136" w:rsidP="003E4136">
      <w:pPr>
        <w:spacing w:after="0" w:line="480" w:lineRule="auto"/>
        <w:ind w:firstLine="720"/>
        <w:rPr>
          <w:rFonts w:ascii="Arial" w:eastAsia="Times New Roman" w:hAnsi="Arial" w:cs="Arial"/>
          <w:kern w:val="0"/>
          <w:lang w:eastAsia="en-GB"/>
          <w14:ligatures w14:val="none"/>
        </w:rPr>
      </w:pPr>
      <w:r w:rsidRPr="003E4136">
        <w:rPr>
          <w:rFonts w:ascii="Arial" w:eastAsia="Times New Roman" w:hAnsi="Arial" w:cs="Arial"/>
          <w:kern w:val="0"/>
          <w:lang w:eastAsia="en-GB"/>
          <w14:ligatures w14:val="none"/>
        </w:rPr>
        <w:t xml:space="preserve">Revolving (2023b) &amp;apos;Patriarchy on trial: double standards in the criminal justice...,&amp;apos; </w:t>
      </w:r>
      <w:r w:rsidRPr="003E4136">
        <w:rPr>
          <w:rFonts w:ascii="Arial" w:eastAsia="Times New Roman" w:hAnsi="Arial" w:cs="Arial"/>
          <w:i/>
          <w:iCs/>
          <w:kern w:val="0"/>
          <w:lang w:eastAsia="en-GB"/>
          <w14:ligatures w14:val="none"/>
        </w:rPr>
        <w:t>Revolving Doors</w:t>
      </w:r>
      <w:r w:rsidRPr="003E4136">
        <w:rPr>
          <w:rFonts w:ascii="Arial" w:eastAsia="Times New Roman" w:hAnsi="Arial" w:cs="Arial"/>
          <w:kern w:val="0"/>
          <w:lang w:eastAsia="en-GB"/>
          <w14:ligatures w14:val="none"/>
        </w:rPr>
        <w:t>, 9 May. https://revolving-doors.org.uk/women-criminal-justice-double-standards/#:~:text=Women%20are%20punished%20more%20harshly,networks%20and%20employment%20after%20prison.</w:t>
      </w:r>
    </w:p>
    <w:p w14:paraId="1E411E37" w14:textId="77777777" w:rsidR="003E4136" w:rsidRPr="003E4136" w:rsidRDefault="003E4136" w:rsidP="003E4136">
      <w:pPr>
        <w:spacing w:after="0" w:line="480" w:lineRule="auto"/>
        <w:ind w:firstLine="720"/>
        <w:rPr>
          <w:rFonts w:ascii="Arial" w:eastAsia="Times New Roman" w:hAnsi="Arial" w:cs="Arial"/>
          <w:kern w:val="0"/>
          <w:lang w:eastAsia="en-GB"/>
          <w14:ligatures w14:val="none"/>
        </w:rPr>
      </w:pPr>
      <w:r w:rsidRPr="003E4136">
        <w:rPr>
          <w:rFonts w:ascii="Arial" w:eastAsia="Times New Roman" w:hAnsi="Arial" w:cs="Arial"/>
          <w:kern w:val="0"/>
          <w:lang w:eastAsia="en-GB"/>
          <w14:ligatures w14:val="none"/>
        </w:rPr>
        <w:t xml:space="preserve">Riger, S. and Gordon, M.T. (1981) &amp;apos;The Fear of Rape: A Study in Social Control,&amp;apos; </w:t>
      </w:r>
      <w:r w:rsidRPr="003E4136">
        <w:rPr>
          <w:rFonts w:ascii="Arial" w:eastAsia="Times New Roman" w:hAnsi="Arial" w:cs="Arial"/>
          <w:i/>
          <w:iCs/>
          <w:kern w:val="0"/>
          <w:lang w:eastAsia="en-GB"/>
          <w14:ligatures w14:val="none"/>
        </w:rPr>
        <w:t>Journal of Social Issues</w:t>
      </w:r>
      <w:r w:rsidRPr="003E4136">
        <w:rPr>
          <w:rFonts w:ascii="Arial" w:eastAsia="Times New Roman" w:hAnsi="Arial" w:cs="Arial"/>
          <w:kern w:val="0"/>
          <w:lang w:eastAsia="en-GB"/>
          <w14:ligatures w14:val="none"/>
        </w:rPr>
        <w:t>, 37(4), pp. 71–92. https://doi.org/10.1111/j.1540-4560.1981.tb01071.x.</w:t>
      </w:r>
    </w:p>
    <w:p w14:paraId="4330E16C" w14:textId="77777777" w:rsidR="003E4136" w:rsidRPr="003E4136" w:rsidRDefault="003E4136" w:rsidP="003E4136">
      <w:pPr>
        <w:spacing w:after="0" w:line="480" w:lineRule="auto"/>
        <w:ind w:firstLine="720"/>
        <w:rPr>
          <w:rFonts w:ascii="Arial" w:eastAsia="Times New Roman" w:hAnsi="Arial" w:cs="Arial"/>
          <w:kern w:val="0"/>
          <w:lang w:eastAsia="en-GB"/>
          <w14:ligatures w14:val="none"/>
        </w:rPr>
      </w:pPr>
      <w:r w:rsidRPr="003E4136">
        <w:rPr>
          <w:rFonts w:ascii="Arial" w:eastAsia="Times New Roman" w:hAnsi="Arial" w:cs="Arial"/>
          <w:kern w:val="0"/>
          <w:lang w:eastAsia="en-GB"/>
          <w14:ligatures w14:val="none"/>
        </w:rPr>
        <w:t xml:space="preserve">Saini, A. (2020) &amp;apos;Angela Saini: dispelling the myths of science past,&amp;apos; </w:t>
      </w:r>
      <w:r w:rsidRPr="003E4136">
        <w:rPr>
          <w:rFonts w:ascii="Arial" w:eastAsia="Times New Roman" w:hAnsi="Arial" w:cs="Arial"/>
          <w:i/>
          <w:iCs/>
          <w:kern w:val="0"/>
          <w:lang w:eastAsia="en-GB"/>
          <w14:ligatures w14:val="none"/>
        </w:rPr>
        <w:t>The Biochemist</w:t>
      </w:r>
      <w:r w:rsidRPr="003E4136">
        <w:rPr>
          <w:rFonts w:ascii="Arial" w:eastAsia="Times New Roman" w:hAnsi="Arial" w:cs="Arial"/>
          <w:kern w:val="0"/>
          <w:lang w:eastAsia="en-GB"/>
          <w14:ligatures w14:val="none"/>
        </w:rPr>
        <w:t>, 42(2), pp. 46–48. https://doi.org/10.1042/bio04202008.</w:t>
      </w:r>
    </w:p>
    <w:p w14:paraId="4544C3FA" w14:textId="77777777" w:rsidR="003E4136" w:rsidRPr="003E4136" w:rsidRDefault="003E4136" w:rsidP="003E4136">
      <w:pPr>
        <w:spacing w:after="0" w:line="480" w:lineRule="auto"/>
        <w:ind w:firstLine="720"/>
        <w:rPr>
          <w:rFonts w:ascii="Arial" w:eastAsia="Times New Roman" w:hAnsi="Arial" w:cs="Arial"/>
          <w:kern w:val="0"/>
          <w:lang w:eastAsia="en-GB"/>
          <w14:ligatures w14:val="none"/>
        </w:rPr>
      </w:pPr>
      <w:r w:rsidRPr="003E4136">
        <w:rPr>
          <w:rFonts w:ascii="Arial" w:eastAsia="Times New Roman" w:hAnsi="Arial" w:cs="Arial"/>
          <w:kern w:val="0"/>
          <w:lang w:eastAsia="en-GB"/>
          <w14:ligatures w14:val="none"/>
        </w:rPr>
        <w:t xml:space="preserve">Saner, E. (2022) &amp;apos;‘The woman’s to-do list is relentless’: how to achieve an equal split of household chores,&amp;apos; </w:t>
      </w:r>
      <w:r w:rsidRPr="003E4136">
        <w:rPr>
          <w:rFonts w:ascii="Arial" w:eastAsia="Times New Roman" w:hAnsi="Arial" w:cs="Arial"/>
          <w:i/>
          <w:iCs/>
          <w:kern w:val="0"/>
          <w:lang w:eastAsia="en-GB"/>
          <w14:ligatures w14:val="none"/>
        </w:rPr>
        <w:t>The Guardian</w:t>
      </w:r>
      <w:r w:rsidRPr="003E4136">
        <w:rPr>
          <w:rFonts w:ascii="Arial" w:eastAsia="Times New Roman" w:hAnsi="Arial" w:cs="Arial"/>
          <w:kern w:val="0"/>
          <w:lang w:eastAsia="en-GB"/>
          <w14:ligatures w14:val="none"/>
        </w:rPr>
        <w:t>, 15 August. https://www.theguardian.com/money/2022/aug/15/how-to-achieve-an-equal-split-of-household-chores-kate-mangino.</w:t>
      </w:r>
    </w:p>
    <w:p w14:paraId="7A1F1C31" w14:textId="77777777" w:rsidR="003E4136" w:rsidRPr="003E4136" w:rsidRDefault="003E4136" w:rsidP="003E4136">
      <w:pPr>
        <w:spacing w:after="0" w:line="480" w:lineRule="auto"/>
        <w:ind w:firstLine="720"/>
        <w:rPr>
          <w:rFonts w:ascii="Arial" w:eastAsia="Times New Roman" w:hAnsi="Arial" w:cs="Arial"/>
          <w:kern w:val="0"/>
          <w:lang w:eastAsia="en-GB"/>
          <w14:ligatures w14:val="none"/>
        </w:rPr>
      </w:pPr>
      <w:r w:rsidRPr="003E4136">
        <w:rPr>
          <w:rFonts w:ascii="Arial" w:eastAsia="Times New Roman" w:hAnsi="Arial" w:cs="Arial"/>
          <w:kern w:val="0"/>
          <w:lang w:eastAsia="en-GB"/>
          <w14:ligatures w14:val="none"/>
        </w:rPr>
        <w:t xml:space="preserve">Santos, C. and Tertilt, M. (2023) </w:t>
      </w:r>
      <w:r w:rsidRPr="003E4136">
        <w:rPr>
          <w:rFonts w:ascii="Arial" w:eastAsia="Times New Roman" w:hAnsi="Arial" w:cs="Arial"/>
          <w:i/>
          <w:iCs/>
          <w:kern w:val="0"/>
          <w:lang w:eastAsia="en-GB"/>
          <w14:ligatures w14:val="none"/>
        </w:rPr>
        <w:t>How families matter for understanding economic inequality</w:t>
      </w:r>
      <w:r w:rsidRPr="003E4136">
        <w:rPr>
          <w:rFonts w:ascii="Arial" w:eastAsia="Times New Roman" w:hAnsi="Arial" w:cs="Arial"/>
          <w:kern w:val="0"/>
          <w:lang w:eastAsia="en-GB"/>
          <w14:ligatures w14:val="none"/>
        </w:rPr>
        <w:t xml:space="preserve">, </w:t>
      </w:r>
      <w:r w:rsidRPr="003E4136">
        <w:rPr>
          <w:rFonts w:ascii="Arial" w:eastAsia="Times New Roman" w:hAnsi="Arial" w:cs="Arial"/>
          <w:i/>
          <w:iCs/>
          <w:kern w:val="0"/>
          <w:lang w:eastAsia="en-GB"/>
          <w14:ligatures w14:val="none"/>
        </w:rPr>
        <w:t>ifs.org.uk</w:t>
      </w:r>
      <w:r w:rsidRPr="003E4136">
        <w:rPr>
          <w:rFonts w:ascii="Arial" w:eastAsia="Times New Roman" w:hAnsi="Arial" w:cs="Arial"/>
          <w:kern w:val="0"/>
          <w:lang w:eastAsia="en-GB"/>
          <w14:ligatures w14:val="none"/>
        </w:rPr>
        <w:t>.</w:t>
      </w:r>
    </w:p>
    <w:p w14:paraId="168983DB" w14:textId="77777777" w:rsidR="003E4136" w:rsidRPr="003E4136" w:rsidRDefault="003E4136" w:rsidP="003E4136">
      <w:pPr>
        <w:spacing w:after="0" w:line="480" w:lineRule="auto"/>
        <w:ind w:firstLine="720"/>
        <w:rPr>
          <w:rFonts w:ascii="Arial" w:eastAsia="Times New Roman" w:hAnsi="Arial" w:cs="Arial"/>
          <w:kern w:val="0"/>
          <w:lang w:eastAsia="en-GB"/>
          <w14:ligatures w14:val="none"/>
        </w:rPr>
      </w:pPr>
      <w:r w:rsidRPr="003E4136">
        <w:rPr>
          <w:rFonts w:ascii="Arial" w:eastAsia="Times New Roman" w:hAnsi="Arial" w:cs="Arial"/>
          <w:kern w:val="0"/>
          <w:lang w:eastAsia="en-GB"/>
          <w14:ligatures w14:val="none"/>
        </w:rPr>
        <w:t xml:space="preserve">Schopen, F. (2017) &amp;apos;The healthcare gender bias: do men get better medical treatment?,&amp;apos; </w:t>
      </w:r>
      <w:r w:rsidRPr="003E4136">
        <w:rPr>
          <w:rFonts w:ascii="Arial" w:eastAsia="Times New Roman" w:hAnsi="Arial" w:cs="Arial"/>
          <w:i/>
          <w:iCs/>
          <w:kern w:val="0"/>
          <w:lang w:eastAsia="en-GB"/>
          <w14:ligatures w14:val="none"/>
        </w:rPr>
        <w:t>The Guardian</w:t>
      </w:r>
      <w:r w:rsidRPr="003E4136">
        <w:rPr>
          <w:rFonts w:ascii="Arial" w:eastAsia="Times New Roman" w:hAnsi="Arial" w:cs="Arial"/>
          <w:kern w:val="0"/>
          <w:lang w:eastAsia="en-GB"/>
          <w14:ligatures w14:val="none"/>
        </w:rPr>
        <w:t>, 27 November. https://www.theguardian.com/lifeandstyle/2017/nov/20/healthcare-gender-bias-women-pain.</w:t>
      </w:r>
    </w:p>
    <w:p w14:paraId="34942C5F" w14:textId="77777777" w:rsidR="003E4136" w:rsidRPr="003E4136" w:rsidRDefault="003E4136" w:rsidP="003E4136">
      <w:pPr>
        <w:spacing w:after="0" w:line="480" w:lineRule="auto"/>
        <w:ind w:firstLine="720"/>
        <w:rPr>
          <w:rFonts w:ascii="Arial" w:eastAsia="Times New Roman" w:hAnsi="Arial" w:cs="Arial"/>
          <w:kern w:val="0"/>
          <w:lang w:eastAsia="en-GB"/>
          <w14:ligatures w14:val="none"/>
        </w:rPr>
      </w:pPr>
      <w:r w:rsidRPr="003E4136">
        <w:rPr>
          <w:rFonts w:ascii="Arial" w:eastAsia="Times New Roman" w:hAnsi="Arial" w:cs="Arial"/>
          <w:kern w:val="0"/>
          <w:lang w:eastAsia="en-GB"/>
          <w14:ligatures w14:val="none"/>
        </w:rPr>
        <w:lastRenderedPageBreak/>
        <w:t xml:space="preserve">Segal, D.R., Janowitz, M. and Burk, J. (1992) &amp;apos;On social organization and social control.,&amp;apos; </w:t>
      </w:r>
      <w:r w:rsidRPr="003E4136">
        <w:rPr>
          <w:rFonts w:ascii="Arial" w:eastAsia="Times New Roman" w:hAnsi="Arial" w:cs="Arial"/>
          <w:i/>
          <w:iCs/>
          <w:kern w:val="0"/>
          <w:lang w:eastAsia="en-GB"/>
          <w14:ligatures w14:val="none"/>
        </w:rPr>
        <w:t>Contemporary Sociology a Journal of Reviews</w:t>
      </w:r>
      <w:r w:rsidRPr="003E4136">
        <w:rPr>
          <w:rFonts w:ascii="Arial" w:eastAsia="Times New Roman" w:hAnsi="Arial" w:cs="Arial"/>
          <w:kern w:val="0"/>
          <w:lang w:eastAsia="en-GB"/>
          <w14:ligatures w14:val="none"/>
        </w:rPr>
        <w:t>, 21(3), p. 409. https://doi.org/10.2307/2076336.</w:t>
      </w:r>
    </w:p>
    <w:p w14:paraId="3376FAC0" w14:textId="77777777" w:rsidR="003E4136" w:rsidRPr="003E4136" w:rsidRDefault="003E4136" w:rsidP="003E4136">
      <w:pPr>
        <w:spacing w:after="0" w:line="480" w:lineRule="auto"/>
        <w:ind w:firstLine="720"/>
        <w:rPr>
          <w:rFonts w:ascii="Arial" w:eastAsia="Times New Roman" w:hAnsi="Arial" w:cs="Arial"/>
          <w:kern w:val="0"/>
          <w:lang w:eastAsia="en-GB"/>
          <w14:ligatures w14:val="none"/>
        </w:rPr>
      </w:pPr>
      <w:r w:rsidRPr="003E4136">
        <w:rPr>
          <w:rFonts w:ascii="Arial" w:eastAsia="Times New Roman" w:hAnsi="Arial" w:cs="Arial"/>
          <w:kern w:val="0"/>
          <w:lang w:eastAsia="en-GB"/>
          <w14:ligatures w14:val="none"/>
        </w:rPr>
        <w:t xml:space="preserve">Smith (2022) </w:t>
      </w:r>
      <w:r w:rsidRPr="003E4136">
        <w:rPr>
          <w:rFonts w:ascii="Arial" w:eastAsia="Times New Roman" w:hAnsi="Arial" w:cs="Arial"/>
          <w:i/>
          <w:iCs/>
          <w:kern w:val="0"/>
          <w:lang w:eastAsia="en-GB"/>
          <w14:ligatures w14:val="none"/>
        </w:rPr>
        <w:t>Women and the Criminal Justice System 2021</w:t>
      </w:r>
      <w:r w:rsidRPr="003E4136">
        <w:rPr>
          <w:rFonts w:ascii="Arial" w:eastAsia="Times New Roman" w:hAnsi="Arial" w:cs="Arial"/>
          <w:kern w:val="0"/>
          <w:lang w:eastAsia="en-GB"/>
          <w14:ligatures w14:val="none"/>
        </w:rPr>
        <w:t xml:space="preserve">, </w:t>
      </w:r>
      <w:r w:rsidRPr="003E4136">
        <w:rPr>
          <w:rFonts w:ascii="Arial" w:eastAsia="Times New Roman" w:hAnsi="Arial" w:cs="Arial"/>
          <w:i/>
          <w:iCs/>
          <w:kern w:val="0"/>
          <w:lang w:eastAsia="en-GB"/>
          <w14:ligatures w14:val="none"/>
        </w:rPr>
        <w:t>Ministry of Justice</w:t>
      </w:r>
      <w:r w:rsidRPr="003E4136">
        <w:rPr>
          <w:rFonts w:ascii="Arial" w:eastAsia="Times New Roman" w:hAnsi="Arial" w:cs="Arial"/>
          <w:kern w:val="0"/>
          <w:lang w:eastAsia="en-GB"/>
          <w14:ligatures w14:val="none"/>
        </w:rPr>
        <w:t>.</w:t>
      </w:r>
    </w:p>
    <w:p w14:paraId="767E611A" w14:textId="77777777" w:rsidR="003E4136" w:rsidRPr="003E4136" w:rsidRDefault="003E4136" w:rsidP="003E4136">
      <w:pPr>
        <w:spacing w:after="0" w:line="480" w:lineRule="auto"/>
        <w:ind w:firstLine="720"/>
        <w:rPr>
          <w:rFonts w:ascii="Arial" w:eastAsia="Times New Roman" w:hAnsi="Arial" w:cs="Arial"/>
          <w:kern w:val="0"/>
          <w:lang w:eastAsia="en-GB"/>
          <w14:ligatures w14:val="none"/>
        </w:rPr>
      </w:pPr>
      <w:r w:rsidRPr="003E4136">
        <w:rPr>
          <w:rFonts w:ascii="Arial" w:eastAsia="Times New Roman" w:hAnsi="Arial" w:cs="Arial"/>
          <w:kern w:val="0"/>
          <w:lang w:eastAsia="en-GB"/>
          <w14:ligatures w14:val="none"/>
        </w:rPr>
        <w:t xml:space="preserve">Surowiec, A., Snyder, K.T. and Creanza, N. (2019) &amp;apos;A worldwide view of matriliny: using cross-cultural analyses to shed light on human kinship systems,&amp;apos; </w:t>
      </w:r>
      <w:r w:rsidRPr="003E4136">
        <w:rPr>
          <w:rFonts w:ascii="Arial" w:eastAsia="Times New Roman" w:hAnsi="Arial" w:cs="Arial"/>
          <w:i/>
          <w:iCs/>
          <w:kern w:val="0"/>
          <w:lang w:eastAsia="en-GB"/>
          <w14:ligatures w14:val="none"/>
        </w:rPr>
        <w:t>Philosophical Transactions of the Royal Society B Biological Sciences</w:t>
      </w:r>
      <w:r w:rsidRPr="003E4136">
        <w:rPr>
          <w:rFonts w:ascii="Arial" w:eastAsia="Times New Roman" w:hAnsi="Arial" w:cs="Arial"/>
          <w:kern w:val="0"/>
          <w:lang w:eastAsia="en-GB"/>
          <w14:ligatures w14:val="none"/>
        </w:rPr>
        <w:t>, 374(1780), p. 20180077. https://doi.org/10.1098/rstb.2018.0077.</w:t>
      </w:r>
    </w:p>
    <w:p w14:paraId="69601BFA" w14:textId="77777777" w:rsidR="003E4136" w:rsidRPr="003E4136" w:rsidRDefault="003E4136" w:rsidP="003E4136">
      <w:pPr>
        <w:spacing w:after="0" w:line="480" w:lineRule="auto"/>
        <w:ind w:firstLine="720"/>
        <w:rPr>
          <w:rFonts w:ascii="Arial" w:eastAsia="Times New Roman" w:hAnsi="Arial" w:cs="Arial"/>
          <w:kern w:val="0"/>
          <w:lang w:eastAsia="en-GB"/>
          <w14:ligatures w14:val="none"/>
        </w:rPr>
      </w:pPr>
      <w:r w:rsidRPr="003E4136">
        <w:rPr>
          <w:rFonts w:ascii="Arial" w:eastAsia="Times New Roman" w:hAnsi="Arial" w:cs="Arial"/>
          <w:kern w:val="0"/>
          <w:lang w:eastAsia="en-GB"/>
          <w14:ligatures w14:val="none"/>
        </w:rPr>
        <w:t xml:space="preserve">Uberoi, E. and Tunnicliffe, R. (2019) &amp;apos;Ethnic diversity in politics and public life,&amp;apos; </w:t>
      </w:r>
      <w:r w:rsidRPr="003E4136">
        <w:rPr>
          <w:rFonts w:ascii="Arial" w:eastAsia="Times New Roman" w:hAnsi="Arial" w:cs="Arial"/>
          <w:i/>
          <w:iCs/>
          <w:kern w:val="0"/>
          <w:lang w:eastAsia="en-GB"/>
          <w14:ligatures w14:val="none"/>
        </w:rPr>
        <w:t>House of Commons Library</w:t>
      </w:r>
      <w:r w:rsidRPr="003E4136">
        <w:rPr>
          <w:rFonts w:ascii="Arial" w:eastAsia="Times New Roman" w:hAnsi="Arial" w:cs="Arial"/>
          <w:kern w:val="0"/>
          <w:lang w:eastAsia="en-GB"/>
          <w14:ligatures w14:val="none"/>
        </w:rPr>
        <w:t xml:space="preserve"> [Preprint]. http://commonslibrary.parliament.uk/research-briefings/sn01156/.</w:t>
      </w:r>
    </w:p>
    <w:p w14:paraId="271E37A3" w14:textId="77777777" w:rsidR="003E4136" w:rsidRPr="003E4136" w:rsidRDefault="003E4136" w:rsidP="003E4136">
      <w:pPr>
        <w:spacing w:after="0" w:line="480" w:lineRule="auto"/>
        <w:ind w:firstLine="720"/>
        <w:rPr>
          <w:rFonts w:ascii="Arial" w:eastAsia="Times New Roman" w:hAnsi="Arial" w:cs="Arial"/>
          <w:kern w:val="0"/>
          <w:lang w:eastAsia="en-GB"/>
          <w14:ligatures w14:val="none"/>
        </w:rPr>
      </w:pPr>
      <w:r w:rsidRPr="003E4136">
        <w:rPr>
          <w:rFonts w:ascii="Arial" w:eastAsia="Times New Roman" w:hAnsi="Arial" w:cs="Arial"/>
          <w:kern w:val="0"/>
          <w:lang w:eastAsia="en-GB"/>
          <w14:ligatures w14:val="none"/>
        </w:rPr>
        <w:t xml:space="preserve">Vine, M.W. and Nye, F.I. (1959) &amp;apos;Family relationships and delinquent behavior,&amp;apos; </w:t>
      </w:r>
      <w:r w:rsidRPr="003E4136">
        <w:rPr>
          <w:rFonts w:ascii="Arial" w:eastAsia="Times New Roman" w:hAnsi="Arial" w:cs="Arial"/>
          <w:i/>
          <w:iCs/>
          <w:kern w:val="0"/>
          <w:lang w:eastAsia="en-GB"/>
          <w14:ligatures w14:val="none"/>
        </w:rPr>
        <w:t>The Journal of Criminal Law Criminology and Police Science</w:t>
      </w:r>
      <w:r w:rsidRPr="003E4136">
        <w:rPr>
          <w:rFonts w:ascii="Arial" w:eastAsia="Times New Roman" w:hAnsi="Arial" w:cs="Arial"/>
          <w:kern w:val="0"/>
          <w:lang w:eastAsia="en-GB"/>
          <w14:ligatures w14:val="none"/>
        </w:rPr>
        <w:t>, 49(5), p. 468. https://doi.org/10.2307/1141344.</w:t>
      </w:r>
    </w:p>
    <w:p w14:paraId="4D493EAE" w14:textId="77777777" w:rsidR="003E4136" w:rsidRPr="003E4136" w:rsidRDefault="003E4136" w:rsidP="003E4136">
      <w:pPr>
        <w:spacing w:after="0" w:line="480" w:lineRule="auto"/>
        <w:ind w:firstLine="720"/>
        <w:rPr>
          <w:rFonts w:ascii="Arial" w:eastAsia="Times New Roman" w:hAnsi="Arial" w:cs="Arial"/>
          <w:kern w:val="0"/>
          <w:lang w:eastAsia="en-GB"/>
          <w14:ligatures w14:val="none"/>
        </w:rPr>
      </w:pPr>
      <w:r w:rsidRPr="003E4136">
        <w:rPr>
          <w:rFonts w:ascii="Arial" w:eastAsia="Times New Roman" w:hAnsi="Arial" w:cs="Arial"/>
          <w:kern w:val="0"/>
          <w:lang w:eastAsia="en-GB"/>
          <w14:ligatures w14:val="none"/>
        </w:rPr>
        <w:t xml:space="preserve">Walby, S. (2012) &amp;apos;Sylvia Walby - UK,&amp;apos; </w:t>
      </w:r>
      <w:r w:rsidRPr="003E4136">
        <w:rPr>
          <w:rFonts w:ascii="Arial" w:eastAsia="Times New Roman" w:hAnsi="Arial" w:cs="Arial"/>
          <w:i/>
          <w:iCs/>
          <w:kern w:val="0"/>
          <w:lang w:eastAsia="en-GB"/>
          <w14:ligatures w14:val="none"/>
        </w:rPr>
        <w:t>European Societies</w:t>
      </w:r>
      <w:r w:rsidRPr="003E4136">
        <w:rPr>
          <w:rFonts w:ascii="Arial" w:eastAsia="Times New Roman" w:hAnsi="Arial" w:cs="Arial"/>
          <w:kern w:val="0"/>
          <w:lang w:eastAsia="en-GB"/>
          <w14:ligatures w14:val="none"/>
        </w:rPr>
        <w:t>, 14(1), pp. 151–152. https://doi.org/10.1080/14616696.2012.652538.</w:t>
      </w:r>
    </w:p>
    <w:p w14:paraId="0DF68A95" w14:textId="77777777" w:rsidR="003E4136" w:rsidRPr="003E4136" w:rsidRDefault="003E4136" w:rsidP="003E4136">
      <w:pPr>
        <w:spacing w:after="0" w:line="480" w:lineRule="auto"/>
        <w:ind w:firstLine="720"/>
        <w:rPr>
          <w:rFonts w:ascii="Arial" w:eastAsia="Times New Roman" w:hAnsi="Arial" w:cs="Arial"/>
          <w:kern w:val="0"/>
          <w:lang w:eastAsia="en-GB"/>
          <w14:ligatures w14:val="none"/>
        </w:rPr>
      </w:pPr>
      <w:r w:rsidRPr="003E4136">
        <w:rPr>
          <w:rFonts w:ascii="Arial" w:eastAsia="Times New Roman" w:hAnsi="Arial" w:cs="Arial"/>
          <w:i/>
          <w:iCs/>
          <w:kern w:val="0"/>
          <w:lang w:eastAsia="en-GB"/>
          <w14:ligatures w14:val="none"/>
        </w:rPr>
        <w:t>Why are there so few women in STEM?</w:t>
      </w:r>
      <w:r w:rsidRPr="003E4136">
        <w:rPr>
          <w:rFonts w:ascii="Arial" w:eastAsia="Times New Roman" w:hAnsi="Arial" w:cs="Arial"/>
          <w:kern w:val="0"/>
          <w:lang w:eastAsia="en-GB"/>
          <w14:ligatures w14:val="none"/>
        </w:rPr>
        <w:t xml:space="preserve"> (2022). https://www.wgu.edu/blog/why-are-there-so-few-women-in-stem1907.html.</w:t>
      </w:r>
    </w:p>
    <w:p w14:paraId="462F22C9" w14:textId="77777777" w:rsidR="003E4136" w:rsidRPr="003E4136" w:rsidRDefault="003E4136" w:rsidP="003E4136">
      <w:pPr>
        <w:spacing w:after="0" w:line="480" w:lineRule="auto"/>
        <w:ind w:firstLine="720"/>
        <w:rPr>
          <w:rFonts w:ascii="Arial" w:eastAsia="Times New Roman" w:hAnsi="Arial" w:cs="Arial"/>
          <w:kern w:val="0"/>
          <w:lang w:eastAsia="en-GB"/>
          <w14:ligatures w14:val="none"/>
        </w:rPr>
      </w:pPr>
      <w:r w:rsidRPr="003E4136">
        <w:rPr>
          <w:rFonts w:ascii="Arial" w:eastAsia="Times New Roman" w:hAnsi="Arial" w:cs="Arial"/>
          <w:kern w:val="0"/>
          <w:lang w:eastAsia="en-GB"/>
          <w14:ligatures w14:val="none"/>
        </w:rPr>
        <w:t xml:space="preserve">Williams, N. (2020) &amp;apos;Invisible women exposing data bias in a world designed for men,&amp;apos; </w:t>
      </w:r>
      <w:r w:rsidRPr="003E4136">
        <w:rPr>
          <w:rFonts w:ascii="Arial" w:eastAsia="Times New Roman" w:hAnsi="Arial" w:cs="Arial"/>
          <w:i/>
          <w:iCs/>
          <w:kern w:val="0"/>
          <w:lang w:eastAsia="en-GB"/>
          <w14:ligatures w14:val="none"/>
        </w:rPr>
        <w:t>Occupational Medicine</w:t>
      </w:r>
      <w:r w:rsidRPr="003E4136">
        <w:rPr>
          <w:rFonts w:ascii="Arial" w:eastAsia="Times New Roman" w:hAnsi="Arial" w:cs="Arial"/>
          <w:kern w:val="0"/>
          <w:lang w:eastAsia="en-GB"/>
          <w14:ligatures w14:val="none"/>
        </w:rPr>
        <w:t>, 70(9), p. 690. https://doi.org/10.1093/occmed/kqaa038.</w:t>
      </w:r>
    </w:p>
    <w:p w14:paraId="19565CC0" w14:textId="77777777" w:rsidR="003E4136" w:rsidRPr="003E4136" w:rsidRDefault="003E4136" w:rsidP="003E4136">
      <w:pPr>
        <w:spacing w:after="0" w:line="480" w:lineRule="auto"/>
        <w:ind w:firstLine="720"/>
        <w:rPr>
          <w:rFonts w:ascii="Arial" w:eastAsia="Times New Roman" w:hAnsi="Arial" w:cs="Arial"/>
          <w:kern w:val="0"/>
          <w:lang w:eastAsia="en-GB"/>
          <w14:ligatures w14:val="none"/>
        </w:rPr>
      </w:pPr>
      <w:r w:rsidRPr="003E4136">
        <w:rPr>
          <w:rFonts w:ascii="Arial" w:eastAsia="Times New Roman" w:hAnsi="Arial" w:cs="Arial"/>
          <w:i/>
          <w:iCs/>
          <w:kern w:val="0"/>
          <w:lang w:eastAsia="en-GB"/>
          <w14:ligatures w14:val="none"/>
        </w:rPr>
        <w:t>Women are diagnosed years later than men for same diseases, Danish study finds</w:t>
      </w:r>
      <w:r w:rsidRPr="003E4136">
        <w:rPr>
          <w:rFonts w:ascii="Arial" w:eastAsia="Times New Roman" w:hAnsi="Arial" w:cs="Arial"/>
          <w:kern w:val="0"/>
          <w:lang w:eastAsia="en-GB"/>
          <w14:ligatures w14:val="none"/>
        </w:rPr>
        <w:t xml:space="preserve"> (2019). https://www.nbcnews.com/health/health-news/women-are-diagnosed-years-later-men-same-diseases-study-finds-n987216.</w:t>
      </w:r>
    </w:p>
    <w:p w14:paraId="21310286" w14:textId="77777777" w:rsidR="003E4136" w:rsidRPr="003E4136" w:rsidRDefault="003E4136" w:rsidP="003E4136">
      <w:pPr>
        <w:spacing w:after="0" w:line="480" w:lineRule="auto"/>
        <w:ind w:firstLine="720"/>
        <w:rPr>
          <w:rFonts w:ascii="Arial" w:eastAsia="Times New Roman" w:hAnsi="Arial" w:cs="Arial"/>
          <w:kern w:val="0"/>
          <w:lang w:eastAsia="en-GB"/>
          <w14:ligatures w14:val="none"/>
        </w:rPr>
      </w:pPr>
      <w:r w:rsidRPr="003E4136">
        <w:rPr>
          <w:rFonts w:ascii="Arial" w:eastAsia="Times New Roman" w:hAnsi="Arial" w:cs="Arial"/>
          <w:kern w:val="0"/>
          <w:lang w:eastAsia="en-GB"/>
          <w14:ligatures w14:val="none"/>
        </w:rPr>
        <w:lastRenderedPageBreak/>
        <w:t xml:space="preserve">Wong, C. (2024) &amp;apos;Women are more likely to get Drug-Resistant infections,&amp;apos; </w:t>
      </w:r>
      <w:r w:rsidRPr="003E4136">
        <w:rPr>
          <w:rFonts w:ascii="Arial" w:eastAsia="Times New Roman" w:hAnsi="Arial" w:cs="Arial"/>
          <w:i/>
          <w:iCs/>
          <w:kern w:val="0"/>
          <w:lang w:eastAsia="en-GB"/>
          <w14:ligatures w14:val="none"/>
        </w:rPr>
        <w:t>Scientific American</w:t>
      </w:r>
      <w:r w:rsidRPr="003E4136">
        <w:rPr>
          <w:rFonts w:ascii="Arial" w:eastAsia="Times New Roman" w:hAnsi="Arial" w:cs="Arial"/>
          <w:kern w:val="0"/>
          <w:lang w:eastAsia="en-GB"/>
          <w14:ligatures w14:val="none"/>
        </w:rPr>
        <w:t>, 7 June. https://www.scientificamerican.com/article/women-are-more-likely-to-get-drug-resistant-infections/.</w:t>
      </w:r>
    </w:p>
    <w:p w14:paraId="703AA12C" w14:textId="77777777" w:rsidR="003E4136" w:rsidRPr="003E4136" w:rsidRDefault="003E4136" w:rsidP="003E4136">
      <w:pPr>
        <w:spacing w:after="0" w:line="480" w:lineRule="auto"/>
        <w:ind w:firstLine="720"/>
        <w:rPr>
          <w:rFonts w:ascii="Arial" w:eastAsia="Times New Roman" w:hAnsi="Arial" w:cs="Arial"/>
          <w:kern w:val="0"/>
          <w:lang w:eastAsia="en-GB"/>
          <w14:ligatures w14:val="none"/>
        </w:rPr>
      </w:pPr>
      <w:r w:rsidRPr="003E4136">
        <w:rPr>
          <w:rFonts w:ascii="Arial" w:eastAsia="Times New Roman" w:hAnsi="Arial" w:cs="Arial"/>
          <w:kern w:val="0"/>
          <w:lang w:eastAsia="en-GB"/>
          <w14:ligatures w14:val="none"/>
        </w:rPr>
        <w:t xml:space="preserve">Woolley, F.R. and Marshall, J. (1994) &amp;apos;MEASURING INEQUALITY WITHIN THE HOUSEHOLD,&amp;apos; </w:t>
      </w:r>
      <w:r w:rsidRPr="003E4136">
        <w:rPr>
          <w:rFonts w:ascii="Arial" w:eastAsia="Times New Roman" w:hAnsi="Arial" w:cs="Arial"/>
          <w:i/>
          <w:iCs/>
          <w:kern w:val="0"/>
          <w:lang w:eastAsia="en-GB"/>
          <w14:ligatures w14:val="none"/>
        </w:rPr>
        <w:t>Review of Income and Wealth</w:t>
      </w:r>
      <w:r w:rsidRPr="003E4136">
        <w:rPr>
          <w:rFonts w:ascii="Arial" w:eastAsia="Times New Roman" w:hAnsi="Arial" w:cs="Arial"/>
          <w:kern w:val="0"/>
          <w:lang w:eastAsia="en-GB"/>
          <w14:ligatures w14:val="none"/>
        </w:rPr>
        <w:t>, 40(4), pp. 415–431. https://doi.org/10.1111/j.1475-4991.1994.tb00084.x.</w:t>
      </w:r>
    </w:p>
    <w:p w14:paraId="144614AA" w14:textId="77777777" w:rsidR="003E4136" w:rsidRPr="003E4136" w:rsidRDefault="003E4136" w:rsidP="003E4136">
      <w:pPr>
        <w:spacing w:after="0" w:line="480" w:lineRule="auto"/>
        <w:ind w:firstLine="720"/>
        <w:rPr>
          <w:rFonts w:ascii="Arial" w:eastAsia="Times New Roman" w:hAnsi="Arial" w:cs="Arial"/>
          <w:kern w:val="0"/>
          <w:lang w:eastAsia="en-GB"/>
          <w14:ligatures w14:val="none"/>
        </w:rPr>
      </w:pPr>
      <w:r w:rsidRPr="003E4136">
        <w:rPr>
          <w:rFonts w:ascii="Arial" w:eastAsia="Times New Roman" w:hAnsi="Arial" w:cs="Arial"/>
          <w:i/>
          <w:iCs/>
          <w:kern w:val="0"/>
          <w:lang w:eastAsia="en-GB"/>
          <w14:ligatures w14:val="none"/>
        </w:rPr>
        <w:t>Working from home equals more housework for women, but not for men - Understanding Society</w:t>
      </w:r>
      <w:r w:rsidRPr="003E4136">
        <w:rPr>
          <w:rFonts w:ascii="Arial" w:eastAsia="Times New Roman" w:hAnsi="Arial" w:cs="Arial"/>
          <w:kern w:val="0"/>
          <w:lang w:eastAsia="en-GB"/>
          <w14:ligatures w14:val="none"/>
        </w:rPr>
        <w:t xml:space="preserve"> (2024). https://www.understandingsociety.ac.uk/news/2024/07/24/working-from-home-equals-more-housework-for-women-but-not-for-men/#:~:text=Tasks%20like%20shopping%2C%20cooking%2C%20cleaning,where%20men%20did%20these%20tasks.</w:t>
      </w:r>
    </w:p>
    <w:p w14:paraId="5F938503" w14:textId="77777777" w:rsidR="003E4136" w:rsidRPr="003E4136" w:rsidRDefault="003E4136" w:rsidP="003E4136">
      <w:pPr>
        <w:spacing w:after="0" w:line="480" w:lineRule="auto"/>
        <w:ind w:firstLine="720"/>
        <w:rPr>
          <w:rFonts w:ascii="Arial" w:eastAsia="Times New Roman" w:hAnsi="Arial" w:cs="Arial"/>
          <w:kern w:val="0"/>
          <w:lang w:eastAsia="en-GB"/>
          <w14:ligatures w14:val="none"/>
        </w:rPr>
      </w:pPr>
      <w:r w:rsidRPr="003E4136">
        <w:rPr>
          <w:rFonts w:ascii="Arial" w:eastAsia="Times New Roman" w:hAnsi="Arial" w:cs="Arial"/>
          <w:kern w:val="0"/>
          <w:lang w:eastAsia="en-GB"/>
          <w14:ligatures w14:val="none"/>
        </w:rPr>
        <w:t xml:space="preserve">Zarit, S.H., Pearlin, L.I. and Schaie, K.W. (2003) </w:t>
      </w:r>
      <w:r w:rsidRPr="003E4136">
        <w:rPr>
          <w:rFonts w:ascii="Arial" w:eastAsia="Times New Roman" w:hAnsi="Arial" w:cs="Arial"/>
          <w:i/>
          <w:iCs/>
          <w:kern w:val="0"/>
          <w:lang w:eastAsia="en-GB"/>
          <w14:ligatures w14:val="none"/>
        </w:rPr>
        <w:t>Personal control in social and life course contexts</w:t>
      </w:r>
      <w:r w:rsidRPr="003E4136">
        <w:rPr>
          <w:rFonts w:ascii="Arial" w:eastAsia="Times New Roman" w:hAnsi="Arial" w:cs="Arial"/>
          <w:kern w:val="0"/>
          <w:lang w:eastAsia="en-GB"/>
          <w14:ligatures w14:val="none"/>
        </w:rPr>
        <w:t>. http://ci.nii.ac.jp/ncid/BA65238894.</w:t>
      </w:r>
    </w:p>
    <w:p w14:paraId="0BD69CCA" w14:textId="6F4F1B40" w:rsidR="001065BF" w:rsidRPr="001065BF" w:rsidRDefault="001065BF" w:rsidP="00FA133A">
      <w:pPr>
        <w:rPr>
          <w:i/>
          <w:iCs/>
        </w:rPr>
      </w:pPr>
    </w:p>
    <w:sectPr w:rsidR="001065BF" w:rsidRPr="001065BF">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065BF"/>
    <w:rsid w:val="000537C9"/>
    <w:rsid w:val="000C6898"/>
    <w:rsid w:val="000E111F"/>
    <w:rsid w:val="000F4020"/>
    <w:rsid w:val="001065BF"/>
    <w:rsid w:val="001A7DB1"/>
    <w:rsid w:val="00217640"/>
    <w:rsid w:val="00237BDE"/>
    <w:rsid w:val="0027231B"/>
    <w:rsid w:val="002873BB"/>
    <w:rsid w:val="002A5E00"/>
    <w:rsid w:val="002C7B50"/>
    <w:rsid w:val="003A0F8B"/>
    <w:rsid w:val="003B4308"/>
    <w:rsid w:val="003E4136"/>
    <w:rsid w:val="00403AFF"/>
    <w:rsid w:val="00634F9D"/>
    <w:rsid w:val="00637096"/>
    <w:rsid w:val="00641D85"/>
    <w:rsid w:val="00670C68"/>
    <w:rsid w:val="006F59CF"/>
    <w:rsid w:val="0081631C"/>
    <w:rsid w:val="00855A53"/>
    <w:rsid w:val="008E1517"/>
    <w:rsid w:val="008F5188"/>
    <w:rsid w:val="00915329"/>
    <w:rsid w:val="009432A6"/>
    <w:rsid w:val="009C282D"/>
    <w:rsid w:val="009E4ADF"/>
    <w:rsid w:val="00A8624D"/>
    <w:rsid w:val="00AF5362"/>
    <w:rsid w:val="00B015C2"/>
    <w:rsid w:val="00B54947"/>
    <w:rsid w:val="00C30360"/>
    <w:rsid w:val="00C908D8"/>
    <w:rsid w:val="00D97B6D"/>
    <w:rsid w:val="00DB0479"/>
    <w:rsid w:val="00E22F81"/>
    <w:rsid w:val="00E302F3"/>
    <w:rsid w:val="00E621E8"/>
    <w:rsid w:val="00ED320D"/>
    <w:rsid w:val="00F209BB"/>
    <w:rsid w:val="00F71595"/>
    <w:rsid w:val="00F759BC"/>
    <w:rsid w:val="00FA133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10FAE2A"/>
  <w15:chartTrackingRefBased/>
  <w15:docId w15:val="{1823DD39-48A8-4218-AF30-139FE0DD5F1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E4136"/>
    <w:pPr>
      <w:keepNext/>
      <w:keepLines/>
      <w:spacing w:before="240" w:after="0"/>
      <w:outlineLvl w:val="0"/>
    </w:pPr>
    <w:rPr>
      <w:rFonts w:asciiTheme="majorHAnsi" w:eastAsiaTheme="majorEastAsia" w:hAnsiTheme="majorHAnsi" w:cstheme="majorBidi"/>
      <w:color w:val="0F4761" w:themeColor="accent1" w:themeShade="BF"/>
      <w:sz w:val="32"/>
      <w:szCs w:val="32"/>
    </w:rPr>
  </w:style>
  <w:style w:type="paragraph" w:styleId="Heading2">
    <w:name w:val="heading 2"/>
    <w:basedOn w:val="Normal"/>
    <w:next w:val="Normal"/>
    <w:link w:val="Heading2Char"/>
    <w:uiPriority w:val="9"/>
    <w:unhideWhenUsed/>
    <w:qFormat/>
    <w:rsid w:val="008F5188"/>
    <w:pPr>
      <w:keepNext/>
      <w:keepLines/>
      <w:spacing w:before="40" w:after="0"/>
      <w:outlineLvl w:val="1"/>
    </w:pPr>
    <w:rPr>
      <w:rFonts w:asciiTheme="majorHAnsi" w:eastAsiaTheme="majorEastAsia" w:hAnsiTheme="majorHAnsi" w:cstheme="majorBidi"/>
      <w:color w:val="0F4761"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ibliography">
    <w:name w:val="Bibliography"/>
    <w:basedOn w:val="Normal"/>
    <w:next w:val="Normal"/>
    <w:uiPriority w:val="37"/>
    <w:semiHidden/>
    <w:unhideWhenUsed/>
    <w:rsid w:val="003E4136"/>
  </w:style>
  <w:style w:type="character" w:customStyle="1" w:styleId="Heading1Char">
    <w:name w:val="Heading 1 Char"/>
    <w:basedOn w:val="DefaultParagraphFont"/>
    <w:link w:val="Heading1"/>
    <w:uiPriority w:val="9"/>
    <w:rsid w:val="003E4136"/>
    <w:rPr>
      <w:rFonts w:asciiTheme="majorHAnsi" w:eastAsiaTheme="majorEastAsia" w:hAnsiTheme="majorHAnsi" w:cstheme="majorBidi"/>
      <w:color w:val="0F4761" w:themeColor="accent1" w:themeShade="BF"/>
      <w:sz w:val="32"/>
      <w:szCs w:val="32"/>
    </w:rPr>
  </w:style>
  <w:style w:type="paragraph" w:styleId="Subtitle">
    <w:name w:val="Subtitle"/>
    <w:basedOn w:val="Normal"/>
    <w:next w:val="Normal"/>
    <w:link w:val="SubtitleChar"/>
    <w:uiPriority w:val="11"/>
    <w:qFormat/>
    <w:rsid w:val="003E4136"/>
    <w:pPr>
      <w:numPr>
        <w:ilvl w:val="1"/>
      </w:numPr>
    </w:pPr>
    <w:rPr>
      <w:rFonts w:eastAsiaTheme="minorEastAsia"/>
      <w:color w:val="5A5A5A" w:themeColor="text1" w:themeTint="A5"/>
      <w:spacing w:val="15"/>
      <w:sz w:val="22"/>
      <w:szCs w:val="22"/>
    </w:rPr>
  </w:style>
  <w:style w:type="character" w:customStyle="1" w:styleId="SubtitleChar">
    <w:name w:val="Subtitle Char"/>
    <w:basedOn w:val="DefaultParagraphFont"/>
    <w:link w:val="Subtitle"/>
    <w:uiPriority w:val="11"/>
    <w:rsid w:val="003E4136"/>
    <w:rPr>
      <w:rFonts w:eastAsiaTheme="minorEastAsia"/>
      <w:color w:val="5A5A5A" w:themeColor="text1" w:themeTint="A5"/>
      <w:spacing w:val="15"/>
      <w:sz w:val="22"/>
      <w:szCs w:val="22"/>
    </w:rPr>
  </w:style>
  <w:style w:type="paragraph" w:styleId="TOCHeading">
    <w:name w:val="TOC Heading"/>
    <w:basedOn w:val="Heading1"/>
    <w:next w:val="Normal"/>
    <w:uiPriority w:val="39"/>
    <w:unhideWhenUsed/>
    <w:qFormat/>
    <w:rsid w:val="008F5188"/>
    <w:pPr>
      <w:spacing w:line="259" w:lineRule="auto"/>
      <w:outlineLvl w:val="9"/>
    </w:pPr>
    <w:rPr>
      <w:kern w:val="0"/>
      <w:lang w:val="en-US"/>
      <w14:ligatures w14:val="none"/>
    </w:rPr>
  </w:style>
  <w:style w:type="paragraph" w:styleId="TOC1">
    <w:name w:val="toc 1"/>
    <w:basedOn w:val="Normal"/>
    <w:next w:val="Normal"/>
    <w:autoRedefine/>
    <w:uiPriority w:val="39"/>
    <w:unhideWhenUsed/>
    <w:rsid w:val="008F5188"/>
    <w:pPr>
      <w:spacing w:after="100"/>
    </w:pPr>
  </w:style>
  <w:style w:type="character" w:styleId="Hyperlink">
    <w:name w:val="Hyperlink"/>
    <w:basedOn w:val="DefaultParagraphFont"/>
    <w:uiPriority w:val="99"/>
    <w:unhideWhenUsed/>
    <w:rsid w:val="008F5188"/>
    <w:rPr>
      <w:color w:val="467886" w:themeColor="hyperlink"/>
      <w:u w:val="single"/>
    </w:rPr>
  </w:style>
  <w:style w:type="character" w:customStyle="1" w:styleId="Heading2Char">
    <w:name w:val="Heading 2 Char"/>
    <w:basedOn w:val="DefaultParagraphFont"/>
    <w:link w:val="Heading2"/>
    <w:uiPriority w:val="9"/>
    <w:rsid w:val="008F5188"/>
    <w:rPr>
      <w:rFonts w:asciiTheme="majorHAnsi" w:eastAsiaTheme="majorEastAsia" w:hAnsiTheme="majorHAnsi" w:cstheme="majorBidi"/>
      <w:color w:val="0F4761" w:themeColor="accent1" w:themeShade="BF"/>
      <w:sz w:val="26"/>
      <w:szCs w:val="26"/>
    </w:rPr>
  </w:style>
  <w:style w:type="paragraph" w:styleId="TOC2">
    <w:name w:val="toc 2"/>
    <w:basedOn w:val="Normal"/>
    <w:next w:val="Normal"/>
    <w:autoRedefine/>
    <w:uiPriority w:val="39"/>
    <w:unhideWhenUsed/>
    <w:rsid w:val="008F5188"/>
    <w:pPr>
      <w:spacing w:after="100"/>
      <w:ind w:left="2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643970035">
      <w:bodyDiv w:val="1"/>
      <w:marLeft w:val="0"/>
      <w:marRight w:val="0"/>
      <w:marTop w:val="0"/>
      <w:marBottom w:val="0"/>
      <w:divBdr>
        <w:top w:val="none" w:sz="0" w:space="0" w:color="auto"/>
        <w:left w:val="none" w:sz="0" w:space="0" w:color="auto"/>
        <w:bottom w:val="none" w:sz="0" w:space="0" w:color="auto"/>
        <w:right w:val="none" w:sz="0" w:space="0" w:color="auto"/>
      </w:divBdr>
    </w:div>
    <w:div w:id="64516765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3.pn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image" Target="media/image2.png"/><Relationship Id="rId5" Type="http://schemas.openxmlformats.org/officeDocument/2006/relationships/image" Target="media/image1.png"/><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CE310D0-9AA6-4081-AE85-3B84910C01F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8735</TotalTime>
  <Pages>19</Pages>
  <Words>5073</Words>
  <Characters>28917</Characters>
  <Application>Microsoft Office Word</Application>
  <DocSecurity>0</DocSecurity>
  <Lines>240</Lines>
  <Paragraphs>67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33923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Laura Clarke</dc:creator>
  <cp:keywords/>
  <dc:description/>
  <cp:lastModifiedBy>Laura Clarke</cp:lastModifiedBy>
  <cp:revision>7</cp:revision>
  <dcterms:created xsi:type="dcterms:W3CDTF">2024-11-14T11:14:00Z</dcterms:created>
  <dcterms:modified xsi:type="dcterms:W3CDTF">2024-11-28T10:54:00Z</dcterms:modified>
</cp:coreProperties>
</file>