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ind w:left="-180" w:right="-334" w:firstLine="0"/>
        <w:rPr>
          <w:rFonts w:ascii="Georgia" w:cs="Georgia" w:eastAsia="Georgia" w:hAnsi="Georgia"/>
          <w:sz w:val="21"/>
          <w:szCs w:val="21"/>
        </w:rPr>
      </w:pPr>
      <w:r w:rsidDel="00000000" w:rsidR="00000000" w:rsidRPr="00000000">
        <w:rPr>
          <w:rFonts w:ascii="Georgia" w:cs="Georgia" w:eastAsia="Georgia" w:hAnsi="Georgia"/>
          <w:sz w:val="21"/>
          <w:szCs w:val="21"/>
        </w:rPr>
        <w:drawing>
          <wp:inline distB="0" distT="0" distL="0" distR="0">
            <wp:extent cx="1907540" cy="635635"/>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907540" cy="63563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40" w:lineRule="auto"/>
        <w:ind w:left="-180" w:right="-334" w:firstLine="0"/>
        <w:rPr>
          <w:rFonts w:ascii="Georgia" w:cs="Georgia" w:eastAsia="Georgia" w:hAnsi="Georgia"/>
          <w:sz w:val="21"/>
          <w:szCs w:val="21"/>
        </w:rPr>
      </w:pPr>
      <w:r w:rsidDel="00000000" w:rsidR="00000000" w:rsidRPr="00000000">
        <w:rPr>
          <w:rtl w:val="0"/>
        </w:rPr>
      </w:r>
    </w:p>
    <w:p w:rsidR="00000000" w:rsidDel="00000000" w:rsidP="00000000" w:rsidRDefault="00000000" w:rsidRPr="00000000" w14:paraId="00000003">
      <w:pPr>
        <w:spacing w:line="240" w:lineRule="auto"/>
        <w:ind w:left="-180" w:right="-334" w:firstLine="0"/>
        <w:rPr>
          <w:rFonts w:ascii="Georgia" w:cs="Georgia" w:eastAsia="Georgia" w:hAnsi="Georgia"/>
          <w:sz w:val="21"/>
          <w:szCs w:val="21"/>
        </w:rPr>
      </w:pPr>
      <w:r w:rsidDel="00000000" w:rsidR="00000000" w:rsidRPr="00000000">
        <w:rPr>
          <w:rtl w:val="0"/>
        </w:rPr>
      </w:r>
    </w:p>
    <w:p w:rsidR="00000000" w:rsidDel="00000000" w:rsidP="00000000" w:rsidRDefault="00000000" w:rsidRPr="00000000" w14:paraId="00000004">
      <w:pPr>
        <w:spacing w:line="240" w:lineRule="auto"/>
        <w:ind w:left="-180" w:right="-334" w:firstLine="0"/>
        <w:jc w:val="center"/>
        <w:rPr>
          <w:rFonts w:ascii="Georgia" w:cs="Georgia" w:eastAsia="Georgia" w:hAnsi="Georgia"/>
          <w:sz w:val="21"/>
          <w:szCs w:val="21"/>
        </w:rPr>
      </w:pPr>
      <w:r w:rsidDel="00000000" w:rsidR="00000000" w:rsidRPr="00000000">
        <w:rPr>
          <w:b w:val="1"/>
          <w:sz w:val="28"/>
          <w:szCs w:val="28"/>
          <w:rtl w:val="0"/>
        </w:rPr>
        <w:t xml:space="preserve">Postgraduate/Distance Learning </w:t>
      </w:r>
      <w:r w:rsidDel="00000000" w:rsidR="00000000" w:rsidRPr="00000000">
        <w:rPr>
          <w:rtl w:val="0"/>
        </w:rPr>
      </w:r>
    </w:p>
    <w:p w:rsidR="00000000" w:rsidDel="00000000" w:rsidP="00000000" w:rsidRDefault="00000000" w:rsidRPr="00000000" w14:paraId="00000005">
      <w:pPr>
        <w:spacing w:line="240" w:lineRule="auto"/>
        <w:ind w:left="-180" w:right="-334" w:firstLine="0"/>
        <w:jc w:val="center"/>
        <w:rPr>
          <w:b w:val="1"/>
          <w:sz w:val="28"/>
          <w:szCs w:val="28"/>
        </w:rPr>
      </w:pPr>
      <w:r w:rsidDel="00000000" w:rsidR="00000000" w:rsidRPr="00000000">
        <w:rPr>
          <w:b w:val="1"/>
          <w:sz w:val="28"/>
          <w:szCs w:val="28"/>
          <w:rtl w:val="0"/>
        </w:rPr>
        <w:t xml:space="preserve">Assignment coversheet &amp; feedback form</w:t>
      </w:r>
    </w:p>
    <w:p w:rsidR="00000000" w:rsidDel="00000000" w:rsidP="00000000" w:rsidRDefault="00000000" w:rsidRPr="00000000" w14:paraId="00000006">
      <w:pPr>
        <w:spacing w:line="240" w:lineRule="auto"/>
        <w:rPr>
          <w:sz w:val="28"/>
          <w:szCs w:val="28"/>
        </w:rPr>
      </w:pPr>
      <w:r w:rsidDel="00000000" w:rsidR="00000000" w:rsidRPr="00000000">
        <w:rPr>
          <w:rtl w:val="0"/>
        </w:rPr>
      </w:r>
    </w:p>
    <w:p w:rsidR="00000000" w:rsidDel="00000000" w:rsidP="00000000" w:rsidRDefault="00000000" w:rsidRPr="00000000" w14:paraId="00000007">
      <w:pPr>
        <w:pStyle w:val="Heading3"/>
        <w:keepNext w:val="0"/>
        <w:keepLines w:val="0"/>
        <w:spacing w:after="0" w:before="0" w:line="240" w:lineRule="auto"/>
        <w:ind w:left="720" w:firstLine="0"/>
        <w:jc w:val="center"/>
        <w:rPr>
          <w:rFonts w:ascii="Tahoma" w:cs="Tahoma" w:eastAsia="Tahoma" w:hAnsi="Tahoma"/>
          <w:b w:val="1"/>
          <w:color w:val="000000"/>
          <w:sz w:val="20"/>
          <w:szCs w:val="20"/>
        </w:rPr>
      </w:pPr>
      <w:r w:rsidDel="00000000" w:rsidR="00000000" w:rsidRPr="00000000">
        <w:rPr>
          <w:rFonts w:ascii="Tahoma" w:cs="Tahoma" w:eastAsia="Tahoma" w:hAnsi="Tahoma"/>
          <w:b w:val="1"/>
          <w:color w:val="000000"/>
          <w:sz w:val="20"/>
          <w:szCs w:val="20"/>
          <w:rtl w:val="0"/>
        </w:rPr>
        <w:t xml:space="preserve">THIS SHEET MUST BE THE FIRST PAGE OF THE ASSIGNMENT YOU ARE SUBMITTING  (DO NOT SEND AS A SEPARATE FILE)</w:t>
      </w:r>
    </w:p>
    <w:p w:rsidR="00000000" w:rsidDel="00000000" w:rsidP="00000000" w:rsidRDefault="00000000" w:rsidRPr="00000000" w14:paraId="00000008">
      <w:pPr>
        <w:pStyle w:val="Heading3"/>
        <w:keepNext w:val="0"/>
        <w:keepLines w:val="0"/>
        <w:spacing w:after="0" w:before="0" w:line="240" w:lineRule="auto"/>
        <w:ind w:left="720" w:firstLine="0"/>
        <w:jc w:val="center"/>
        <w:rPr>
          <w:rFonts w:ascii="Trebuchet MS" w:cs="Trebuchet MS" w:eastAsia="Trebuchet MS" w:hAnsi="Trebuchet MS"/>
          <w:b w:val="1"/>
          <w:color w:val="000000"/>
          <w:sz w:val="20"/>
          <w:szCs w:val="20"/>
        </w:rPr>
      </w:pPr>
      <w:r w:rsidDel="00000000" w:rsidR="00000000" w:rsidRPr="00000000">
        <w:rPr>
          <w:rtl w:val="0"/>
        </w:rPr>
      </w:r>
    </w:p>
    <w:tbl>
      <w:tblPr>
        <w:tblStyle w:val="Table1"/>
        <w:tblW w:w="8856.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88"/>
        <w:gridCol w:w="423"/>
        <w:gridCol w:w="1557"/>
        <w:gridCol w:w="286"/>
        <w:gridCol w:w="1802"/>
        <w:tblGridChange w:id="0">
          <w:tblGrid>
            <w:gridCol w:w="4788"/>
            <w:gridCol w:w="423"/>
            <w:gridCol w:w="1557"/>
            <w:gridCol w:w="286"/>
            <w:gridCol w:w="1802"/>
          </w:tblGrid>
        </w:tblGridChange>
      </w:tblGrid>
      <w:tr>
        <w:trPr>
          <w:cantSplit w:val="0"/>
          <w:trHeight w:val="614" w:hRule="atLeast"/>
          <w:tblHeader w:val="0"/>
        </w:trPr>
        <w:tc>
          <w:tcPr>
            <w:gridSpan w:val="5"/>
            <w:vAlign w:val="top"/>
          </w:tcPr>
          <w:p w:rsidR="00000000" w:rsidDel="00000000" w:rsidP="00000000" w:rsidRDefault="00000000" w:rsidRPr="00000000" w14:paraId="00000009">
            <w:pPr>
              <w:spacing w:line="240" w:lineRule="auto"/>
              <w:ind w:right="34"/>
              <w:rPr>
                <w:rFonts w:ascii="Georgia" w:cs="Georgia" w:eastAsia="Georgia" w:hAnsi="Georgia"/>
                <w:sz w:val="21"/>
                <w:szCs w:val="21"/>
              </w:rPr>
            </w:pPr>
            <w:r w:rsidDel="00000000" w:rsidR="00000000" w:rsidRPr="00000000">
              <w:rPr>
                <w:b w:val="1"/>
                <w:rtl w:val="0"/>
              </w:rPr>
              <w:t xml:space="preserve">For completion by the student</w:t>
            </w:r>
            <w:r w:rsidDel="00000000" w:rsidR="00000000" w:rsidRPr="00000000">
              <w:rPr>
                <w:rtl w:val="0"/>
              </w:rPr>
              <w:t xml:space="preserve">:</w:t>
            </w:r>
            <w:r w:rsidDel="00000000" w:rsidR="00000000" w:rsidRPr="00000000">
              <w:rPr>
                <w:rtl w:val="0"/>
              </w:rPr>
            </w:r>
          </w:p>
        </w:tc>
      </w:tr>
      <w:tr>
        <w:trPr>
          <w:cantSplit w:val="0"/>
          <w:trHeight w:val="718" w:hRule="atLeast"/>
          <w:tblHeader w:val="0"/>
        </w:trPr>
        <w:tc>
          <w:tcPr>
            <w:gridSpan w:val="5"/>
            <w:vAlign w:val="top"/>
          </w:tcPr>
          <w:p w:rsidR="00000000" w:rsidDel="00000000" w:rsidP="00000000" w:rsidRDefault="00000000" w:rsidRPr="00000000" w14:paraId="0000000E">
            <w:pPr>
              <w:spacing w:line="240" w:lineRule="auto"/>
              <w:ind w:right="34"/>
              <w:rPr>
                <w:b w:val="1"/>
              </w:rPr>
            </w:pPr>
            <w:r w:rsidDel="00000000" w:rsidR="00000000" w:rsidRPr="00000000">
              <w:rPr>
                <w:rtl w:val="0"/>
              </w:rPr>
              <w:t xml:space="preserve">Student Name: </w:t>
            </w:r>
            <w:r w:rsidDel="00000000" w:rsidR="00000000" w:rsidRPr="00000000">
              <w:rPr>
                <w:b w:val="1"/>
                <w:rtl w:val="0"/>
              </w:rPr>
              <w:t xml:space="preserve">Natalie Copeland</w:t>
            </w:r>
          </w:p>
          <w:p w:rsidR="00000000" w:rsidDel="00000000" w:rsidP="00000000" w:rsidRDefault="00000000" w:rsidRPr="00000000" w14:paraId="0000000F">
            <w:pPr>
              <w:spacing w:line="240" w:lineRule="auto"/>
              <w:ind w:right="34"/>
              <w:rPr/>
            </w:pPr>
            <w:r w:rsidDel="00000000" w:rsidR="00000000" w:rsidRPr="00000000">
              <w:rPr>
                <w:rtl w:val="0"/>
              </w:rPr>
            </w:r>
          </w:p>
          <w:p w:rsidR="00000000" w:rsidDel="00000000" w:rsidP="00000000" w:rsidRDefault="00000000" w:rsidRPr="00000000" w14:paraId="00000010">
            <w:pPr>
              <w:spacing w:line="240" w:lineRule="auto"/>
              <w:ind w:right="34"/>
              <w:rPr>
                <w:rFonts w:ascii="Georgia" w:cs="Georgia" w:eastAsia="Georgia" w:hAnsi="Georgia"/>
                <w:b w:val="1"/>
                <w:sz w:val="21"/>
                <w:szCs w:val="21"/>
              </w:rPr>
            </w:pPr>
            <w:r w:rsidDel="00000000" w:rsidR="00000000" w:rsidRPr="00000000">
              <w:rPr>
                <w:rtl w:val="0"/>
              </w:rPr>
              <w:t xml:space="preserve">Student </w:t>
            </w:r>
            <w:r w:rsidDel="00000000" w:rsidR="00000000" w:rsidRPr="00000000">
              <w:rPr>
                <w:b w:val="1"/>
                <w:u w:val="single"/>
                <w:rtl w:val="0"/>
              </w:rPr>
              <w:t xml:space="preserve">University</w:t>
            </w:r>
            <w:r w:rsidDel="00000000" w:rsidR="00000000" w:rsidRPr="00000000">
              <w:rPr>
                <w:u w:val="single"/>
                <w:rtl w:val="0"/>
              </w:rPr>
              <w:t xml:space="preserve"> </w:t>
            </w:r>
            <w:r w:rsidDel="00000000" w:rsidR="00000000" w:rsidRPr="00000000">
              <w:rPr>
                <w:rtl w:val="0"/>
              </w:rPr>
              <w:t xml:space="preserve">Email: </w:t>
            </w:r>
            <w:r w:rsidDel="00000000" w:rsidR="00000000" w:rsidRPr="00000000">
              <w:rPr>
                <w:b w:val="1"/>
                <w:rtl w:val="0"/>
              </w:rPr>
              <w:t xml:space="preserve">2234147@student.uwtsd.ac.uk</w:t>
            </w:r>
            <w:r w:rsidDel="00000000" w:rsidR="00000000" w:rsidRPr="00000000">
              <w:rPr>
                <w:rtl w:val="0"/>
              </w:rPr>
            </w:r>
          </w:p>
        </w:tc>
      </w:tr>
      <w:tr>
        <w:trPr>
          <w:cantSplit w:val="0"/>
          <w:trHeight w:val="849" w:hRule="atLeast"/>
          <w:tblHeader w:val="0"/>
        </w:trPr>
        <w:tc>
          <w:tcPr>
            <w:vAlign w:val="top"/>
          </w:tcPr>
          <w:p w:rsidR="00000000" w:rsidDel="00000000" w:rsidP="00000000" w:rsidRDefault="00000000" w:rsidRPr="00000000" w14:paraId="00000015">
            <w:pPr>
              <w:spacing w:line="240" w:lineRule="auto"/>
              <w:ind w:right="34"/>
              <w:rPr>
                <w:b w:val="1"/>
              </w:rPr>
            </w:pPr>
            <w:r w:rsidDel="00000000" w:rsidR="00000000" w:rsidRPr="00000000">
              <w:rPr>
                <w:rtl w:val="0"/>
              </w:rPr>
              <w:t xml:space="preserve">Module code: </w:t>
            </w:r>
            <w:r w:rsidDel="00000000" w:rsidR="00000000" w:rsidRPr="00000000">
              <w:rPr>
                <w:b w:val="1"/>
                <w:rtl w:val="0"/>
              </w:rPr>
              <w:t xml:space="preserve">HPCA7015</w:t>
            </w:r>
          </w:p>
          <w:p w:rsidR="00000000" w:rsidDel="00000000" w:rsidP="00000000" w:rsidRDefault="00000000" w:rsidRPr="00000000" w14:paraId="00000016">
            <w:pPr>
              <w:spacing w:line="240" w:lineRule="auto"/>
              <w:ind w:right="34"/>
              <w:rPr/>
            </w:pPr>
            <w:r w:rsidDel="00000000" w:rsidR="00000000" w:rsidRPr="00000000">
              <w:rPr>
                <w:rtl w:val="0"/>
              </w:rPr>
            </w:r>
          </w:p>
          <w:p w:rsidR="00000000" w:rsidDel="00000000" w:rsidP="00000000" w:rsidRDefault="00000000" w:rsidRPr="00000000" w14:paraId="00000017">
            <w:pPr>
              <w:spacing w:line="240" w:lineRule="auto"/>
              <w:ind w:right="34"/>
              <w:rPr>
                <w:b w:val="1"/>
              </w:rPr>
            </w:pPr>
            <w:r w:rsidDel="00000000" w:rsidR="00000000" w:rsidRPr="00000000">
              <w:rPr>
                <w:rtl w:val="0"/>
              </w:rPr>
              <w:t xml:space="preserve">Module title: </w:t>
            </w:r>
            <w:r w:rsidDel="00000000" w:rsidR="00000000" w:rsidRPr="00000000">
              <w:rPr>
                <w:b w:val="1"/>
                <w:rtl w:val="0"/>
              </w:rPr>
              <w:t xml:space="preserve">Foundations in Cultural Astronomy and Astrology</w:t>
            </w:r>
          </w:p>
          <w:p w:rsidR="00000000" w:rsidDel="00000000" w:rsidP="00000000" w:rsidRDefault="00000000" w:rsidRPr="00000000" w14:paraId="00000018">
            <w:pPr>
              <w:spacing w:line="240" w:lineRule="auto"/>
              <w:ind w:right="34"/>
              <w:rPr/>
            </w:pPr>
            <w:r w:rsidDel="00000000" w:rsidR="00000000" w:rsidRPr="00000000">
              <w:rPr>
                <w:rtl w:val="0"/>
              </w:rPr>
            </w:r>
          </w:p>
          <w:p w:rsidR="00000000" w:rsidDel="00000000" w:rsidP="00000000" w:rsidRDefault="00000000" w:rsidRPr="00000000" w14:paraId="00000019">
            <w:pPr>
              <w:spacing w:line="240" w:lineRule="auto"/>
              <w:ind w:right="34"/>
              <w:rPr>
                <w:rFonts w:ascii="Georgia" w:cs="Georgia" w:eastAsia="Georgia" w:hAnsi="Georgia"/>
                <w:sz w:val="21"/>
                <w:szCs w:val="21"/>
              </w:rPr>
            </w:pPr>
            <w:r w:rsidDel="00000000" w:rsidR="00000000" w:rsidRPr="00000000">
              <w:rPr>
                <w:rtl w:val="0"/>
              </w:rPr>
            </w:r>
          </w:p>
        </w:tc>
        <w:tc>
          <w:tcPr>
            <w:gridSpan w:val="3"/>
            <w:vAlign w:val="top"/>
          </w:tcPr>
          <w:p w:rsidR="00000000" w:rsidDel="00000000" w:rsidP="00000000" w:rsidRDefault="00000000" w:rsidRPr="00000000" w14:paraId="0000001A">
            <w:pPr>
              <w:spacing w:line="240" w:lineRule="auto"/>
              <w:ind w:right="34"/>
              <w:rPr/>
            </w:pPr>
            <w:r w:rsidDel="00000000" w:rsidR="00000000" w:rsidRPr="00000000">
              <w:rPr>
                <w:rtl w:val="0"/>
              </w:rPr>
              <w:t xml:space="preserve">Student ID number:</w:t>
            </w:r>
          </w:p>
          <w:p w:rsidR="00000000" w:rsidDel="00000000" w:rsidP="00000000" w:rsidRDefault="00000000" w:rsidRPr="00000000" w14:paraId="0000001B">
            <w:pPr>
              <w:spacing w:line="240" w:lineRule="auto"/>
              <w:ind w:right="34"/>
              <w:rPr>
                <w:b w:val="1"/>
              </w:rPr>
            </w:pPr>
            <w:r w:rsidDel="00000000" w:rsidR="00000000" w:rsidRPr="00000000">
              <w:rPr>
                <w:b w:val="1"/>
                <w:rtl w:val="0"/>
              </w:rPr>
              <w:t xml:space="preserve">2234147</w:t>
            </w:r>
            <w:r w:rsidDel="00000000" w:rsidR="00000000" w:rsidRPr="00000000">
              <w:rPr>
                <w:rtl w:val="0"/>
              </w:rPr>
            </w:r>
          </w:p>
        </w:tc>
        <w:tc>
          <w:tcPr>
            <w:vAlign w:val="top"/>
          </w:tcPr>
          <w:p w:rsidR="00000000" w:rsidDel="00000000" w:rsidP="00000000" w:rsidRDefault="00000000" w:rsidRPr="00000000" w14:paraId="0000001E">
            <w:pPr>
              <w:spacing w:line="240" w:lineRule="auto"/>
              <w:ind w:right="34"/>
              <w:rPr>
                <w:rFonts w:ascii="Georgia" w:cs="Georgia" w:eastAsia="Georgia" w:hAnsi="Georgia"/>
                <w:sz w:val="21"/>
                <w:szCs w:val="21"/>
              </w:rPr>
            </w:pPr>
            <w:r w:rsidDel="00000000" w:rsidR="00000000" w:rsidRPr="00000000">
              <w:rPr>
                <w:rtl w:val="0"/>
              </w:rPr>
              <w:t xml:space="preserve">Educational support needs:</w:t>
            </w:r>
            <w:r w:rsidDel="00000000" w:rsidR="00000000" w:rsidRPr="00000000">
              <w:rPr>
                <w:rtl w:val="0"/>
              </w:rPr>
            </w:r>
          </w:p>
          <w:p w:rsidR="00000000" w:rsidDel="00000000" w:rsidP="00000000" w:rsidRDefault="00000000" w:rsidRPr="00000000" w14:paraId="0000001F">
            <w:pPr>
              <w:spacing w:line="240" w:lineRule="auto"/>
              <w:ind w:right="34"/>
              <w:rPr>
                <w:rFonts w:ascii="Georgia" w:cs="Georgia" w:eastAsia="Georgia" w:hAnsi="Georgia"/>
                <w:b w:val="1"/>
                <w:sz w:val="21"/>
                <w:szCs w:val="21"/>
              </w:rPr>
            </w:pPr>
            <w:r w:rsidDel="00000000" w:rsidR="00000000" w:rsidRPr="00000000">
              <w:rPr>
                <w:rtl w:val="0"/>
              </w:rPr>
              <w:t xml:space="preserve">Yes/</w:t>
            </w:r>
            <w:r w:rsidDel="00000000" w:rsidR="00000000" w:rsidRPr="00000000">
              <w:rPr>
                <w:b w:val="1"/>
                <w:rtl w:val="0"/>
              </w:rPr>
              <w:t xml:space="preserve">No</w:t>
            </w:r>
            <w:r w:rsidDel="00000000" w:rsidR="00000000" w:rsidRPr="00000000">
              <w:rPr>
                <w:rtl w:val="0"/>
              </w:rPr>
            </w:r>
          </w:p>
        </w:tc>
      </w:tr>
      <w:tr>
        <w:trPr>
          <w:cantSplit w:val="0"/>
          <w:trHeight w:val="1139" w:hRule="atLeast"/>
          <w:tblHeader w:val="0"/>
        </w:trPr>
        <w:tc>
          <w:tcPr>
            <w:gridSpan w:val="5"/>
            <w:vAlign w:val="top"/>
          </w:tcPr>
          <w:p w:rsidR="00000000" w:rsidDel="00000000" w:rsidP="00000000" w:rsidRDefault="00000000" w:rsidRPr="00000000" w14:paraId="00000020">
            <w:pPr>
              <w:spacing w:line="240" w:lineRule="auto"/>
              <w:ind w:right="34"/>
              <w:rPr>
                <w:rFonts w:ascii="Georgia" w:cs="Georgia" w:eastAsia="Georgia" w:hAnsi="Georgia"/>
                <w:b w:val="1"/>
                <w:sz w:val="21"/>
                <w:szCs w:val="21"/>
              </w:rPr>
            </w:pPr>
            <w:r w:rsidDel="00000000" w:rsidR="00000000" w:rsidRPr="00000000">
              <w:rPr>
                <w:rtl w:val="0"/>
              </w:rPr>
              <w:t xml:space="preserve">Assignment title: </w:t>
            </w:r>
            <w:r w:rsidDel="00000000" w:rsidR="00000000" w:rsidRPr="00000000">
              <w:rPr>
                <w:b w:val="1"/>
                <w:rtl w:val="0"/>
              </w:rPr>
              <w:t xml:space="preserve">A 3,500 word essay written on a topic within the subject area</w:t>
            </w:r>
            <w:r w:rsidDel="00000000" w:rsidR="00000000" w:rsidRPr="00000000">
              <w:rPr>
                <w:rtl w:val="0"/>
              </w:rPr>
            </w:r>
          </w:p>
          <w:p w:rsidR="00000000" w:rsidDel="00000000" w:rsidP="00000000" w:rsidRDefault="00000000" w:rsidRPr="00000000" w14:paraId="00000021">
            <w:pPr>
              <w:spacing w:line="240" w:lineRule="auto"/>
              <w:ind w:right="34"/>
              <w:rPr/>
            </w:pPr>
            <w:r w:rsidDel="00000000" w:rsidR="00000000" w:rsidRPr="00000000">
              <w:rPr>
                <w:rtl w:val="0"/>
              </w:rPr>
            </w:r>
          </w:p>
          <w:p w:rsidR="00000000" w:rsidDel="00000000" w:rsidP="00000000" w:rsidRDefault="00000000" w:rsidRPr="00000000" w14:paraId="00000022">
            <w:pPr>
              <w:spacing w:line="240" w:lineRule="auto"/>
              <w:ind w:right="34"/>
              <w:rPr/>
            </w:pPr>
            <w:r w:rsidDel="00000000" w:rsidR="00000000" w:rsidRPr="00000000">
              <w:rPr>
                <w:rtl w:val="0"/>
              </w:rPr>
            </w:r>
          </w:p>
          <w:p w:rsidR="00000000" w:rsidDel="00000000" w:rsidP="00000000" w:rsidRDefault="00000000" w:rsidRPr="00000000" w14:paraId="00000023">
            <w:pPr>
              <w:spacing w:line="240" w:lineRule="auto"/>
              <w:ind w:right="34"/>
              <w:rPr>
                <w:rFonts w:ascii="Georgia" w:cs="Georgia" w:eastAsia="Georgia" w:hAnsi="Georgia"/>
                <w:b w:val="1"/>
                <w:sz w:val="21"/>
                <w:szCs w:val="21"/>
              </w:rPr>
            </w:pPr>
            <w:r w:rsidDel="00000000" w:rsidR="00000000" w:rsidRPr="00000000">
              <w:rPr>
                <w:rtl w:val="0"/>
              </w:rPr>
              <w:t xml:space="preserve">Assignment due date: </w:t>
            </w:r>
            <w:r w:rsidDel="00000000" w:rsidR="00000000" w:rsidRPr="00000000">
              <w:rPr>
                <w:b w:val="1"/>
                <w:rtl w:val="0"/>
              </w:rPr>
              <w:t xml:space="preserve">January 4, 2024</w:t>
            </w:r>
            <w:r w:rsidDel="00000000" w:rsidR="00000000" w:rsidRPr="00000000">
              <w:rPr>
                <w:rtl w:val="0"/>
              </w:rPr>
            </w:r>
          </w:p>
        </w:tc>
      </w:tr>
      <w:tr>
        <w:trPr>
          <w:cantSplit w:val="0"/>
          <w:trHeight w:val="978" w:hRule="atLeast"/>
          <w:tblHeader w:val="0"/>
        </w:trPr>
        <w:tc>
          <w:tcPr>
            <w:gridSpan w:val="5"/>
            <w:tcBorders>
              <w:bottom w:color="000000" w:space="0" w:sz="4" w:val="single"/>
            </w:tcBorders>
            <w:vAlign w:val="top"/>
          </w:tcPr>
          <w:p w:rsidR="00000000" w:rsidDel="00000000" w:rsidP="00000000" w:rsidRDefault="00000000" w:rsidRPr="00000000" w14:paraId="00000028">
            <w:pPr>
              <w:spacing w:line="240" w:lineRule="auto"/>
              <w:rPr>
                <w:rFonts w:ascii="Times New Roman" w:cs="Times New Roman" w:eastAsia="Times New Roman" w:hAnsi="Times New Roman"/>
                <w:sz w:val="24"/>
                <w:szCs w:val="24"/>
              </w:rPr>
            </w:pPr>
            <w:r w:rsidDel="00000000" w:rsidR="00000000" w:rsidRPr="00000000">
              <w:rPr>
                <w:rtl w:val="0"/>
              </w:rPr>
              <w:t xml:space="preserve">This assignment is for the       1</w:t>
            </w:r>
            <w:r w:rsidDel="00000000" w:rsidR="00000000" w:rsidRPr="00000000">
              <w:rPr>
                <w:vertAlign w:val="superscript"/>
                <w:rtl w:val="0"/>
              </w:rPr>
              <w:t xml:space="preserve">st </w:t>
            </w:r>
            <w:r w:rsidDel="00000000" w:rsidR="00000000" w:rsidRPr="00000000">
              <w:rPr>
                <w:rtl w:val="0"/>
              </w:rPr>
              <w:t xml:space="preserve">    </w:t>
            </w:r>
            <w:r w:rsidDel="00000000" w:rsidR="00000000" w:rsidRPr="00000000">
              <w:rPr>
                <w:b w:val="1"/>
                <w:rtl w:val="0"/>
              </w:rPr>
              <w:t xml:space="preserve">2</w:t>
            </w:r>
            <w:r w:rsidDel="00000000" w:rsidR="00000000" w:rsidRPr="00000000">
              <w:rPr>
                <w:b w:val="1"/>
                <w:vertAlign w:val="superscript"/>
                <w:rtl w:val="0"/>
              </w:rPr>
              <w:t xml:space="preserve">nd</w:t>
            </w:r>
            <w:r w:rsidDel="00000000" w:rsidR="00000000" w:rsidRPr="00000000">
              <w:rPr>
                <w:b w:val="1"/>
                <w:rtl w:val="0"/>
              </w:rPr>
              <w:t xml:space="preserve"> </w:t>
            </w:r>
            <w:r w:rsidDel="00000000" w:rsidR="00000000" w:rsidRPr="00000000">
              <w:rPr>
                <w:rtl w:val="0"/>
              </w:rPr>
              <w:t xml:space="preserve">      3</w:t>
            </w:r>
            <w:r w:rsidDel="00000000" w:rsidR="00000000" w:rsidRPr="00000000">
              <w:rPr>
                <w:vertAlign w:val="superscript"/>
                <w:rtl w:val="0"/>
              </w:rPr>
              <w:t xml:space="preserve">rd</w:t>
            </w:r>
            <w:r w:rsidDel="00000000" w:rsidR="00000000" w:rsidRPr="00000000">
              <w:rPr>
                <w:rtl w:val="0"/>
              </w:rPr>
              <w:t xml:space="preserve">        4</w:t>
            </w:r>
            <w:r w:rsidDel="00000000" w:rsidR="00000000" w:rsidRPr="00000000">
              <w:rPr>
                <w:vertAlign w:val="superscript"/>
                <w:rtl w:val="0"/>
              </w:rPr>
              <w:t xml:space="preserve">th</w:t>
            </w:r>
            <w:r w:rsidDel="00000000" w:rsidR="00000000" w:rsidRPr="00000000">
              <w:rPr>
                <w:rtl w:val="0"/>
              </w:rPr>
              <w:t xml:space="preserve">       5</w:t>
            </w:r>
            <w:r w:rsidDel="00000000" w:rsidR="00000000" w:rsidRPr="00000000">
              <w:rPr>
                <w:vertAlign w:val="superscript"/>
                <w:rtl w:val="0"/>
              </w:rPr>
              <w:t xml:space="preserve">th</w:t>
            </w:r>
            <w:r w:rsidDel="00000000" w:rsidR="00000000" w:rsidRPr="00000000">
              <w:rPr>
                <w:rtl w:val="0"/>
              </w:rPr>
              <w:t xml:space="preserve">       6</w:t>
            </w:r>
            <w:r w:rsidDel="00000000" w:rsidR="00000000" w:rsidRPr="00000000">
              <w:rPr>
                <w:vertAlign w:val="superscript"/>
                <w:rtl w:val="0"/>
              </w:rPr>
              <w:t xml:space="preserve">th</w:t>
            </w:r>
            <w:r w:rsidDel="00000000" w:rsidR="00000000" w:rsidRPr="00000000">
              <w:rPr>
                <w:rtl w:val="0"/>
              </w:rPr>
              <w:t xml:space="preserve"> </w:t>
            </w:r>
            <w:r w:rsidDel="00000000" w:rsidR="00000000" w:rsidRPr="00000000">
              <w:rPr>
                <w:b w:val="1"/>
                <w:rtl w:val="0"/>
              </w:rPr>
              <w:t xml:space="preserve">   </w:t>
            </w:r>
            <w:r w:rsidDel="00000000" w:rsidR="00000000" w:rsidRPr="00000000">
              <w:rPr>
                <w:rtl w:val="0"/>
              </w:rPr>
              <w:t xml:space="preserve">module of the degree</w:t>
            </w:r>
            <w:r w:rsidDel="00000000" w:rsidR="00000000" w:rsidRPr="00000000">
              <w:rPr>
                <w:rtl w:val="0"/>
              </w:rPr>
            </w:r>
          </w:p>
        </w:tc>
      </w:tr>
      <w:tr>
        <w:trPr>
          <w:cantSplit w:val="0"/>
          <w:trHeight w:val="978" w:hRule="atLeast"/>
          <w:tblHeader w:val="0"/>
        </w:trPr>
        <w:tc>
          <w:tcPr>
            <w:gridSpan w:val="5"/>
            <w:shd w:fill="d9d9d9" w:val="clear"/>
            <w:vAlign w:val="top"/>
          </w:tcPr>
          <w:p w:rsidR="00000000" w:rsidDel="00000000" w:rsidP="00000000" w:rsidRDefault="00000000" w:rsidRPr="00000000" w14:paraId="0000002D">
            <w:pPr>
              <w:spacing w:line="240" w:lineRule="auto"/>
              <w:ind w:right="34"/>
              <w:rPr>
                <w:rFonts w:ascii="Georgia" w:cs="Georgia" w:eastAsia="Georgia" w:hAnsi="Georgia"/>
                <w:sz w:val="21"/>
                <w:szCs w:val="21"/>
              </w:rPr>
            </w:pPr>
            <w:r w:rsidDel="00000000" w:rsidR="00000000" w:rsidRPr="00000000">
              <w:rPr>
                <w:rtl w:val="0"/>
              </w:rPr>
              <w:t xml:space="preserve">I confirm that this is my original work and that I have adhered to the University policy on plagiarism.</w:t>
            </w:r>
            <w:r w:rsidDel="00000000" w:rsidR="00000000" w:rsidRPr="00000000">
              <w:rPr>
                <w:rtl w:val="0"/>
              </w:rPr>
            </w:r>
          </w:p>
          <w:p w:rsidR="00000000" w:rsidDel="00000000" w:rsidP="00000000" w:rsidRDefault="00000000" w:rsidRPr="00000000" w14:paraId="0000002E">
            <w:pPr>
              <w:spacing w:line="240" w:lineRule="auto"/>
              <w:ind w:right="34"/>
              <w:rPr>
                <w:b w:val="1"/>
              </w:rPr>
            </w:pPr>
            <w:r w:rsidDel="00000000" w:rsidR="00000000" w:rsidRPr="00000000">
              <w:rPr>
                <w:rtl w:val="0"/>
              </w:rPr>
              <w:t xml:space="preserve">Signed </w:t>
            </w:r>
            <w:r w:rsidDel="00000000" w:rsidR="00000000" w:rsidRPr="00000000">
              <w:rPr>
                <w:b w:val="1"/>
                <w:rtl w:val="0"/>
              </w:rPr>
              <w:t xml:space="preserve">Natalie Copeland</w:t>
            </w:r>
          </w:p>
          <w:p w:rsidR="00000000" w:rsidDel="00000000" w:rsidP="00000000" w:rsidRDefault="00000000" w:rsidRPr="00000000" w14:paraId="0000002F">
            <w:pPr>
              <w:spacing w:line="240" w:lineRule="auto"/>
              <w:ind w:right="34"/>
              <w:rPr>
                <w:rFonts w:ascii="Calibri" w:cs="Calibri" w:eastAsia="Calibri" w:hAnsi="Calibri"/>
                <w:b w:val="1"/>
                <w:sz w:val="44"/>
                <w:szCs w:val="44"/>
              </w:rPr>
            </w:pPr>
            <w:r w:rsidDel="00000000" w:rsidR="00000000" w:rsidRPr="00000000">
              <w:rPr>
                <w:rFonts w:ascii="Calibri" w:cs="Calibri" w:eastAsia="Calibri" w:hAnsi="Calibri"/>
                <w:b w:val="1"/>
                <w:sz w:val="24"/>
                <w:szCs w:val="24"/>
                <w:rtl w:val="0"/>
              </w:rPr>
              <w:t xml:space="preserve">Email submission:if you are submitting this form via email, please tick this box </w:t>
            </w:r>
            <w:r w:rsidDel="00000000" w:rsidR="00000000" w:rsidRPr="00000000">
              <w:rPr>
                <w:rFonts w:ascii="Calibri" w:cs="Calibri" w:eastAsia="Calibri" w:hAnsi="Calibri"/>
                <w:b w:val="1"/>
                <w:sz w:val="44"/>
                <w:szCs w:val="44"/>
                <w:rtl w:val="0"/>
              </w:rPr>
              <w:t xml:space="preserve">□</w:t>
            </w:r>
          </w:p>
          <w:p w:rsidR="00000000" w:rsidDel="00000000" w:rsidP="00000000" w:rsidRDefault="00000000" w:rsidRPr="00000000" w14:paraId="00000030">
            <w:pPr>
              <w:spacing w:line="240" w:lineRule="auto"/>
              <w:ind w:right="34"/>
              <w:rPr>
                <w:rFonts w:ascii="Georgia" w:cs="Georgia" w:eastAsia="Georgia" w:hAnsi="Georgia"/>
                <w:sz w:val="21"/>
                <w:szCs w:val="21"/>
              </w:rPr>
            </w:pPr>
            <w:r w:rsidDel="00000000" w:rsidR="00000000" w:rsidRPr="00000000">
              <w:rPr>
                <w:rFonts w:ascii="Calibri" w:cs="Calibri" w:eastAsia="Calibri" w:hAnsi="Calibri"/>
                <w:b w:val="1"/>
                <w:sz w:val="24"/>
                <w:szCs w:val="24"/>
                <w:rtl w:val="0"/>
              </w:rPr>
              <w:t xml:space="preserve">(as a substitute for your signature) to confirm that you agree to the above declaration.</w:t>
            </w:r>
            <w:r w:rsidDel="00000000" w:rsidR="00000000" w:rsidRPr="00000000">
              <w:rPr>
                <w:rtl w:val="0"/>
              </w:rPr>
            </w:r>
          </w:p>
        </w:tc>
      </w:tr>
      <w:tr>
        <w:trPr>
          <w:cantSplit w:val="0"/>
          <w:trHeight w:val="3972" w:hRule="atLeast"/>
          <w:tblHeader w:val="0"/>
        </w:trPr>
        <w:tc>
          <w:tcPr>
            <w:gridSpan w:val="5"/>
            <w:vAlign w:val="top"/>
          </w:tcPr>
          <w:p w:rsidR="00000000" w:rsidDel="00000000" w:rsidP="00000000" w:rsidRDefault="00000000" w:rsidRPr="00000000" w14:paraId="00000035">
            <w:pPr>
              <w:spacing w:line="240" w:lineRule="auto"/>
              <w:rPr>
                <w:b w:val="1"/>
                <w:sz w:val="24"/>
                <w:szCs w:val="24"/>
              </w:rPr>
            </w:pPr>
            <w:r w:rsidDel="00000000" w:rsidR="00000000" w:rsidRPr="00000000">
              <w:rPr>
                <w:rtl w:val="0"/>
              </w:rPr>
            </w:r>
          </w:p>
          <w:p w:rsidR="00000000" w:rsidDel="00000000" w:rsidP="00000000" w:rsidRDefault="00000000" w:rsidRPr="00000000" w14:paraId="00000036">
            <w:pPr>
              <w:spacing w:line="240" w:lineRule="auto"/>
              <w:rPr>
                <w:sz w:val="24"/>
                <w:szCs w:val="24"/>
              </w:rPr>
            </w:pPr>
            <w:r w:rsidDel="00000000" w:rsidR="00000000" w:rsidRPr="00000000">
              <w:rPr>
                <w:b w:val="1"/>
                <w:sz w:val="24"/>
                <w:szCs w:val="24"/>
                <w:rtl w:val="0"/>
              </w:rPr>
              <w:t xml:space="preserve">Assignment Mark</w:t>
            </w:r>
            <w:r w:rsidDel="00000000" w:rsidR="00000000" w:rsidRPr="00000000">
              <w:rPr>
                <w:rtl w:val="0"/>
              </w:rPr>
            </w:r>
          </w:p>
          <w:tbl>
            <w:tblPr>
              <w:tblStyle w:val="Table2"/>
              <w:tblW w:w="86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970"/>
              <w:gridCol w:w="1660"/>
              <w:tblGridChange w:id="0">
                <w:tblGrid>
                  <w:gridCol w:w="6970"/>
                  <w:gridCol w:w="1660"/>
                </w:tblGrid>
              </w:tblGridChange>
            </w:tblGrid>
            <w:tr>
              <w:trPr>
                <w:cantSplit w:val="0"/>
                <w:tblHeader w:val="0"/>
              </w:trPr>
              <w:tc>
                <w:tcPr>
                  <w:vAlign w:val="top"/>
                </w:tcPr>
                <w:p w:rsidR="00000000" w:rsidDel="00000000" w:rsidP="00000000" w:rsidRDefault="00000000" w:rsidRPr="00000000" w14:paraId="00000037">
                  <w:pPr>
                    <w:spacing w:line="240" w:lineRule="auto"/>
                    <w:rPr>
                      <w:sz w:val="20"/>
                      <w:szCs w:val="20"/>
                    </w:rPr>
                  </w:pPr>
                  <w:r w:rsidDel="00000000" w:rsidR="00000000" w:rsidRPr="00000000">
                    <w:rPr>
                      <w:rtl w:val="0"/>
                    </w:rPr>
                  </w:r>
                </w:p>
                <w:p w:rsidR="00000000" w:rsidDel="00000000" w:rsidP="00000000" w:rsidRDefault="00000000" w:rsidRPr="00000000" w14:paraId="00000038">
                  <w:pPr>
                    <w:spacing w:line="240" w:lineRule="auto"/>
                    <w:rPr>
                      <w:rFonts w:ascii="Times New Roman" w:cs="Times New Roman" w:eastAsia="Times New Roman" w:hAnsi="Times New Roman"/>
                      <w:sz w:val="24"/>
                      <w:szCs w:val="24"/>
                    </w:rPr>
                  </w:pPr>
                  <w:r w:rsidDel="00000000" w:rsidR="00000000" w:rsidRPr="00000000">
                    <w:rPr>
                      <w:sz w:val="20"/>
                      <w:szCs w:val="20"/>
                      <w:rtl w:val="0"/>
                    </w:rPr>
                    <w:t xml:space="preserve">1</w:t>
                  </w:r>
                  <w:r w:rsidDel="00000000" w:rsidR="00000000" w:rsidRPr="00000000">
                    <w:rPr>
                      <w:sz w:val="20"/>
                      <w:szCs w:val="20"/>
                      <w:vertAlign w:val="superscript"/>
                      <w:rtl w:val="0"/>
                    </w:rPr>
                    <w:t xml:space="preserve">st</w:t>
                  </w:r>
                  <w:r w:rsidDel="00000000" w:rsidR="00000000" w:rsidRPr="00000000">
                    <w:rPr>
                      <w:sz w:val="20"/>
                      <w:szCs w:val="20"/>
                      <w:rtl w:val="0"/>
                    </w:rPr>
                    <w:t xml:space="preserve"> Marker’s Provisional mark</w:t>
                  </w:r>
                  <w:r w:rsidDel="00000000" w:rsidR="00000000" w:rsidRPr="00000000">
                    <w:rPr>
                      <w:rtl w:val="0"/>
                    </w:rPr>
                  </w:r>
                </w:p>
              </w:tc>
              <w:tc>
                <w:tcPr>
                  <w:vAlign w:val="top"/>
                </w:tcPr>
                <w:p w:rsidR="00000000" w:rsidDel="00000000" w:rsidP="00000000" w:rsidRDefault="00000000" w:rsidRPr="00000000" w14:paraId="00000039">
                  <w:pPr>
                    <w:spacing w:line="240" w:lineRule="auto"/>
                    <w:rPr>
                      <w:sz w:val="20"/>
                      <w:szCs w:val="20"/>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A">
                  <w:pPr>
                    <w:spacing w:line="240" w:lineRule="auto"/>
                    <w:rPr>
                      <w:sz w:val="20"/>
                      <w:szCs w:val="20"/>
                    </w:rPr>
                  </w:pPr>
                  <w:r w:rsidDel="00000000" w:rsidR="00000000" w:rsidRPr="00000000">
                    <w:rPr>
                      <w:rtl w:val="0"/>
                    </w:rPr>
                  </w:r>
                </w:p>
                <w:p w:rsidR="00000000" w:rsidDel="00000000" w:rsidP="00000000" w:rsidRDefault="00000000" w:rsidRPr="00000000" w14:paraId="0000003B">
                  <w:pPr>
                    <w:spacing w:line="240" w:lineRule="auto"/>
                    <w:rPr>
                      <w:rFonts w:ascii="Times New Roman" w:cs="Times New Roman" w:eastAsia="Times New Roman" w:hAnsi="Times New Roman"/>
                      <w:sz w:val="24"/>
                      <w:szCs w:val="24"/>
                    </w:rPr>
                  </w:pPr>
                  <w:r w:rsidDel="00000000" w:rsidR="00000000" w:rsidRPr="00000000">
                    <w:rPr>
                      <w:sz w:val="20"/>
                      <w:szCs w:val="20"/>
                      <w:rtl w:val="0"/>
                    </w:rPr>
                    <w:t xml:space="preserve">2</w:t>
                  </w:r>
                  <w:r w:rsidDel="00000000" w:rsidR="00000000" w:rsidRPr="00000000">
                    <w:rPr>
                      <w:sz w:val="20"/>
                      <w:szCs w:val="20"/>
                      <w:vertAlign w:val="superscript"/>
                      <w:rtl w:val="0"/>
                    </w:rPr>
                    <w:t xml:space="preserve">nd</w:t>
                  </w:r>
                  <w:r w:rsidDel="00000000" w:rsidR="00000000" w:rsidRPr="00000000">
                    <w:rPr>
                      <w:sz w:val="20"/>
                      <w:szCs w:val="20"/>
                      <w:rtl w:val="0"/>
                    </w:rPr>
                    <w:t xml:space="preserve"> Marker’s/Moderator’s provisional mark</w:t>
                  </w:r>
                  <w:r w:rsidDel="00000000" w:rsidR="00000000" w:rsidRPr="00000000">
                    <w:rPr>
                      <w:rtl w:val="0"/>
                    </w:rPr>
                  </w:r>
                </w:p>
              </w:tc>
              <w:tc>
                <w:tcPr>
                  <w:vAlign w:val="top"/>
                </w:tcPr>
                <w:p w:rsidR="00000000" w:rsidDel="00000000" w:rsidP="00000000" w:rsidRDefault="00000000" w:rsidRPr="00000000" w14:paraId="0000003C">
                  <w:pPr>
                    <w:spacing w:line="240" w:lineRule="auto"/>
                    <w:rPr>
                      <w:sz w:val="20"/>
                      <w:szCs w:val="20"/>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D">
                  <w:pPr>
                    <w:spacing w:line="240" w:lineRule="auto"/>
                    <w:rPr>
                      <w:sz w:val="20"/>
                      <w:szCs w:val="20"/>
                    </w:rPr>
                  </w:pPr>
                  <w:r w:rsidDel="00000000" w:rsidR="00000000" w:rsidRPr="00000000">
                    <w:rPr>
                      <w:rtl w:val="0"/>
                    </w:rPr>
                  </w:r>
                </w:p>
                <w:p w:rsidR="00000000" w:rsidDel="00000000" w:rsidP="00000000" w:rsidRDefault="00000000" w:rsidRPr="00000000" w14:paraId="0000003E">
                  <w:pPr>
                    <w:spacing w:line="240" w:lineRule="auto"/>
                    <w:rPr>
                      <w:sz w:val="20"/>
                      <w:szCs w:val="20"/>
                    </w:rPr>
                  </w:pPr>
                  <w:r w:rsidDel="00000000" w:rsidR="00000000" w:rsidRPr="00000000">
                    <w:rPr>
                      <w:sz w:val="20"/>
                      <w:szCs w:val="20"/>
                      <w:rtl w:val="0"/>
                    </w:rPr>
                    <w:t xml:space="preserve">External Examiner’s mark (if relevant)</w:t>
                  </w:r>
                </w:p>
              </w:tc>
              <w:tc>
                <w:tcPr>
                  <w:vAlign w:val="top"/>
                </w:tcPr>
                <w:p w:rsidR="00000000" w:rsidDel="00000000" w:rsidP="00000000" w:rsidRDefault="00000000" w:rsidRPr="00000000" w14:paraId="0000003F">
                  <w:pPr>
                    <w:spacing w:line="240" w:lineRule="auto"/>
                    <w:rPr>
                      <w:sz w:val="20"/>
                      <w:szCs w:val="20"/>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0">
                  <w:pPr>
                    <w:spacing w:line="240" w:lineRule="auto"/>
                    <w:rPr>
                      <w:sz w:val="20"/>
                      <w:szCs w:val="20"/>
                    </w:rPr>
                  </w:pPr>
                  <w:r w:rsidDel="00000000" w:rsidR="00000000" w:rsidRPr="00000000">
                    <w:rPr>
                      <w:rtl w:val="0"/>
                    </w:rPr>
                  </w:r>
                </w:p>
                <w:p w:rsidR="00000000" w:rsidDel="00000000" w:rsidP="00000000" w:rsidRDefault="00000000" w:rsidRPr="00000000" w14:paraId="00000041">
                  <w:pPr>
                    <w:spacing w:line="240" w:lineRule="auto"/>
                    <w:rPr>
                      <w:rFonts w:ascii="Times New Roman" w:cs="Times New Roman" w:eastAsia="Times New Roman" w:hAnsi="Times New Roman"/>
                      <w:sz w:val="24"/>
                      <w:szCs w:val="24"/>
                    </w:rPr>
                  </w:pPr>
                  <w:r w:rsidDel="00000000" w:rsidR="00000000" w:rsidRPr="00000000">
                    <w:rPr>
                      <w:b w:val="1"/>
                      <w:sz w:val="20"/>
                      <w:szCs w:val="20"/>
                      <w:rtl w:val="0"/>
                    </w:rPr>
                    <w:t xml:space="preserve">Final Mark</w:t>
                  </w:r>
                  <w:r w:rsidDel="00000000" w:rsidR="00000000" w:rsidRPr="00000000">
                    <w:rPr>
                      <w:rtl w:val="0"/>
                    </w:rPr>
                  </w:r>
                </w:p>
                <w:p w:rsidR="00000000" w:rsidDel="00000000" w:rsidP="00000000" w:rsidRDefault="00000000" w:rsidRPr="00000000" w14:paraId="00000042">
                  <w:pPr>
                    <w:spacing w:line="240" w:lineRule="auto"/>
                    <w:rPr>
                      <w:sz w:val="20"/>
                      <w:szCs w:val="20"/>
                    </w:rPr>
                  </w:pPr>
                  <w:r w:rsidDel="00000000" w:rsidR="00000000" w:rsidRPr="00000000">
                    <w:rPr>
                      <w:rtl w:val="0"/>
                    </w:rPr>
                  </w:r>
                </w:p>
              </w:tc>
              <w:tc>
                <w:tcPr>
                  <w:vAlign w:val="top"/>
                </w:tcPr>
                <w:p w:rsidR="00000000" w:rsidDel="00000000" w:rsidP="00000000" w:rsidRDefault="00000000" w:rsidRPr="00000000" w14:paraId="00000043">
                  <w:pPr>
                    <w:spacing w:line="240" w:lineRule="auto"/>
                    <w:rPr>
                      <w:sz w:val="20"/>
                      <w:szCs w:val="20"/>
                    </w:rPr>
                  </w:pPr>
                  <w:r w:rsidDel="00000000" w:rsidR="00000000" w:rsidRPr="00000000">
                    <w:rPr>
                      <w:rtl w:val="0"/>
                    </w:rPr>
                  </w:r>
                </w:p>
              </w:tc>
            </w:tr>
          </w:tbl>
          <w:p w:rsidR="00000000" w:rsidDel="00000000" w:rsidP="00000000" w:rsidRDefault="00000000" w:rsidRPr="00000000" w14:paraId="00000044">
            <w:pPr>
              <w:spacing w:line="240" w:lineRule="auto"/>
              <w:ind w:left="142" w:right="34" w:firstLine="0"/>
              <w:rPr>
                <w:b w:val="1"/>
              </w:rPr>
            </w:pPr>
            <w:r w:rsidDel="00000000" w:rsidR="00000000" w:rsidRPr="00000000">
              <w:rPr>
                <w:rtl w:val="0"/>
              </w:rPr>
            </w:r>
          </w:p>
          <w:p w:rsidR="00000000" w:rsidDel="00000000" w:rsidP="00000000" w:rsidRDefault="00000000" w:rsidRPr="00000000" w14:paraId="00000045">
            <w:pPr>
              <w:spacing w:line="240" w:lineRule="auto"/>
              <w:ind w:left="142" w:right="34" w:firstLine="0"/>
              <w:rPr/>
            </w:pPr>
            <w:r w:rsidDel="00000000" w:rsidR="00000000" w:rsidRPr="00000000">
              <w:rPr>
                <w:b w:val="1"/>
                <w:rtl w:val="0"/>
              </w:rPr>
              <w:t xml:space="preserve">NB.</w:t>
            </w:r>
            <w:r w:rsidDel="00000000" w:rsidR="00000000" w:rsidRPr="00000000">
              <w:rPr>
                <w:rtl w:val="0"/>
              </w:rPr>
              <w:t xml:space="preserve">  All marks are provisional until confirmed by the Final Examination Board.</w:t>
            </w:r>
          </w:p>
          <w:p w:rsidR="00000000" w:rsidDel="00000000" w:rsidP="00000000" w:rsidRDefault="00000000" w:rsidRPr="00000000" w14:paraId="00000046">
            <w:pPr>
              <w:spacing w:line="240" w:lineRule="auto"/>
              <w:rPr>
                <w:b w:val="1"/>
              </w:rPr>
            </w:pPr>
            <w:r w:rsidDel="00000000" w:rsidR="00000000" w:rsidRPr="00000000">
              <w:rPr>
                <w:rtl w:val="0"/>
              </w:rPr>
            </w:r>
          </w:p>
          <w:p w:rsidR="00000000" w:rsidDel="00000000" w:rsidP="00000000" w:rsidRDefault="00000000" w:rsidRPr="00000000" w14:paraId="00000047">
            <w:pPr>
              <w:spacing w:line="240" w:lineRule="auto"/>
              <w:rPr>
                <w:b w:val="1"/>
              </w:rPr>
            </w:pPr>
            <w:r w:rsidDel="00000000" w:rsidR="00000000" w:rsidRPr="00000000">
              <w:rPr>
                <w:rtl w:val="0"/>
              </w:rPr>
            </w:r>
          </w:p>
          <w:p w:rsidR="00000000" w:rsidDel="00000000" w:rsidP="00000000" w:rsidRDefault="00000000" w:rsidRPr="00000000" w14:paraId="00000048">
            <w:pPr>
              <w:spacing w:line="240" w:lineRule="auto"/>
              <w:rPr>
                <w:b w:val="1"/>
              </w:rPr>
            </w:pPr>
            <w:r w:rsidDel="00000000" w:rsidR="00000000" w:rsidRPr="00000000">
              <w:rPr>
                <w:b w:val="1"/>
                <w:rtl w:val="0"/>
              </w:rPr>
              <w:t xml:space="preserve">            ALL COMMENTS ARE  ON THE PDF OF YOUR PAPER IN TURNITIN </w:t>
            </w:r>
          </w:p>
          <w:p w:rsidR="00000000" w:rsidDel="00000000" w:rsidP="00000000" w:rsidRDefault="00000000" w:rsidRPr="00000000" w14:paraId="00000049">
            <w:pPr>
              <w:spacing w:line="240" w:lineRule="auto"/>
              <w:rPr>
                <w:b w:val="1"/>
              </w:rPr>
            </w:pPr>
            <w:r w:rsidDel="00000000" w:rsidR="00000000" w:rsidRPr="00000000">
              <w:rPr>
                <w:rtl w:val="0"/>
              </w:rPr>
            </w:r>
          </w:p>
          <w:p w:rsidR="00000000" w:rsidDel="00000000" w:rsidP="00000000" w:rsidRDefault="00000000" w:rsidRPr="00000000" w14:paraId="0000004A">
            <w:pPr>
              <w:spacing w:line="240" w:lineRule="auto"/>
              <w:rPr>
                <w:b w:val="1"/>
              </w:rPr>
            </w:pPr>
            <w:r w:rsidDel="00000000" w:rsidR="00000000" w:rsidRPr="00000000">
              <w:rPr>
                <w:rtl w:val="0"/>
              </w:rPr>
            </w:r>
          </w:p>
          <w:p w:rsidR="00000000" w:rsidDel="00000000" w:rsidP="00000000" w:rsidRDefault="00000000" w:rsidRPr="00000000" w14:paraId="0000004B">
            <w:pPr>
              <w:spacing w:line="240" w:lineRule="auto"/>
              <w:rPr>
                <w:rFonts w:ascii="Georgia" w:cs="Georgia" w:eastAsia="Georgia" w:hAnsi="Georgia"/>
                <w:sz w:val="21"/>
                <w:szCs w:val="21"/>
              </w:rPr>
            </w:pPr>
            <w:r w:rsidDel="00000000" w:rsidR="00000000" w:rsidRPr="00000000">
              <w:rPr>
                <w:b w:val="1"/>
                <w:rtl w:val="0"/>
              </w:rPr>
              <w:t xml:space="preserve">For completion by Marker 1 :</w:t>
            </w:r>
            <w:r w:rsidDel="00000000" w:rsidR="00000000" w:rsidRPr="00000000">
              <w:rPr>
                <w:rtl w:val="0"/>
              </w:rPr>
            </w:r>
          </w:p>
          <w:p w:rsidR="00000000" w:rsidDel="00000000" w:rsidP="00000000" w:rsidRDefault="00000000" w:rsidRPr="00000000" w14:paraId="0000004C">
            <w:pPr>
              <w:spacing w:line="240" w:lineRule="auto"/>
              <w:rPr/>
            </w:pPr>
            <w:r w:rsidDel="00000000" w:rsidR="00000000" w:rsidRPr="00000000">
              <w:rPr>
                <w:rtl w:val="0"/>
              </w:rPr>
              <w:t xml:space="preserve">Comments:</w:t>
            </w:r>
          </w:p>
          <w:p w:rsidR="00000000" w:rsidDel="00000000" w:rsidP="00000000" w:rsidRDefault="00000000" w:rsidRPr="00000000" w14:paraId="0000004D">
            <w:pPr>
              <w:spacing w:line="240" w:lineRule="auto"/>
              <w:rPr>
                <w:rFonts w:ascii="Georgia" w:cs="Georgia" w:eastAsia="Georgia" w:hAnsi="Georgia"/>
                <w:sz w:val="21"/>
                <w:szCs w:val="21"/>
              </w:rPr>
            </w:pPr>
            <w:r w:rsidDel="00000000" w:rsidR="00000000" w:rsidRPr="00000000">
              <w:rPr>
                <w:rtl w:val="0"/>
              </w:rPr>
            </w:r>
          </w:p>
        </w:tc>
      </w:tr>
      <w:tr>
        <w:trPr>
          <w:cantSplit w:val="0"/>
          <w:trHeight w:val="492" w:hRule="atLeast"/>
          <w:tblHeader w:val="0"/>
        </w:trPr>
        <w:tc>
          <w:tcPr>
            <w:gridSpan w:val="3"/>
            <w:vAlign w:val="top"/>
          </w:tcPr>
          <w:p w:rsidR="00000000" w:rsidDel="00000000" w:rsidP="00000000" w:rsidRDefault="00000000" w:rsidRPr="00000000" w14:paraId="00000052">
            <w:pPr>
              <w:spacing w:line="240" w:lineRule="auto"/>
              <w:ind w:left="142" w:right="34" w:firstLine="0"/>
              <w:rPr>
                <w:rFonts w:ascii="Georgia" w:cs="Georgia" w:eastAsia="Georgia" w:hAnsi="Georgia"/>
                <w:sz w:val="21"/>
                <w:szCs w:val="21"/>
              </w:rPr>
            </w:pPr>
            <w:r w:rsidDel="00000000" w:rsidR="00000000" w:rsidRPr="00000000">
              <w:rPr>
                <w:rtl w:val="0"/>
              </w:rPr>
              <w:t xml:space="preserve">Marker’s signature:</w:t>
            </w:r>
            <w:r w:rsidDel="00000000" w:rsidR="00000000" w:rsidRPr="00000000">
              <w:rPr>
                <w:rtl w:val="0"/>
              </w:rPr>
            </w:r>
          </w:p>
        </w:tc>
        <w:tc>
          <w:tcPr>
            <w:gridSpan w:val="2"/>
            <w:vAlign w:val="top"/>
          </w:tcPr>
          <w:p w:rsidR="00000000" w:rsidDel="00000000" w:rsidP="00000000" w:rsidRDefault="00000000" w:rsidRPr="00000000" w14:paraId="00000055">
            <w:pPr>
              <w:spacing w:line="240" w:lineRule="auto"/>
              <w:ind w:left="142" w:right="34" w:firstLine="0"/>
              <w:rPr>
                <w:rFonts w:ascii="Georgia" w:cs="Georgia" w:eastAsia="Georgia" w:hAnsi="Georgia"/>
                <w:sz w:val="21"/>
                <w:szCs w:val="21"/>
              </w:rPr>
            </w:pPr>
            <w:r w:rsidDel="00000000" w:rsidR="00000000" w:rsidRPr="00000000">
              <w:rPr>
                <w:rtl w:val="0"/>
              </w:rPr>
              <w:t xml:space="preserve">Date:</w:t>
            </w:r>
            <w:r w:rsidDel="00000000" w:rsidR="00000000" w:rsidRPr="00000000">
              <w:rPr>
                <w:rtl w:val="0"/>
              </w:rPr>
            </w:r>
          </w:p>
        </w:tc>
      </w:tr>
      <w:tr>
        <w:trPr>
          <w:cantSplit w:val="0"/>
          <w:tblHeader w:val="0"/>
        </w:trPr>
        <w:tc>
          <w:tcPr>
            <w:gridSpan w:val="5"/>
            <w:vAlign w:val="top"/>
          </w:tcPr>
          <w:p w:rsidR="00000000" w:rsidDel="00000000" w:rsidP="00000000" w:rsidRDefault="00000000" w:rsidRPr="00000000" w14:paraId="00000057">
            <w:pPr>
              <w:spacing w:line="240" w:lineRule="auto"/>
              <w:ind w:right="-334"/>
              <w:rPr>
                <w:i w:val="1"/>
              </w:rPr>
            </w:pPr>
            <w:r w:rsidDel="00000000" w:rsidR="00000000" w:rsidRPr="00000000">
              <w:rPr>
                <w:rtl w:val="0"/>
              </w:rPr>
            </w:r>
          </w:p>
          <w:p w:rsidR="00000000" w:rsidDel="00000000" w:rsidP="00000000" w:rsidRDefault="00000000" w:rsidRPr="00000000" w14:paraId="00000058">
            <w:pPr>
              <w:spacing w:line="240" w:lineRule="auto"/>
              <w:ind w:right="-334"/>
              <w:rPr>
                <w:rFonts w:ascii="Georgia" w:cs="Georgia" w:eastAsia="Georgia" w:hAnsi="Georgia"/>
                <w:sz w:val="21"/>
                <w:szCs w:val="21"/>
              </w:rPr>
            </w:pPr>
            <w:r w:rsidDel="00000000" w:rsidR="00000000" w:rsidRPr="00000000">
              <w:rPr>
                <w:b w:val="1"/>
                <w:rtl w:val="0"/>
              </w:rPr>
              <w:t xml:space="preserve">For completion by Marker 2/Moderator:</w:t>
            </w:r>
            <w:r w:rsidDel="00000000" w:rsidR="00000000" w:rsidRPr="00000000">
              <w:rPr>
                <w:rtl w:val="0"/>
              </w:rPr>
            </w:r>
          </w:p>
          <w:p w:rsidR="00000000" w:rsidDel="00000000" w:rsidP="00000000" w:rsidRDefault="00000000" w:rsidRPr="00000000" w14:paraId="00000059">
            <w:pPr>
              <w:spacing w:line="240" w:lineRule="auto"/>
              <w:ind w:right="-334"/>
              <w:rPr>
                <w:b w:val="1"/>
              </w:rPr>
            </w:pPr>
            <w:r w:rsidDel="00000000" w:rsidR="00000000" w:rsidRPr="00000000">
              <w:rPr>
                <w:rtl w:val="0"/>
              </w:rPr>
            </w:r>
          </w:p>
          <w:p w:rsidR="00000000" w:rsidDel="00000000" w:rsidP="00000000" w:rsidRDefault="00000000" w:rsidRPr="00000000" w14:paraId="0000005A">
            <w:pPr>
              <w:spacing w:line="240" w:lineRule="auto"/>
              <w:ind w:right="-334"/>
              <w:rPr>
                <w:rFonts w:ascii="Georgia" w:cs="Georgia" w:eastAsia="Georgia" w:hAnsi="Georgia"/>
                <w:sz w:val="21"/>
                <w:szCs w:val="21"/>
              </w:rPr>
            </w:pPr>
            <w:r w:rsidDel="00000000" w:rsidR="00000000" w:rsidRPr="00000000">
              <w:rPr>
                <w:rtl w:val="0"/>
              </w:rPr>
              <w:t xml:space="preserve">Comments:</w:t>
            </w:r>
            <w:r w:rsidDel="00000000" w:rsidR="00000000" w:rsidRPr="00000000">
              <w:rPr>
                <w:rtl w:val="0"/>
              </w:rPr>
            </w:r>
          </w:p>
          <w:p w:rsidR="00000000" w:rsidDel="00000000" w:rsidP="00000000" w:rsidRDefault="00000000" w:rsidRPr="00000000" w14:paraId="0000005B">
            <w:pPr>
              <w:spacing w:line="240" w:lineRule="auto"/>
              <w:ind w:right="-334"/>
              <w:rPr/>
            </w:pPr>
            <w:r w:rsidDel="00000000" w:rsidR="00000000" w:rsidRPr="00000000">
              <w:rPr>
                <w:rtl w:val="0"/>
              </w:rPr>
            </w:r>
          </w:p>
          <w:p w:rsidR="00000000" w:rsidDel="00000000" w:rsidP="00000000" w:rsidRDefault="00000000" w:rsidRPr="00000000" w14:paraId="0000005C">
            <w:pPr>
              <w:spacing w:line="240" w:lineRule="auto"/>
              <w:ind w:right="-334"/>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61">
            <w:pPr>
              <w:spacing w:line="240" w:lineRule="auto"/>
              <w:ind w:right="-334"/>
              <w:rPr>
                <w:rFonts w:ascii="Georgia" w:cs="Georgia" w:eastAsia="Georgia" w:hAnsi="Georgia"/>
                <w:sz w:val="21"/>
                <w:szCs w:val="21"/>
              </w:rPr>
            </w:pPr>
            <w:r w:rsidDel="00000000" w:rsidR="00000000" w:rsidRPr="00000000">
              <w:rPr>
                <w:rtl w:val="0"/>
              </w:rPr>
              <w:t xml:space="preserve">Marker’s Signature:</w:t>
            </w:r>
            <w:r w:rsidDel="00000000" w:rsidR="00000000" w:rsidRPr="00000000">
              <w:rPr>
                <w:rtl w:val="0"/>
              </w:rPr>
            </w:r>
          </w:p>
        </w:tc>
        <w:tc>
          <w:tcPr>
            <w:gridSpan w:val="3"/>
            <w:vAlign w:val="top"/>
          </w:tcPr>
          <w:p w:rsidR="00000000" w:rsidDel="00000000" w:rsidP="00000000" w:rsidRDefault="00000000" w:rsidRPr="00000000" w14:paraId="00000063">
            <w:pPr>
              <w:spacing w:line="240" w:lineRule="auto"/>
              <w:ind w:right="-334"/>
              <w:rPr>
                <w:rFonts w:ascii="Georgia" w:cs="Georgia" w:eastAsia="Georgia" w:hAnsi="Georgia"/>
                <w:sz w:val="21"/>
                <w:szCs w:val="21"/>
              </w:rPr>
            </w:pPr>
            <w:r w:rsidDel="00000000" w:rsidR="00000000" w:rsidRPr="00000000">
              <w:rPr>
                <w:rtl w:val="0"/>
              </w:rPr>
              <w:t xml:space="preserve">Date:</w:t>
            </w:r>
            <w:r w:rsidDel="00000000" w:rsidR="00000000" w:rsidRPr="00000000">
              <w:rPr>
                <w:rtl w:val="0"/>
              </w:rPr>
            </w:r>
          </w:p>
        </w:tc>
      </w:tr>
      <w:tr>
        <w:trPr>
          <w:cantSplit w:val="0"/>
          <w:trHeight w:val="720" w:hRule="atLeast"/>
          <w:tblHeader w:val="0"/>
        </w:trPr>
        <w:tc>
          <w:tcPr>
            <w:gridSpan w:val="5"/>
            <w:vAlign w:val="top"/>
          </w:tcPr>
          <w:p w:rsidR="00000000" w:rsidDel="00000000" w:rsidP="00000000" w:rsidRDefault="00000000" w:rsidRPr="00000000" w14:paraId="00000066">
            <w:pPr>
              <w:spacing w:line="240" w:lineRule="auto"/>
              <w:rPr>
                <w:rFonts w:ascii="Times New Roman" w:cs="Times New Roman" w:eastAsia="Times New Roman" w:hAnsi="Times New Roman"/>
                <w:sz w:val="24"/>
                <w:szCs w:val="24"/>
              </w:rPr>
            </w:pPr>
            <w:r w:rsidDel="00000000" w:rsidR="00000000" w:rsidRPr="00000000">
              <w:rPr>
                <w:b w:val="1"/>
                <w:rtl w:val="0"/>
              </w:rPr>
              <w:t xml:space="preserve">External Examiner’s comments (if relevant)</w:t>
            </w:r>
            <w:r w:rsidDel="00000000" w:rsidR="00000000" w:rsidRPr="00000000">
              <w:rPr>
                <w:rtl w:val="0"/>
              </w:rPr>
            </w:r>
          </w:p>
          <w:p w:rsidR="00000000" w:rsidDel="00000000" w:rsidP="00000000" w:rsidRDefault="00000000" w:rsidRPr="00000000" w14:paraId="00000067">
            <w:pPr>
              <w:spacing w:line="240" w:lineRule="auto"/>
              <w:ind w:right="-334"/>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6C">
            <w:pPr>
              <w:spacing w:line="240" w:lineRule="auto"/>
              <w:rPr>
                <w:rFonts w:ascii="Times New Roman" w:cs="Times New Roman" w:eastAsia="Times New Roman" w:hAnsi="Times New Roman"/>
                <w:sz w:val="24"/>
                <w:szCs w:val="24"/>
              </w:rPr>
            </w:pPr>
            <w:r w:rsidDel="00000000" w:rsidR="00000000" w:rsidRPr="00000000">
              <w:rPr>
                <w:rtl w:val="0"/>
              </w:rPr>
              <w:t xml:space="preserve">External Examiner’s Signature:</w:t>
            </w:r>
            <w:r w:rsidDel="00000000" w:rsidR="00000000" w:rsidRPr="00000000">
              <w:rPr>
                <w:rtl w:val="0"/>
              </w:rPr>
            </w:r>
          </w:p>
        </w:tc>
        <w:tc>
          <w:tcPr>
            <w:gridSpan w:val="3"/>
            <w:vAlign w:val="top"/>
          </w:tcPr>
          <w:p w:rsidR="00000000" w:rsidDel="00000000" w:rsidP="00000000" w:rsidRDefault="00000000" w:rsidRPr="00000000" w14:paraId="0000006E">
            <w:pPr>
              <w:spacing w:line="240" w:lineRule="auto"/>
              <w:rPr>
                <w:rFonts w:ascii="Times New Roman" w:cs="Times New Roman" w:eastAsia="Times New Roman" w:hAnsi="Times New Roman"/>
                <w:sz w:val="24"/>
                <w:szCs w:val="24"/>
              </w:rPr>
            </w:pPr>
            <w:r w:rsidDel="00000000" w:rsidR="00000000" w:rsidRPr="00000000">
              <w:rPr>
                <w:rtl w:val="0"/>
              </w:rPr>
              <w:t xml:space="preserve">Date:</w:t>
            </w:r>
            <w:r w:rsidDel="00000000" w:rsidR="00000000" w:rsidRPr="00000000">
              <w:rPr>
                <w:rtl w:val="0"/>
              </w:rPr>
            </w:r>
          </w:p>
        </w:tc>
      </w:tr>
    </w:tbl>
    <w:p w:rsidR="00000000" w:rsidDel="00000000" w:rsidP="00000000" w:rsidRDefault="00000000" w:rsidRPr="00000000" w14:paraId="00000071">
      <w:pPr>
        <w:spacing w:line="240" w:lineRule="auto"/>
        <w:ind w:right="-334"/>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072">
      <w:pPr>
        <w:jc w:val="center"/>
        <w:rPr>
          <w:u w:val="single"/>
        </w:rPr>
      </w:pPr>
      <w:r w:rsidDel="00000000" w:rsidR="00000000" w:rsidRPr="00000000">
        <w:br w:type="page"/>
      </w:r>
      <w:r w:rsidDel="00000000" w:rsidR="00000000" w:rsidRPr="00000000">
        <w:rPr>
          <w:rtl w:val="0"/>
        </w:rPr>
      </w:r>
    </w:p>
    <w:p w:rsidR="00000000" w:rsidDel="00000000" w:rsidP="00000000" w:rsidRDefault="00000000" w:rsidRPr="00000000" w14:paraId="00000073">
      <w:pPr>
        <w:jc w:val="center"/>
        <w:rPr>
          <w:u w:val="single"/>
        </w:rPr>
      </w:pPr>
      <w:r w:rsidDel="00000000" w:rsidR="00000000" w:rsidRPr="00000000">
        <w:rPr>
          <w:u w:val="single"/>
          <w:rtl w:val="0"/>
        </w:rPr>
        <w:t xml:space="preserve">A 3,500 word essay written on a topic within the subject area: Compare and contrast two sky myths from two different cultures</w:t>
      </w:r>
    </w:p>
    <w:p w:rsidR="00000000" w:rsidDel="00000000" w:rsidP="00000000" w:rsidRDefault="00000000" w:rsidRPr="00000000" w14:paraId="00000074">
      <w:pPr>
        <w:jc w:val="center"/>
        <w:rPr>
          <w:u w:val="single"/>
        </w:rPr>
      </w:pPr>
      <w:r w:rsidDel="00000000" w:rsidR="00000000" w:rsidRPr="00000000">
        <w:rPr>
          <w:rtl w:val="0"/>
        </w:rPr>
      </w:r>
    </w:p>
    <w:p w:rsidR="00000000" w:rsidDel="00000000" w:rsidP="00000000" w:rsidRDefault="00000000" w:rsidRPr="00000000" w14:paraId="00000075">
      <w:pPr>
        <w:ind w:firstLine="720"/>
        <w:rPr/>
      </w:pPr>
      <w:r w:rsidDel="00000000" w:rsidR="00000000" w:rsidRPr="00000000">
        <w:rPr>
          <w:rtl w:val="0"/>
        </w:rPr>
        <w:t xml:space="preserve">This essay compares and contrasts two sky myths from different cultures and examines their forms and functions within a definition of myth. One of the myths presented in this essay is the Descent of Inanna, as told by Diane Wolkstein and Samuel Noah Kramer in </w:t>
      </w:r>
      <w:r w:rsidDel="00000000" w:rsidR="00000000" w:rsidRPr="00000000">
        <w:rPr>
          <w:i w:val="1"/>
          <w:rtl w:val="0"/>
        </w:rPr>
        <w:t xml:space="preserve">Inanna, Queen of Heaven and Earth: Her Stories and Hymns from Sumer</w:t>
      </w:r>
      <w:r w:rsidDel="00000000" w:rsidR="00000000" w:rsidRPr="00000000">
        <w:rPr>
          <w:rtl w:val="0"/>
        </w:rPr>
        <w:t xml:space="preserve">.</w:t>
      </w:r>
      <w:r w:rsidDel="00000000" w:rsidR="00000000" w:rsidRPr="00000000">
        <w:rPr>
          <w:vertAlign w:val="superscript"/>
        </w:rPr>
        <w:footnoteReference w:customMarkFollows="0" w:id="0"/>
      </w:r>
      <w:r w:rsidDel="00000000" w:rsidR="00000000" w:rsidRPr="00000000">
        <w:rPr>
          <w:rtl w:val="0"/>
        </w:rPr>
        <w:t xml:space="preserve"> The second myth is the story of Quetzalcoatl’s descent to Mictlan as told in the Leyenda de Soles, translated from Nahuatl by Willard Gingerich in </w:t>
      </w:r>
      <w:r w:rsidDel="00000000" w:rsidR="00000000" w:rsidRPr="00000000">
        <w:rPr>
          <w:i w:val="1"/>
          <w:rtl w:val="0"/>
        </w:rPr>
        <w:t xml:space="preserve">The Flayed God: The Mythology of Mesoamerica</w:t>
      </w:r>
      <w:r w:rsidDel="00000000" w:rsidR="00000000" w:rsidRPr="00000000">
        <w:rPr>
          <w:rtl w:val="0"/>
        </w:rPr>
        <w:t xml:space="preserve">.</w:t>
      </w:r>
      <w:r w:rsidDel="00000000" w:rsidR="00000000" w:rsidRPr="00000000">
        <w:rPr>
          <w:vertAlign w:val="superscript"/>
        </w:rPr>
        <w:footnoteReference w:customMarkFollows="0" w:id="1"/>
      </w:r>
      <w:r w:rsidDel="00000000" w:rsidR="00000000" w:rsidRPr="00000000">
        <w:rPr>
          <w:rtl w:val="0"/>
        </w:rPr>
        <w:t xml:space="preserve"> This essay also draws upon the five-part definition of myth posited by Mircea Eliade in </w:t>
      </w:r>
      <w:r w:rsidDel="00000000" w:rsidR="00000000" w:rsidRPr="00000000">
        <w:rPr>
          <w:i w:val="1"/>
          <w:rtl w:val="0"/>
        </w:rPr>
        <w:t xml:space="preserve">Myth and Reality</w:t>
      </w:r>
      <w:r w:rsidDel="00000000" w:rsidR="00000000" w:rsidRPr="00000000">
        <w:rPr>
          <w:rtl w:val="0"/>
        </w:rPr>
        <w:t xml:space="preserve">. Briefly, this definition characterizes myth as experienced by its culture as being a true and sacred history of the Supernaturals, related to creation, and participatory.</w:t>
      </w:r>
      <w:r w:rsidDel="00000000" w:rsidR="00000000" w:rsidRPr="00000000">
        <w:rPr>
          <w:vertAlign w:val="superscript"/>
        </w:rPr>
        <w:footnoteReference w:customMarkFollows="0" w:id="2"/>
      </w:r>
      <w:r w:rsidDel="00000000" w:rsidR="00000000" w:rsidRPr="00000000">
        <w:rPr>
          <w:rtl w:val="0"/>
        </w:rPr>
        <w:t xml:space="preserve"> As such, this essay will compare and contrast aspects of these myths associated with these characteristics by looking at their characters and narratives, representations of the sky, and cultural functions. Before diving into these aspects, this essay will summarize these myths and their cultural contexts, beginning with the Descent of Inanna.</w:t>
      </w:r>
    </w:p>
    <w:p w:rsidR="00000000" w:rsidDel="00000000" w:rsidP="00000000" w:rsidRDefault="00000000" w:rsidRPr="00000000" w14:paraId="00000076">
      <w:pPr>
        <w:ind w:firstLine="720"/>
        <w:rPr/>
      </w:pPr>
      <w:r w:rsidDel="00000000" w:rsidR="00000000" w:rsidRPr="00000000">
        <w:rPr>
          <w:rtl w:val="0"/>
        </w:rPr>
      </w:r>
    </w:p>
    <w:p w:rsidR="00000000" w:rsidDel="00000000" w:rsidP="00000000" w:rsidRDefault="00000000" w:rsidRPr="00000000" w14:paraId="00000077">
      <w:pPr>
        <w:ind w:left="0" w:firstLine="0"/>
        <w:rPr>
          <w:u w:val="single"/>
        </w:rPr>
      </w:pPr>
      <w:r w:rsidDel="00000000" w:rsidR="00000000" w:rsidRPr="00000000">
        <w:rPr>
          <w:u w:val="single"/>
          <w:rtl w:val="0"/>
        </w:rPr>
        <w:t xml:space="preserve">The Descent of Inanna</w:t>
      </w:r>
    </w:p>
    <w:p w:rsidR="00000000" w:rsidDel="00000000" w:rsidP="00000000" w:rsidRDefault="00000000" w:rsidRPr="00000000" w14:paraId="00000078">
      <w:pPr>
        <w:ind w:left="0" w:firstLine="0"/>
        <w:rPr>
          <w:u w:val="single"/>
        </w:rPr>
      </w:pPr>
      <w:r w:rsidDel="00000000" w:rsidR="00000000" w:rsidRPr="00000000">
        <w:rPr>
          <w:rtl w:val="0"/>
        </w:rPr>
      </w:r>
    </w:p>
    <w:p w:rsidR="00000000" w:rsidDel="00000000" w:rsidP="00000000" w:rsidRDefault="00000000" w:rsidRPr="00000000" w14:paraId="00000079">
      <w:pPr>
        <w:ind w:left="0" w:firstLine="0"/>
        <w:rPr/>
      </w:pPr>
      <w:r w:rsidDel="00000000" w:rsidR="00000000" w:rsidRPr="00000000">
        <w:rPr>
          <w:rtl w:val="0"/>
        </w:rPr>
        <w:tab/>
        <w:t xml:space="preserve">The Descent of Inanna is a myth that originates in ancient Mesopotamia. While this is the oldest civilization of which there are written records, and the clay tablets containing Inanna’s story date to approximately 1750 B.C., the story was lost to the world for some 4000 years and reintroduced around 1900 A.D. when archaeologists excavated them from Nippur.</w:t>
      </w:r>
      <w:r w:rsidDel="00000000" w:rsidR="00000000" w:rsidRPr="00000000">
        <w:rPr>
          <w:vertAlign w:val="superscript"/>
        </w:rPr>
        <w:footnoteReference w:customMarkFollows="0" w:id="3"/>
      </w:r>
      <w:r w:rsidDel="00000000" w:rsidR="00000000" w:rsidRPr="00000000">
        <w:rPr>
          <w:rtl w:val="0"/>
        </w:rPr>
        <w:t xml:space="preserve"> In the past century since their recovery, much work has been done to piece fragments of the story together, culminating in this collaboration between Samuel Noah Kramer (a cuneiformist and ancient Sumerian cultural expert) and renowned folklorist Diane Wolkstein. As relayed in this volume, the complete myth includes interstitial pieces from other sources and is nestled between other stories and hymns to Inanna recovered separately. Known also as Ishtar in the Semitic language, the worship of Inanna, the Queen of Heaven, dates roughly to the Babylonian kingdom, especially the city of Uruk. However, her reign in popular culture was almost certainly more ancient and widespread than that. She is a goddess most closely associated with the Morning and Evening Star (the planet Venus) in the sky and also functions as a goddess of love, fertility, war, and the thundering storm. In The Descent, Inanna begins in the ‘Great Above’ and ‘opens her ear’ to the ‘Great Below,’ seeking the wisdom of death and the underworld from her heavenly kingdom. She leaves the heavens and the earthly temples devoted to her. She then prepares for the journey by adorning herself with the seven </w:t>
      </w:r>
      <w:r w:rsidDel="00000000" w:rsidR="00000000" w:rsidRPr="00000000">
        <w:rPr>
          <w:i w:val="1"/>
          <w:rtl w:val="0"/>
        </w:rPr>
        <w:t xml:space="preserve">me</w:t>
      </w:r>
      <w:r w:rsidDel="00000000" w:rsidR="00000000" w:rsidRPr="00000000">
        <w:rPr>
          <w:rtl w:val="0"/>
        </w:rPr>
        <w:t xml:space="preserve"> (defined as the ‘essential laws and offices of civilization’</w:t>
      </w:r>
      <w:r w:rsidDel="00000000" w:rsidR="00000000" w:rsidRPr="00000000">
        <w:rPr>
          <w:vertAlign w:val="superscript"/>
        </w:rPr>
        <w:footnoteReference w:customMarkFollows="0" w:id="4"/>
      </w:r>
      <w:r w:rsidDel="00000000" w:rsidR="00000000" w:rsidRPr="00000000">
        <w:rPr>
          <w:rtl w:val="0"/>
        </w:rPr>
        <w:t xml:space="preserve">) in the shape of such adornments as a crown, beads, a robe, and other indicators of her status. As she departs, she leaves instructions with her servant, Ninshubur, in case she does not return. At the gates of the underworld, Inanna announces herself to Neti, the gatekeeper, and states that she is on her way to the East. When asked why she is here, she responds, ‘Because… of my sister, Ereshkigal’, and then adds that she is here to witness the funeral of Gugalanna, the Bull of Heaven, Ereshkigal’s husband. Ereshkigal permits Inanna to enter the underworld but decrees that she must leave behind one of her royal garments, the </w:t>
      </w:r>
      <w:r w:rsidDel="00000000" w:rsidR="00000000" w:rsidRPr="00000000">
        <w:rPr>
          <w:i w:val="1"/>
          <w:rtl w:val="0"/>
        </w:rPr>
        <w:t xml:space="preserve">me, </w:t>
      </w:r>
      <w:r w:rsidDel="00000000" w:rsidR="00000000" w:rsidRPr="00000000">
        <w:rPr>
          <w:rtl w:val="0"/>
        </w:rPr>
        <w:t xml:space="preserve">at each of the seven gates. Inanna is thus stripped of all trappings of life and enters the throne room ‘naked and bowed low.’ Inanna cannot cheat death, and Ereshkigal strikes her dead, her corpse ‘a piece of rotting meat… hung from a hook on the wall.’ After three days and three nights, Ninshubur does precisely what is asked of her, lamenting traditionally and then begging the gods Enlil and Nanna for their help resurrecting her. Both respond that craving the wisdom of the Great Above and Great Below is too much and that those who go to the underworld do not return. Finally, Ninshubur goes to Enki, who is aggrieved, and creates two sexless flies made of dirt to help: the kugara and the galatur. Enki instructs the flies in the ways of professional mourning. When they arrive in the underworld, they endear themselves to Ereshkigal by echoing back the pain of labor she is experiencing. She offers a gift, and they ask for Inanna’s corpse and bring her back to life. About to return, the Annuna (judges of the underworld) tell Inanna that because nobody can leave the underworld, she must provide someone in her place. The galla (demons of the underworld) accompany her home, and she denies them access to her loyal servant Ninshubur and her loyal sons Shara and Lulal, who have all been in mourning. However, when she finds her husband Dumuzi ‘dressed in his shining me’ and still sitting ‘on his magnificent throne,’ she has the galla take him. In the final acts of the myth, Dumuzi begs his brother-in-law Utu to spare him, and Dumuzi escapes as a snake. Later, Inanna and Dumuzi’s sister Geshtinanna weep for him, and they amend his fate - Gesthinanna will share Dumuzi’s fate, with Dumuzi spending half of the year in the underworld with Ereshkigal and the other half with Inanna as Geshtinanna takes his place. On its surface, the myth is primarily a story about encountering death. However, this myth serves many other functions, including as a sky myth, which this essay will examine further.</w:t>
      </w:r>
    </w:p>
    <w:p w:rsidR="00000000" w:rsidDel="00000000" w:rsidP="00000000" w:rsidRDefault="00000000" w:rsidRPr="00000000" w14:paraId="0000007A">
      <w:pPr>
        <w:ind w:left="0" w:firstLine="0"/>
        <w:rPr/>
      </w:pPr>
      <w:r w:rsidDel="00000000" w:rsidR="00000000" w:rsidRPr="00000000">
        <w:rPr>
          <w:rtl w:val="0"/>
        </w:rPr>
      </w:r>
    </w:p>
    <w:p w:rsidR="00000000" w:rsidDel="00000000" w:rsidP="00000000" w:rsidRDefault="00000000" w:rsidRPr="00000000" w14:paraId="0000007B">
      <w:pPr>
        <w:ind w:left="0" w:firstLine="0"/>
        <w:rPr>
          <w:u w:val="single"/>
        </w:rPr>
      </w:pPr>
      <w:r w:rsidDel="00000000" w:rsidR="00000000" w:rsidRPr="00000000">
        <w:rPr>
          <w:u w:val="single"/>
          <w:rtl w:val="0"/>
        </w:rPr>
        <w:t xml:space="preserve">Quetzalcoatl’s descent to Mictlan</w:t>
      </w:r>
    </w:p>
    <w:p w:rsidR="00000000" w:rsidDel="00000000" w:rsidP="00000000" w:rsidRDefault="00000000" w:rsidRPr="00000000" w14:paraId="0000007C">
      <w:pPr>
        <w:ind w:left="0" w:firstLine="0"/>
        <w:rPr/>
      </w:pPr>
      <w:r w:rsidDel="00000000" w:rsidR="00000000" w:rsidRPr="00000000">
        <w:rPr>
          <w:rtl w:val="0"/>
        </w:rPr>
      </w:r>
    </w:p>
    <w:p w:rsidR="00000000" w:rsidDel="00000000" w:rsidP="00000000" w:rsidRDefault="00000000" w:rsidRPr="00000000" w14:paraId="0000007D">
      <w:pPr>
        <w:ind w:left="0" w:firstLine="0"/>
        <w:rPr/>
      </w:pPr>
      <w:r w:rsidDel="00000000" w:rsidR="00000000" w:rsidRPr="00000000">
        <w:rPr>
          <w:rtl w:val="0"/>
        </w:rPr>
        <w:tab/>
        <w:t xml:space="preserve">The stories of the Mesoamerican god Quetzalcoatl are many and were widespread among the various cultures of Central America at the time of colonization and before. In the multiple codices and documents that tell the tale of the </w:t>
      </w:r>
      <w:r w:rsidDel="00000000" w:rsidR="00000000" w:rsidRPr="00000000">
        <w:rPr>
          <w:i w:val="1"/>
          <w:rtl w:val="0"/>
        </w:rPr>
        <w:t xml:space="preserve">Leyeneda de Soles</w:t>
      </w:r>
      <w:r w:rsidDel="00000000" w:rsidR="00000000" w:rsidRPr="00000000">
        <w:rPr>
          <w:rtl w:val="0"/>
        </w:rPr>
        <w:t xml:space="preserve"> (the Legend of the Suns), the Aztec cosmogenic story, this descent myth only appears sometimes. However, Markman and Markman, the compilers of </w:t>
      </w:r>
      <w:r w:rsidDel="00000000" w:rsidR="00000000" w:rsidRPr="00000000">
        <w:rPr>
          <w:i w:val="1"/>
          <w:rtl w:val="0"/>
        </w:rPr>
        <w:t xml:space="preserve">The Flayed God: The Mythology of Mesoamerica</w:t>
      </w:r>
      <w:r w:rsidDel="00000000" w:rsidR="00000000" w:rsidRPr="00000000">
        <w:rPr>
          <w:rtl w:val="0"/>
        </w:rPr>
        <w:t xml:space="preserve">, regard this version as one of the most ancient and complete. This manuscript was initially completed by a native Nahuatl speaker around 1558, bound in the </w:t>
      </w:r>
      <w:r w:rsidDel="00000000" w:rsidR="00000000" w:rsidRPr="00000000">
        <w:rPr>
          <w:i w:val="1"/>
          <w:rtl w:val="0"/>
        </w:rPr>
        <w:t xml:space="preserve">Codex Chimalpopoca</w:t>
      </w:r>
      <w:r w:rsidDel="00000000" w:rsidR="00000000" w:rsidRPr="00000000">
        <w:rPr>
          <w:rtl w:val="0"/>
        </w:rPr>
        <w:t xml:space="preserve">. It may have been the companion to a now-lost pictographic codex closely associated with the Aztec calendar stone. This version was translated by Willard Gingerich and published in 1992. As Alfonso Caso notes in </w:t>
      </w:r>
      <w:r w:rsidDel="00000000" w:rsidR="00000000" w:rsidRPr="00000000">
        <w:rPr>
          <w:i w:val="1"/>
          <w:rtl w:val="0"/>
        </w:rPr>
        <w:t xml:space="preserve">The Aztecs: People of the Sun</w:t>
      </w:r>
      <w:r w:rsidDel="00000000" w:rsidR="00000000" w:rsidRPr="00000000">
        <w:rPr>
          <w:rtl w:val="0"/>
        </w:rPr>
        <w:t xml:space="preserve">, the Aztecs were a conquering people and, like the Romans, were a synthesis of various Central American cultures.</w:t>
      </w:r>
      <w:r w:rsidDel="00000000" w:rsidR="00000000" w:rsidRPr="00000000">
        <w:rPr>
          <w:vertAlign w:val="superscript"/>
        </w:rPr>
        <w:footnoteReference w:customMarkFollows="0" w:id="5"/>
      </w:r>
      <w:r w:rsidDel="00000000" w:rsidR="00000000" w:rsidRPr="00000000">
        <w:rPr>
          <w:rtl w:val="0"/>
        </w:rPr>
        <w:t xml:space="preserve"> Therefore, over time, Quetzalcoatl came to be the god of many things, including ‘the god of wind, of life, of the morning; the planet Venus, god of twins and of monsters, and so on.’</w:t>
      </w:r>
      <w:r w:rsidDel="00000000" w:rsidR="00000000" w:rsidRPr="00000000">
        <w:rPr>
          <w:vertAlign w:val="superscript"/>
        </w:rPr>
        <w:footnoteReference w:customMarkFollows="0" w:id="6"/>
      </w:r>
      <w:r w:rsidDel="00000000" w:rsidR="00000000" w:rsidRPr="00000000">
        <w:rPr>
          <w:rtl w:val="0"/>
        </w:rPr>
        <w:t xml:space="preserve"> Quetzalcoatl translates to “winged serpent,” but he has many other names and attributes, making a thorough accounting of his mythology difficult. The </w:t>
      </w:r>
      <w:r w:rsidDel="00000000" w:rsidR="00000000" w:rsidRPr="00000000">
        <w:rPr>
          <w:i w:val="1"/>
          <w:rtl w:val="0"/>
        </w:rPr>
        <w:t xml:space="preserve">Leyenda de Soles</w:t>
      </w:r>
      <w:r w:rsidDel="00000000" w:rsidR="00000000" w:rsidRPr="00000000">
        <w:rPr>
          <w:rtl w:val="0"/>
        </w:rPr>
        <w:t xml:space="preserve"> begins with the tale of the origin and destruction of the world four times before this one, with four different suns, groups of early people, types of food, and tragedies that befell them. In some versions of the story, this results from the power struggle between creator gods Quetzalcoatl and Tezcatlipoca.</w:t>
      </w:r>
      <w:r w:rsidDel="00000000" w:rsidR="00000000" w:rsidRPr="00000000">
        <w:rPr>
          <w:vertAlign w:val="superscript"/>
        </w:rPr>
        <w:footnoteReference w:customMarkFollows="0" w:id="7"/>
      </w:r>
      <w:r w:rsidDel="00000000" w:rsidR="00000000" w:rsidRPr="00000000">
        <w:rPr>
          <w:rtl w:val="0"/>
        </w:rPr>
        <w:t xml:space="preserve"> Other stories in the Leyenda include the origin of fire and how the current sun and moon came to be how they are. The descent of Quetzalcoatl begins when the gods call an assembly and ask who will settle the Earth. Quetzalcoatl visits the Aztec underworld, Mictlan, with his nahual (spirit double), where he encounters the Lord and Lady of the realm and asks them for a set of jade bones they guard. The Lord of Mictlan agrees, but only if Quetzalcoatl can ‘blow on [his] conch trumpet and carry it four times around [his] jade throne.’ The conch had no holes for playing, but Quetzalcoatl called worms to create holes and bees and hornets to fill it with sound. The Lord of Mictlan tells Quetzalcoatl that he can have the bones but also instructs the Mictecans (his messengers) to tell him that he can’t. Quetzalcoatl announces that he will take the bones but instructs his nahual to say he will leave them. In this way, the gods double-cross each other, and Quetzalcoatl absconds with the jade bones while the Mictecans dig a hole that he falls into. The bones crash and break into different sizes, and quails peck at them, but his nahual encourages him to continue. Finally, they emerge from the underworld with the bone fragments. The gods all ‘do penance,’ Quetzalcoatl bleeds himself on the bones, and humanity is born. This myth also appears to be a story about creating humanity, but it also serves other essential functions, including as a sky myth. </w:t>
      </w:r>
    </w:p>
    <w:p w:rsidR="00000000" w:rsidDel="00000000" w:rsidP="00000000" w:rsidRDefault="00000000" w:rsidRPr="00000000" w14:paraId="0000007E">
      <w:pPr>
        <w:ind w:left="0" w:firstLine="0"/>
        <w:rPr/>
      </w:pPr>
      <w:r w:rsidDel="00000000" w:rsidR="00000000" w:rsidRPr="00000000">
        <w:rPr>
          <w:rtl w:val="0"/>
        </w:rPr>
      </w:r>
    </w:p>
    <w:p w:rsidR="00000000" w:rsidDel="00000000" w:rsidP="00000000" w:rsidRDefault="00000000" w:rsidRPr="00000000" w14:paraId="0000007F">
      <w:pPr>
        <w:ind w:left="0" w:firstLine="0"/>
        <w:rPr>
          <w:u w:val="single"/>
        </w:rPr>
      </w:pPr>
      <w:r w:rsidDel="00000000" w:rsidR="00000000" w:rsidRPr="00000000">
        <w:rPr>
          <w:u w:val="single"/>
          <w:rtl w:val="0"/>
        </w:rPr>
        <w:t xml:space="preserve">Characters and Narrative</w:t>
      </w:r>
    </w:p>
    <w:p w:rsidR="00000000" w:rsidDel="00000000" w:rsidP="00000000" w:rsidRDefault="00000000" w:rsidRPr="00000000" w14:paraId="00000080">
      <w:pPr>
        <w:ind w:left="0" w:firstLine="0"/>
        <w:rPr/>
      </w:pPr>
      <w:r w:rsidDel="00000000" w:rsidR="00000000" w:rsidRPr="00000000">
        <w:rPr>
          <w:rtl w:val="0"/>
        </w:rPr>
      </w:r>
    </w:p>
    <w:p w:rsidR="00000000" w:rsidDel="00000000" w:rsidP="00000000" w:rsidRDefault="00000000" w:rsidRPr="00000000" w14:paraId="00000081">
      <w:pPr>
        <w:ind w:left="0" w:firstLine="0"/>
        <w:rPr/>
      </w:pPr>
      <w:r w:rsidDel="00000000" w:rsidR="00000000" w:rsidRPr="00000000">
        <w:rPr>
          <w:rtl w:val="0"/>
        </w:rPr>
        <w:tab/>
        <w:t xml:space="preserve">According to Eliade, the primary characteristic of a myth is that it ‘constitutes the History of the acts of the Supernaturals’</w:t>
      </w:r>
      <w:r w:rsidDel="00000000" w:rsidR="00000000" w:rsidRPr="00000000">
        <w:rPr>
          <w:vertAlign w:val="superscript"/>
        </w:rPr>
        <w:footnoteReference w:customMarkFollows="0" w:id="8"/>
      </w:r>
      <w:r w:rsidDel="00000000" w:rsidR="00000000" w:rsidRPr="00000000">
        <w:rPr>
          <w:rtl w:val="0"/>
        </w:rPr>
        <w:t xml:space="preserve"> - therefore, this essay begins by comparing and contrasting the supernatural characters in question and their narrative histories. Inanna and Quetzalcoatl embark on a journey from the world above to the underworld but with different reasons for their descents. Inanna ‘opened her ear’ to the great below</w:t>
      </w:r>
      <w:r w:rsidDel="00000000" w:rsidR="00000000" w:rsidRPr="00000000">
        <w:rPr>
          <w:vertAlign w:val="superscript"/>
        </w:rPr>
        <w:footnoteReference w:customMarkFollows="0" w:id="9"/>
      </w:r>
      <w:r w:rsidDel="00000000" w:rsidR="00000000" w:rsidRPr="00000000">
        <w:rPr>
          <w:rtl w:val="0"/>
        </w:rPr>
        <w:t xml:space="preserve"> and later states that she is there because of her sister and to view the funeral of Gugalanna. Wolkstein comments that in Sumerian, the ear connotes wisdom, as Enki, the God of Wisdom, has ears that are ‘wide open’ and that he ‘knows all things.’</w:t>
      </w:r>
      <w:r w:rsidDel="00000000" w:rsidR="00000000" w:rsidRPr="00000000">
        <w:rPr>
          <w:vertAlign w:val="superscript"/>
        </w:rPr>
        <w:footnoteReference w:customMarkFollows="0" w:id="10"/>
      </w:r>
      <w:r w:rsidDel="00000000" w:rsidR="00000000" w:rsidRPr="00000000">
        <w:rPr>
          <w:rtl w:val="0"/>
        </w:rPr>
        <w:t xml:space="preserve"> Therefore, Inanna comes to the underworld primarily because she is curious and seeking the wisdom of the Great Below. In a way, her sister is calling to her, and with the excuse of attending Gugalana’s funeral, she attends her own. Quetzalcoatl assembles with the gods, who they ask who their people shall be ‘now that the heavens have come to a halt,’ after which he makes his way directly to Mictlan and asks for the jade bones.</w:t>
      </w:r>
      <w:r w:rsidDel="00000000" w:rsidR="00000000" w:rsidRPr="00000000">
        <w:rPr>
          <w:vertAlign w:val="superscript"/>
        </w:rPr>
        <w:footnoteReference w:customMarkFollows="0" w:id="11"/>
      </w:r>
      <w:r w:rsidDel="00000000" w:rsidR="00000000" w:rsidRPr="00000000">
        <w:rPr>
          <w:rtl w:val="0"/>
        </w:rPr>
        <w:t xml:space="preserve"> Quetzalcoatl’s clear aim is to create people for the gods, and he knows what he needs to accomplish this, even though there is no precedence. Both deities also encounter challenges in the underworld. At each of the seven gates to the underworld, Inanna must divest herself of one of the seven me she has adorned herself with, continuously asking, ‘What is this?’ and being told, ‘Quiet, Inanna, the ways of the underworld are perfect. They must not be questioned.’ until her sister kills her.</w:t>
      </w:r>
      <w:r w:rsidDel="00000000" w:rsidR="00000000" w:rsidRPr="00000000">
        <w:rPr>
          <w:vertAlign w:val="superscript"/>
        </w:rPr>
        <w:footnoteReference w:customMarkFollows="0" w:id="12"/>
      </w:r>
      <w:r w:rsidDel="00000000" w:rsidR="00000000" w:rsidRPr="00000000">
        <w:rPr>
          <w:rtl w:val="0"/>
        </w:rPr>
        <w:t xml:space="preserve"> Her challenge is one of surrender, as she must divest herself of all her worldly and queenly raiments and her hope of survival to truly experience and learn the wisdom of death. Quetzalcoatl must confront the Lord of the Mictlan’s tricks, including the conch trumpet that won’t play, a double-cross, and, ultimately, a trap hole dug by the Mictecans.</w:t>
      </w:r>
      <w:r w:rsidDel="00000000" w:rsidR="00000000" w:rsidRPr="00000000">
        <w:rPr>
          <w:vertAlign w:val="superscript"/>
        </w:rPr>
        <w:footnoteReference w:customMarkFollows="0" w:id="13"/>
      </w:r>
      <w:r w:rsidDel="00000000" w:rsidR="00000000" w:rsidRPr="00000000">
        <w:rPr>
          <w:rtl w:val="0"/>
        </w:rPr>
        <w:t xml:space="preserve"> His challenge is that of an honorable hero trying to out-trickster a trickster god, which he is ultimately hurt and embarrassed by. Finally, both characters emerge from the underworld victorious due to a duality of spirit. Inanna is saved in part because her sukkal Ninshubur intercedes with the gods.</w:t>
      </w:r>
      <w:r w:rsidDel="00000000" w:rsidR="00000000" w:rsidRPr="00000000">
        <w:rPr>
          <w:vertAlign w:val="superscript"/>
        </w:rPr>
        <w:footnoteReference w:customMarkFollows="0" w:id="14"/>
      </w:r>
      <w:r w:rsidDel="00000000" w:rsidR="00000000" w:rsidRPr="00000000">
        <w:rPr>
          <w:rtl w:val="0"/>
        </w:rPr>
        <w:t xml:space="preserve"> However, in a commentary on Inanna and the God of Wisdom, Wolkstein comments that while sukkal are servants that can serve many functions, those who carry out orders often have superior powers and that Ninshubur ‘seems to represent the inner spiritual resources of Inanna.’</w:t>
      </w:r>
      <w:r w:rsidDel="00000000" w:rsidR="00000000" w:rsidRPr="00000000">
        <w:rPr>
          <w:vertAlign w:val="superscript"/>
        </w:rPr>
        <w:footnoteReference w:customMarkFollows="0" w:id="15"/>
      </w:r>
      <w:r w:rsidDel="00000000" w:rsidR="00000000" w:rsidRPr="00000000">
        <w:rPr>
          <w:rtl w:val="0"/>
        </w:rPr>
        <w:t xml:space="preserve"> Therefore, it is Inanna’s spirit self that saves her. When the kugara and galatur find Ereshkigal, she is in the pain of labor.</w:t>
      </w:r>
      <w:r w:rsidDel="00000000" w:rsidR="00000000" w:rsidRPr="00000000">
        <w:rPr>
          <w:vertAlign w:val="superscript"/>
        </w:rPr>
        <w:footnoteReference w:customMarkFollows="0" w:id="16"/>
      </w:r>
      <w:r w:rsidDel="00000000" w:rsidR="00000000" w:rsidRPr="00000000">
        <w:rPr>
          <w:rtl w:val="0"/>
        </w:rPr>
        <w:t xml:space="preserve"> Like other underworld goddesses, Ereshkigal is also a goddess of rebirth and fertility,</w:t>
      </w:r>
      <w:r w:rsidDel="00000000" w:rsidR="00000000" w:rsidRPr="00000000">
        <w:rPr>
          <w:vertAlign w:val="superscript"/>
        </w:rPr>
        <w:footnoteReference w:customMarkFollows="0" w:id="17"/>
      </w:r>
      <w:r w:rsidDel="00000000" w:rsidR="00000000" w:rsidRPr="00000000">
        <w:rPr>
          <w:rtl w:val="0"/>
        </w:rPr>
        <w:t xml:space="preserve"> and Wolkstein infers that as the ‘neglected side of Inanna,’ Ereshkigal has gone into labor so that Inanna can be reborn.</w:t>
      </w:r>
      <w:r w:rsidDel="00000000" w:rsidR="00000000" w:rsidRPr="00000000">
        <w:rPr>
          <w:vertAlign w:val="superscript"/>
        </w:rPr>
        <w:footnoteReference w:customMarkFollows="0" w:id="18"/>
      </w:r>
      <w:r w:rsidDel="00000000" w:rsidR="00000000" w:rsidRPr="00000000">
        <w:rPr>
          <w:rtl w:val="0"/>
        </w:rPr>
        <w:t xml:space="preserve"> In this way, too, Inanna’s other psychospiritual half allows her to ascend from death. Quetzalcoatl receives help getting out of the underworld. In his scuffle with the Lord of Mictlan, his nahual helps him deceive the Lord.</w:t>
      </w:r>
      <w:r w:rsidDel="00000000" w:rsidR="00000000" w:rsidRPr="00000000">
        <w:rPr>
          <w:vertAlign w:val="superscript"/>
        </w:rPr>
        <w:footnoteReference w:customMarkFollows="0" w:id="19"/>
      </w:r>
      <w:r w:rsidDel="00000000" w:rsidR="00000000" w:rsidRPr="00000000">
        <w:rPr>
          <w:rtl w:val="0"/>
        </w:rPr>
        <w:t xml:space="preserve"> Then, after Quetzalcoatl falls down ‘as though dead,’ he is revived and begins to weep, asking, ‘How can this be?’, to which his nahual answers, ‘As it must. Things have gone wrong, but let us go on.’ Explained above briefly as a “spirit double,” the word nahual has many meanings. In Descent of the Plumed Serpent, Jansen and Jiminez explain that the nahual sphere is an ‘interactive liminal’ place where ‘religious experience and power are created,’</w:t>
      </w:r>
      <w:r w:rsidDel="00000000" w:rsidR="00000000" w:rsidRPr="00000000">
        <w:rPr>
          <w:vertAlign w:val="superscript"/>
        </w:rPr>
        <w:footnoteReference w:customMarkFollows="0" w:id="20"/>
      </w:r>
      <w:r w:rsidDel="00000000" w:rsidR="00000000" w:rsidRPr="00000000">
        <w:rPr>
          <w:rtl w:val="0"/>
        </w:rPr>
        <w:t xml:space="preserve"> and that serpents such as the feathered Quetzalcoatl are often used to depict priests in a trance.</w:t>
      </w:r>
      <w:r w:rsidDel="00000000" w:rsidR="00000000" w:rsidRPr="00000000">
        <w:rPr>
          <w:vertAlign w:val="superscript"/>
        </w:rPr>
        <w:footnoteReference w:customMarkFollows="0" w:id="21"/>
      </w:r>
      <w:r w:rsidDel="00000000" w:rsidR="00000000" w:rsidRPr="00000000">
        <w:rPr>
          <w:rtl w:val="0"/>
        </w:rPr>
        <w:t xml:space="preserve"> Quetzalcoatl is already a deity but still receives guidance as a hero from the great unknown, his shadow self, and emerges victorious in the creation of humanity. In conclusion, these myths have similar themes in that their supernatural leads share a journey to the underworld, face challenges, and thwart death with the help of their spirit doubles. They both successfully bring wisdom and life back, although their reasons for embarking on these journeys differ. </w:t>
      </w:r>
    </w:p>
    <w:p w:rsidR="00000000" w:rsidDel="00000000" w:rsidP="00000000" w:rsidRDefault="00000000" w:rsidRPr="00000000" w14:paraId="00000082">
      <w:pPr>
        <w:ind w:left="0" w:firstLine="0"/>
        <w:rPr/>
      </w:pPr>
      <w:r w:rsidDel="00000000" w:rsidR="00000000" w:rsidRPr="00000000">
        <w:rPr>
          <w:rtl w:val="0"/>
        </w:rPr>
      </w:r>
    </w:p>
    <w:p w:rsidR="00000000" w:rsidDel="00000000" w:rsidP="00000000" w:rsidRDefault="00000000" w:rsidRPr="00000000" w14:paraId="00000083">
      <w:pPr>
        <w:ind w:left="0" w:firstLine="0"/>
        <w:rPr>
          <w:u w:val="single"/>
        </w:rPr>
      </w:pPr>
      <w:r w:rsidDel="00000000" w:rsidR="00000000" w:rsidRPr="00000000">
        <w:rPr>
          <w:u w:val="single"/>
          <w:rtl w:val="0"/>
        </w:rPr>
        <w:t xml:space="preserve">Representations of the Sky</w:t>
      </w:r>
    </w:p>
    <w:p w:rsidR="00000000" w:rsidDel="00000000" w:rsidP="00000000" w:rsidRDefault="00000000" w:rsidRPr="00000000" w14:paraId="00000084">
      <w:pPr>
        <w:ind w:left="0" w:firstLine="0"/>
        <w:rPr>
          <w:u w:val="single"/>
        </w:rPr>
      </w:pPr>
      <w:r w:rsidDel="00000000" w:rsidR="00000000" w:rsidRPr="00000000">
        <w:rPr>
          <w:rtl w:val="0"/>
        </w:rPr>
      </w:r>
    </w:p>
    <w:p w:rsidR="00000000" w:rsidDel="00000000" w:rsidP="00000000" w:rsidRDefault="00000000" w:rsidRPr="00000000" w14:paraId="00000085">
      <w:pPr>
        <w:ind w:left="0" w:firstLine="0"/>
        <w:rPr/>
      </w:pPr>
      <w:r w:rsidDel="00000000" w:rsidR="00000000" w:rsidRPr="00000000">
        <w:rPr>
          <w:rtl w:val="0"/>
        </w:rPr>
        <w:tab/>
        <w:t xml:space="preserve">This essay will now explore how these myths translate into representations and explanations of the sky, as two more of Eliade’s characteristics of myth are that they are true and sacred as they concern reality and are ‘always related to creation’ and explain ‘how something came into existence.’</w:t>
      </w:r>
      <w:r w:rsidDel="00000000" w:rsidR="00000000" w:rsidRPr="00000000">
        <w:rPr>
          <w:vertAlign w:val="superscript"/>
        </w:rPr>
        <w:footnoteReference w:customMarkFollows="0" w:id="22"/>
      </w:r>
      <w:r w:rsidDel="00000000" w:rsidR="00000000" w:rsidRPr="00000000">
        <w:rPr>
          <w:rtl w:val="0"/>
        </w:rPr>
        <w:t xml:space="preserve"> Although neither of these myths explicitly state heavenly movements, both Inanna and Quetzalcoatl are deities separately associated with the planet Venus. Venus’s primary aspects as a planet are that it is bright in the sky and is an interior planet and, therefore, always appears near the sun shortly before sunrise or after sunset. Among the seven Innin-Dagan hymns to Inanna are “The Lady of the Evening” and “The Lady of the Morning.” In the evening, people prepare food and drink for ‘the Radiant Star,’ animals find their sleeping places, ‘there is great joy in Sumer,’ and ‘the young man makes love with his beloved.’</w:t>
      </w:r>
      <w:r w:rsidDel="00000000" w:rsidR="00000000" w:rsidRPr="00000000">
        <w:rPr>
          <w:vertAlign w:val="superscript"/>
        </w:rPr>
        <w:footnoteReference w:customMarkFollows="0" w:id="23"/>
      </w:r>
      <w:r w:rsidDel="00000000" w:rsidR="00000000" w:rsidRPr="00000000">
        <w:rPr>
          <w:rtl w:val="0"/>
        </w:rPr>
        <w:t xml:space="preserve"> In the morning, Inanna, as the ‘Ornament of Heaven’ appears ‘like bright daylight,’ and the people sing her praises and parade before her as she “gives blessings to the straightforward and destroys the wicked.</w:t>
      </w:r>
      <w:r w:rsidDel="00000000" w:rsidR="00000000" w:rsidRPr="00000000">
        <w:rPr>
          <w:vertAlign w:val="superscript"/>
        </w:rPr>
        <w:footnoteReference w:customMarkFollows="0" w:id="24"/>
      </w:r>
      <w:r w:rsidDel="00000000" w:rsidR="00000000" w:rsidRPr="00000000">
        <w:rPr>
          <w:rtl w:val="0"/>
        </w:rPr>
        <w:t xml:space="preserve"> Taken together, it is clear that the Babylonians understood the morning and evening stars to be the same phenomenon (the planet Venus) under the control of one deity, although reflecting different aspects of her rule. Quetzalcoatl, too, ‘may have been a creator, but his affairs were, above all, tied to the cycles of the planet Venus’ according to Campion.</w:t>
      </w:r>
      <w:r w:rsidDel="00000000" w:rsidR="00000000" w:rsidRPr="00000000">
        <w:rPr>
          <w:vertAlign w:val="superscript"/>
        </w:rPr>
        <w:footnoteReference w:customMarkFollows="0" w:id="25"/>
      </w:r>
      <w:r w:rsidDel="00000000" w:rsidR="00000000" w:rsidRPr="00000000">
        <w:rPr>
          <w:rtl w:val="0"/>
        </w:rPr>
        <w:t xml:space="preserve"> In another telling of the descent to Mictlan, Quetzalcoatl is accompanied not by his nahual but by his brother Xolotl. As Caso explains in this telling, one can also translate Quetzalcoatl as “the precious twin,” sometimes appearing ‘with two faces, one of a living man, the other in the form of a skull.’ </w:t>
      </w:r>
      <w:r w:rsidDel="00000000" w:rsidR="00000000" w:rsidRPr="00000000">
        <w:rPr>
          <w:vertAlign w:val="superscript"/>
        </w:rPr>
        <w:footnoteReference w:customMarkFollows="0" w:id="26"/>
      </w:r>
      <w:r w:rsidDel="00000000" w:rsidR="00000000" w:rsidRPr="00000000">
        <w:rPr>
          <w:rtl w:val="0"/>
        </w:rPr>
        <w:t xml:space="preserve"> Together, these two faces or brothers make up the evening star and morning star aspects of Venus. Another prominent aspect of the planet Venus is that in its apparent retrograde motion, it appears to move backward and fall into the sun’s path on the western horizon, disappear for several days as it passes near the sun, and reflects little to no light, and reappear several days later on the eastern horizon. One can see this pattern in both deities. In Inanna’s case, she states at the underworld's gates that she is passing East, and then she lies dead for several days before rebirth or resurrection begins.</w:t>
      </w:r>
      <w:r w:rsidDel="00000000" w:rsidR="00000000" w:rsidRPr="00000000">
        <w:rPr>
          <w:vertAlign w:val="superscript"/>
        </w:rPr>
        <w:footnoteReference w:customMarkFollows="0" w:id="27"/>
      </w:r>
      <w:r w:rsidDel="00000000" w:rsidR="00000000" w:rsidRPr="00000000">
        <w:rPr>
          <w:rtl w:val="0"/>
        </w:rPr>
        <w:t xml:space="preserve"> Venus will never be able to travel across the middle of the sky to the East like the outer planets can and must cross under the Earth to do so - therefore, Inanna must die to travel in that direction. Quetzalcoatl’s descent to Mictlan does not mention traveling in a specific direction, but he still travels below the horizon. There is, however, another story about Quetzalcoatl from the Anales de Cuauhtitlan, where he sets himself on fire, spends eight days in Mictlan, fashions arrows for himself, and rises ahead of the sun as the morning star.</w:t>
      </w:r>
      <w:r w:rsidDel="00000000" w:rsidR="00000000" w:rsidRPr="00000000">
        <w:rPr>
          <w:vertAlign w:val="superscript"/>
        </w:rPr>
        <w:footnoteReference w:customMarkFollows="0" w:id="28"/>
      </w:r>
      <w:r w:rsidDel="00000000" w:rsidR="00000000" w:rsidRPr="00000000">
        <w:rPr>
          <w:rtl w:val="0"/>
        </w:rPr>
        <w:t xml:space="preserve"> This essay does not use this myth as the primary source, as it is likely that this story conflates Ce Acatl Topiltzin Quetzalcoatl, a deified Toltec leader, with the creator god Quetzalcoatl.</w:t>
      </w:r>
      <w:r w:rsidDel="00000000" w:rsidR="00000000" w:rsidRPr="00000000">
        <w:rPr>
          <w:vertAlign w:val="superscript"/>
        </w:rPr>
        <w:footnoteReference w:customMarkFollows="0" w:id="29"/>
      </w:r>
      <w:r w:rsidDel="00000000" w:rsidR="00000000" w:rsidRPr="00000000">
        <w:rPr>
          <w:rtl w:val="0"/>
        </w:rPr>
        <w:t xml:space="preserve"> However, as previously noted, the Aztecs assimilated other cultures and deities, so this is still relevant to Quetzalcoatl’s list of legendary attributes. In conclusion, these descent myths may not directly state that they explain the visual realities of Venus on their own. Still, interpreted with other relevant cultural literature, they function as essential pieces of the identities of Inanna and Quetzalcoatl as the morning and evening stars. </w:t>
      </w:r>
    </w:p>
    <w:p w:rsidR="00000000" w:rsidDel="00000000" w:rsidP="00000000" w:rsidRDefault="00000000" w:rsidRPr="00000000" w14:paraId="00000086">
      <w:pPr>
        <w:ind w:left="0" w:firstLine="0"/>
        <w:rPr/>
      </w:pPr>
      <w:r w:rsidDel="00000000" w:rsidR="00000000" w:rsidRPr="00000000">
        <w:rPr>
          <w:rtl w:val="0"/>
        </w:rPr>
      </w:r>
    </w:p>
    <w:p w:rsidR="00000000" w:rsidDel="00000000" w:rsidP="00000000" w:rsidRDefault="00000000" w:rsidRPr="00000000" w14:paraId="00000087">
      <w:pPr>
        <w:ind w:left="0" w:firstLine="0"/>
        <w:rPr>
          <w:u w:val="single"/>
        </w:rPr>
      </w:pPr>
      <w:r w:rsidDel="00000000" w:rsidR="00000000" w:rsidRPr="00000000">
        <w:rPr>
          <w:u w:val="single"/>
          <w:rtl w:val="0"/>
        </w:rPr>
        <w:t xml:space="preserve">Cultural Functions</w:t>
      </w:r>
    </w:p>
    <w:p w:rsidR="00000000" w:rsidDel="00000000" w:rsidP="00000000" w:rsidRDefault="00000000" w:rsidRPr="00000000" w14:paraId="00000088">
      <w:pPr>
        <w:ind w:left="0" w:firstLine="0"/>
        <w:rPr/>
      </w:pPr>
      <w:r w:rsidDel="00000000" w:rsidR="00000000" w:rsidRPr="00000000">
        <w:rPr>
          <w:rtl w:val="0"/>
        </w:rPr>
      </w:r>
    </w:p>
    <w:p w:rsidR="00000000" w:rsidDel="00000000" w:rsidP="00000000" w:rsidRDefault="00000000" w:rsidRPr="00000000" w14:paraId="00000089">
      <w:pPr>
        <w:ind w:left="0" w:firstLine="0"/>
        <w:rPr/>
      </w:pPr>
      <w:r w:rsidDel="00000000" w:rsidR="00000000" w:rsidRPr="00000000">
        <w:rPr>
          <w:rtl w:val="0"/>
        </w:rPr>
        <w:tab/>
        <w:t xml:space="preserve">Finally, this essay will examine these myths for their functions in their respective cultures, as the final characteristics defined by Eliade are that people can experience them ritually or that one can live the myth.</w:t>
      </w:r>
      <w:r w:rsidDel="00000000" w:rsidR="00000000" w:rsidRPr="00000000">
        <w:rPr>
          <w:vertAlign w:val="superscript"/>
        </w:rPr>
        <w:footnoteReference w:customMarkFollows="0" w:id="30"/>
      </w:r>
      <w:r w:rsidDel="00000000" w:rsidR="00000000" w:rsidRPr="00000000">
        <w:rPr>
          <w:rtl w:val="0"/>
        </w:rPr>
        <w:t xml:space="preserve"> One defining feature of both the Mesopotamian and Mesoamerican cultures is that the people live in service to their gods. In Babylonian society, the purpose of human life was to serve the gods: people built temples to service statues of the gods, and even kings were servants to the gods and performed elaborate rituals to please them.</w:t>
      </w:r>
      <w:r w:rsidDel="00000000" w:rsidR="00000000" w:rsidRPr="00000000">
        <w:rPr>
          <w:vertAlign w:val="superscript"/>
        </w:rPr>
        <w:footnoteReference w:customMarkFollows="0" w:id="31"/>
      </w:r>
      <w:r w:rsidDel="00000000" w:rsidR="00000000" w:rsidRPr="00000000">
        <w:rPr>
          <w:rtl w:val="0"/>
        </w:rPr>
        <w:t xml:space="preserve"> The Sacred Marriage of Inanna to Dumuzi is well-documented as one of these annual rituals and festivals</w:t>
      </w:r>
      <w:r w:rsidDel="00000000" w:rsidR="00000000" w:rsidRPr="00000000">
        <w:rPr>
          <w:vertAlign w:val="superscript"/>
        </w:rPr>
        <w:footnoteReference w:customMarkFollows="0" w:id="32"/>
      </w:r>
      <w:r w:rsidDel="00000000" w:rsidR="00000000" w:rsidRPr="00000000">
        <w:rPr>
          <w:rtl w:val="0"/>
        </w:rPr>
        <w:t xml:space="preserve">. Although this is associated with another Inanna myth, it is because of the events in the Descent tale that Dumuzi must spend six months in the underworld and return after the hot, dry summer. Carrying statues of gods from one place to another was also a common practice, and some scholars theorize that the order of cities mentioned in Inanna’s descent and ascent may have been a guide for the ritual transportation of her statue.</w:t>
      </w:r>
      <w:r w:rsidDel="00000000" w:rsidR="00000000" w:rsidRPr="00000000">
        <w:rPr>
          <w:vertAlign w:val="superscript"/>
        </w:rPr>
        <w:footnoteReference w:customMarkFollows="0" w:id="33"/>
      </w:r>
      <w:r w:rsidDel="00000000" w:rsidR="00000000" w:rsidRPr="00000000">
        <w:rPr>
          <w:rtl w:val="0"/>
        </w:rPr>
        <w:t xml:space="preserve"> In Mesoamerica, as well, humans existed to serve the gods. The gods can be kept alive not through mortal food but only through the gift of life itself, and as such, the Aztecs considered themselves collaborators with the gods through blood sacrifice.</w:t>
      </w:r>
      <w:r w:rsidDel="00000000" w:rsidR="00000000" w:rsidRPr="00000000">
        <w:rPr>
          <w:vertAlign w:val="superscript"/>
        </w:rPr>
        <w:footnoteReference w:customMarkFollows="0" w:id="34"/>
      </w:r>
      <w:r w:rsidDel="00000000" w:rsidR="00000000" w:rsidRPr="00000000">
        <w:rPr>
          <w:rtl w:val="0"/>
        </w:rPr>
        <w:t xml:space="preserve"> While other myths explain why this must be the case, Quetzalcoatl’s descent myth also provides a reason for ritual sacrifice: Quetzalcoatl bleeds on the jade bones he has recovered and nearly died to bring them to life, and humanity must repay the favor. Inanna and Quetzalcoatl are also deeply involved in their people's calendar cycles. In addition to the annual pilgrimages and sacred marriage rites of Inanna mentioned above, Jacobsen postulates that the death of Inanna could have stood in for ‘the fate of the herds of sheep at the end of the grazing season, the animals being shorn, butchered, and, the meant hung in underground cold-storage rooms.’</w:t>
      </w:r>
      <w:r w:rsidDel="00000000" w:rsidR="00000000" w:rsidRPr="00000000">
        <w:rPr>
          <w:vertAlign w:val="superscript"/>
        </w:rPr>
        <w:footnoteReference w:customMarkFollows="0" w:id="35"/>
      </w:r>
      <w:r w:rsidDel="00000000" w:rsidR="00000000" w:rsidRPr="00000000">
        <w:rPr>
          <w:rtl w:val="0"/>
        </w:rPr>
        <w:t xml:space="preserve"> As far as we know, none of these practices directly follow the movements of the planet Venus, but the themes of death, fertility, repetition, and renewal permeate the culture. However, Quetzalcoatl, as the planet Venus, is integral to Aztec calendar culture. One of the defining pieces of Aztec culture is their scrupulous timekeeping based on Venus Almanacs, which track the five Venus retrograde cycles in eight years before restarting in the same place.</w:t>
      </w:r>
      <w:r w:rsidDel="00000000" w:rsidR="00000000" w:rsidRPr="00000000">
        <w:rPr>
          <w:vertAlign w:val="superscript"/>
        </w:rPr>
        <w:footnoteReference w:customMarkFollows="0" w:id="36"/>
      </w:r>
      <w:r w:rsidDel="00000000" w:rsidR="00000000" w:rsidRPr="00000000">
        <w:rPr>
          <w:rtl w:val="0"/>
        </w:rPr>
        <w:t xml:space="preserve"> In these pictographic almanacs, the feathered serpent is also recognizable as one of the symbols of Venus because Quetzalcoatl’s descent stories represent the cycles of Venus.</w:t>
      </w:r>
      <w:r w:rsidDel="00000000" w:rsidR="00000000" w:rsidRPr="00000000">
        <w:rPr>
          <w:vertAlign w:val="superscript"/>
        </w:rPr>
        <w:footnoteReference w:customMarkFollows="0" w:id="37"/>
      </w:r>
      <w:r w:rsidDel="00000000" w:rsidR="00000000" w:rsidRPr="00000000">
        <w:rPr>
          <w:rtl w:val="0"/>
        </w:rPr>
        <w:t xml:space="preserve"> While it is difficult, if not impossible, for scholars far removed from a culture to be sure of the details of a culture’s participation in the ritual of a myth, the fact that as much is known about the rituals and calendars associated with Inanna and Quetzalcoatl as has been demonstrated suggests that these myths fulfill the final characteristics of myth laid out by Eliade.</w:t>
      </w:r>
    </w:p>
    <w:p w:rsidR="00000000" w:rsidDel="00000000" w:rsidP="00000000" w:rsidRDefault="00000000" w:rsidRPr="00000000" w14:paraId="0000008A">
      <w:pPr>
        <w:ind w:left="0" w:firstLine="0"/>
        <w:rPr/>
      </w:pPr>
      <w:r w:rsidDel="00000000" w:rsidR="00000000" w:rsidRPr="00000000">
        <w:rPr>
          <w:rtl w:val="0"/>
        </w:rPr>
      </w:r>
    </w:p>
    <w:p w:rsidR="00000000" w:rsidDel="00000000" w:rsidP="00000000" w:rsidRDefault="00000000" w:rsidRPr="00000000" w14:paraId="0000008B">
      <w:pPr>
        <w:ind w:left="0" w:firstLine="0"/>
        <w:rPr>
          <w:u w:val="single"/>
        </w:rPr>
      </w:pPr>
      <w:r w:rsidDel="00000000" w:rsidR="00000000" w:rsidRPr="00000000">
        <w:rPr>
          <w:u w:val="single"/>
          <w:rtl w:val="0"/>
        </w:rPr>
        <w:t xml:space="preserve">Conclusion</w:t>
      </w:r>
    </w:p>
    <w:p w:rsidR="00000000" w:rsidDel="00000000" w:rsidP="00000000" w:rsidRDefault="00000000" w:rsidRPr="00000000" w14:paraId="0000008C">
      <w:pPr>
        <w:ind w:left="0" w:firstLine="0"/>
        <w:rPr/>
      </w:pPr>
      <w:r w:rsidDel="00000000" w:rsidR="00000000" w:rsidRPr="00000000">
        <w:rPr>
          <w:rtl w:val="0"/>
        </w:rPr>
      </w:r>
    </w:p>
    <w:p w:rsidR="00000000" w:rsidDel="00000000" w:rsidP="00000000" w:rsidRDefault="00000000" w:rsidRPr="00000000" w14:paraId="0000008D">
      <w:pPr>
        <w:ind w:left="0" w:firstLine="0"/>
        <w:rPr/>
      </w:pPr>
      <w:r w:rsidDel="00000000" w:rsidR="00000000" w:rsidRPr="00000000">
        <w:rPr>
          <w:rtl w:val="0"/>
        </w:rPr>
        <w:tab/>
        <w:t xml:space="preserve">This essay compared and contrasted a Babylonian myth, the Descent of Inanna, with an Aztec myth, the Descent of Quetzalcoatl, and used Mircea Eliade’s necessary characteristics of myth as a structure for analyzing these stories. It found that these two Venusian characters share a similar narrative in that they both make journies to the underworld. Although their motives for these journeys differ, the deities both succeed in passing through the trials of the land of the dead with the help of their dualistic nature. When examining these myths for ‘absolutely true’ creation myths, it found that the descent myths do not directly purport to explain the visual astronomy of the planet Venus but that these pieces combine with other literature to form explanatory pieces of these deities’ identities as the planet. This essay also found evidence that these myths played essential functions in the culture of each society. Finally, this essay concludes that while sky myths contain a reality, they do not always contain the entirety of any one reality. While a myth may explain why something occurs, its archetypes and the themes they encounter are more significant than the reality of visual astronomy, and their story may take on a life of its own in the story.</w:t>
      </w:r>
      <w:r w:rsidDel="00000000" w:rsidR="00000000" w:rsidRPr="00000000">
        <w:br w:type="page"/>
      </w:r>
      <w:r w:rsidDel="00000000" w:rsidR="00000000" w:rsidRPr="00000000">
        <w:rPr>
          <w:rtl w:val="0"/>
        </w:rPr>
      </w:r>
    </w:p>
    <w:p w:rsidR="00000000" w:rsidDel="00000000" w:rsidP="00000000" w:rsidRDefault="00000000" w:rsidRPr="00000000" w14:paraId="0000008E">
      <w:pPr>
        <w:ind w:left="0" w:firstLine="0"/>
        <w:rPr>
          <w:u w:val="single"/>
        </w:rPr>
      </w:pPr>
      <w:r w:rsidDel="00000000" w:rsidR="00000000" w:rsidRPr="00000000">
        <w:rPr>
          <w:u w:val="single"/>
          <w:rtl w:val="0"/>
        </w:rPr>
        <w:t xml:space="preserve">References</w:t>
      </w: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ind w:left="720" w:hanging="720"/>
        <w:rPr/>
      </w:pPr>
      <w:r w:rsidDel="00000000" w:rsidR="00000000" w:rsidRPr="00000000">
        <w:rPr>
          <w:rtl w:val="0"/>
        </w:rPr>
        <w:t xml:space="preserve">Abusch, Tzvi, 'Mesopotamian Religion' in </w:t>
      </w:r>
      <w:r w:rsidDel="00000000" w:rsidR="00000000" w:rsidRPr="00000000">
        <w:rPr>
          <w:i w:val="1"/>
          <w:rtl w:val="0"/>
        </w:rPr>
        <w:t xml:space="preserve">The Oxford Handbook of Ritual and Worship in the Hebrew Bible</w:t>
      </w:r>
      <w:r w:rsidDel="00000000" w:rsidR="00000000" w:rsidRPr="00000000">
        <w:rPr>
          <w:rtl w:val="0"/>
        </w:rPr>
        <w:t xml:space="preserve">, ed. by Samuel E. Balentine (Oxford, Oxford Academic, 2020), &lt;https://doi.org/10.1093/oxfordhb/9780190222116.013.1&gt;  [Accessed 3 Jan. 2024] </w:t>
      </w:r>
    </w:p>
    <w:p w:rsidR="00000000" w:rsidDel="00000000" w:rsidP="00000000" w:rsidRDefault="00000000" w:rsidRPr="00000000" w14:paraId="00000091">
      <w:pPr>
        <w:ind w:left="720" w:hanging="720"/>
        <w:rPr/>
      </w:pPr>
      <w:r w:rsidDel="00000000" w:rsidR="00000000" w:rsidRPr="00000000">
        <w:rPr>
          <w:rtl w:val="0"/>
        </w:rPr>
      </w:r>
    </w:p>
    <w:p w:rsidR="00000000" w:rsidDel="00000000" w:rsidP="00000000" w:rsidRDefault="00000000" w:rsidRPr="00000000" w14:paraId="00000092">
      <w:pPr>
        <w:ind w:left="720" w:hanging="720"/>
        <w:rPr/>
      </w:pPr>
      <w:r w:rsidDel="00000000" w:rsidR="00000000" w:rsidRPr="00000000">
        <w:rPr>
          <w:rtl w:val="0"/>
        </w:rPr>
        <w:t xml:space="preserve">Buccellati, Georgio, ‘The Descent of Inanna as a Ritual Journey to Kutha?’, </w:t>
      </w:r>
      <w:r w:rsidDel="00000000" w:rsidR="00000000" w:rsidRPr="00000000">
        <w:rPr>
          <w:i w:val="1"/>
          <w:rtl w:val="0"/>
        </w:rPr>
        <w:t xml:space="preserve">Neo-Mesopotamian Studies</w:t>
      </w:r>
      <w:r w:rsidDel="00000000" w:rsidR="00000000" w:rsidRPr="00000000">
        <w:rPr>
          <w:rtl w:val="0"/>
        </w:rPr>
        <w:t xml:space="preserve">, 4.3 (1982), 3-7 &lt;https://www.academia.edu/22650041/The_Descent_of_Inanna_as_a_Ritual_Journey_to_Kutha&gt; [Accessed 4 January 2024]</w:t>
      </w:r>
    </w:p>
    <w:p w:rsidR="00000000" w:rsidDel="00000000" w:rsidP="00000000" w:rsidRDefault="00000000" w:rsidRPr="00000000" w14:paraId="00000093">
      <w:pPr>
        <w:ind w:left="720" w:hanging="720"/>
        <w:rPr/>
      </w:pPr>
      <w:r w:rsidDel="00000000" w:rsidR="00000000" w:rsidRPr="00000000">
        <w:rPr>
          <w:rtl w:val="0"/>
        </w:rPr>
      </w:r>
    </w:p>
    <w:p w:rsidR="00000000" w:rsidDel="00000000" w:rsidP="00000000" w:rsidRDefault="00000000" w:rsidRPr="00000000" w14:paraId="00000094">
      <w:pPr>
        <w:ind w:left="720" w:hanging="720"/>
        <w:rPr/>
      </w:pPr>
      <w:r w:rsidDel="00000000" w:rsidR="00000000" w:rsidRPr="00000000">
        <w:rPr>
          <w:rtl w:val="0"/>
        </w:rPr>
        <w:t xml:space="preserve">Campion, Nicholas, </w:t>
      </w:r>
      <w:r w:rsidDel="00000000" w:rsidR="00000000" w:rsidRPr="00000000">
        <w:rPr>
          <w:i w:val="1"/>
          <w:rtl w:val="0"/>
        </w:rPr>
        <w:t xml:space="preserve">Astrology and Cosmology in the Worlds Religions</w:t>
      </w:r>
      <w:r w:rsidDel="00000000" w:rsidR="00000000" w:rsidRPr="00000000">
        <w:rPr>
          <w:rtl w:val="0"/>
        </w:rPr>
        <w:t xml:space="preserve">, (New York, NYU Press, 2012) &lt;https://www.jstor.org/stable/j.ctt9qg5q5&gt; [Accessed 4 January 2024].</w:t>
      </w:r>
    </w:p>
    <w:p w:rsidR="00000000" w:rsidDel="00000000" w:rsidP="00000000" w:rsidRDefault="00000000" w:rsidRPr="00000000" w14:paraId="00000095">
      <w:pPr>
        <w:ind w:left="720" w:hanging="720"/>
        <w:rPr/>
      </w:pPr>
      <w:r w:rsidDel="00000000" w:rsidR="00000000" w:rsidRPr="00000000">
        <w:rPr>
          <w:rtl w:val="0"/>
        </w:rPr>
      </w:r>
    </w:p>
    <w:p w:rsidR="00000000" w:rsidDel="00000000" w:rsidP="00000000" w:rsidRDefault="00000000" w:rsidRPr="00000000" w14:paraId="00000096">
      <w:pPr>
        <w:ind w:left="720" w:hanging="720"/>
        <w:rPr/>
      </w:pPr>
      <w:r w:rsidDel="00000000" w:rsidR="00000000" w:rsidRPr="00000000">
        <w:rPr>
          <w:rtl w:val="0"/>
        </w:rPr>
        <w:t xml:space="preserve">Caso, Alfonso, </w:t>
      </w:r>
      <w:r w:rsidDel="00000000" w:rsidR="00000000" w:rsidRPr="00000000">
        <w:rPr>
          <w:i w:val="1"/>
          <w:rtl w:val="0"/>
        </w:rPr>
        <w:t xml:space="preserve">The Aztecs: People of the Sun</w:t>
      </w:r>
      <w:r w:rsidDel="00000000" w:rsidR="00000000" w:rsidRPr="00000000">
        <w:rPr>
          <w:rtl w:val="0"/>
        </w:rPr>
        <w:t xml:space="preserve">, (Norman, University of Oklahoma Press, 1958)  &lt;https://archive.org/details/aztecs0000unse_h8z8/mode/2up&gt; [Accessed 4 January 2024]</w:t>
      </w:r>
    </w:p>
    <w:p w:rsidR="00000000" w:rsidDel="00000000" w:rsidP="00000000" w:rsidRDefault="00000000" w:rsidRPr="00000000" w14:paraId="00000097">
      <w:pPr>
        <w:ind w:left="720" w:hanging="720"/>
        <w:rPr/>
      </w:pPr>
      <w:r w:rsidDel="00000000" w:rsidR="00000000" w:rsidRPr="00000000">
        <w:rPr>
          <w:rtl w:val="0"/>
        </w:rPr>
      </w:r>
    </w:p>
    <w:p w:rsidR="00000000" w:rsidDel="00000000" w:rsidP="00000000" w:rsidRDefault="00000000" w:rsidRPr="00000000" w14:paraId="00000098">
      <w:pPr>
        <w:ind w:left="720" w:hanging="720"/>
        <w:rPr/>
      </w:pPr>
      <w:r w:rsidDel="00000000" w:rsidR="00000000" w:rsidRPr="00000000">
        <w:rPr>
          <w:rtl w:val="0"/>
        </w:rPr>
        <w:t xml:space="preserve">Dexter, Miriam Robbins, ‘The Fecorious  and the Erotic: “Beautiful” Medusa and the Neolithic Bird and Snake’, </w:t>
      </w:r>
      <w:r w:rsidDel="00000000" w:rsidR="00000000" w:rsidRPr="00000000">
        <w:rPr>
          <w:i w:val="1"/>
          <w:rtl w:val="0"/>
        </w:rPr>
        <w:t xml:space="preserve">Journal of Feminist Studies in Religion</w:t>
      </w:r>
      <w:r w:rsidDel="00000000" w:rsidR="00000000" w:rsidRPr="00000000">
        <w:rPr>
          <w:rtl w:val="0"/>
        </w:rPr>
        <w:t xml:space="preserve">, 26.1 (2010), 25-41 &lt;</w:t>
      </w:r>
      <w:r w:rsidDel="00000000" w:rsidR="00000000" w:rsidRPr="00000000">
        <w:rPr>
          <w:rtl w:val="0"/>
        </w:rPr>
        <w:t xml:space="preserve">https://www.jstor.org/stable/10.2979/fsr.2010.26.1.25</w:t>
      </w:r>
      <w:r w:rsidDel="00000000" w:rsidR="00000000" w:rsidRPr="00000000">
        <w:rPr>
          <w:rtl w:val="0"/>
        </w:rPr>
        <w:t xml:space="preserve">&gt; [Accessed 4 January 2024]</w:t>
      </w:r>
    </w:p>
    <w:p w:rsidR="00000000" w:rsidDel="00000000" w:rsidP="00000000" w:rsidRDefault="00000000" w:rsidRPr="00000000" w14:paraId="00000099">
      <w:pPr>
        <w:ind w:left="720" w:hanging="720"/>
        <w:rPr/>
      </w:pPr>
      <w:r w:rsidDel="00000000" w:rsidR="00000000" w:rsidRPr="00000000">
        <w:rPr>
          <w:rtl w:val="0"/>
        </w:rPr>
      </w:r>
    </w:p>
    <w:p w:rsidR="00000000" w:rsidDel="00000000" w:rsidP="00000000" w:rsidRDefault="00000000" w:rsidRPr="00000000" w14:paraId="0000009A">
      <w:pPr>
        <w:ind w:left="720" w:hanging="720"/>
        <w:rPr/>
      </w:pPr>
      <w:r w:rsidDel="00000000" w:rsidR="00000000" w:rsidRPr="00000000">
        <w:rPr>
          <w:rtl w:val="0"/>
        </w:rPr>
        <w:t xml:space="preserve">Eliade, Mircea, </w:t>
      </w:r>
      <w:r w:rsidDel="00000000" w:rsidR="00000000" w:rsidRPr="00000000">
        <w:rPr>
          <w:i w:val="1"/>
          <w:rtl w:val="0"/>
        </w:rPr>
        <w:t xml:space="preserve">Myth and Reality (World Perspective Series)</w:t>
      </w:r>
      <w:r w:rsidDel="00000000" w:rsidR="00000000" w:rsidRPr="00000000">
        <w:rPr>
          <w:rtl w:val="0"/>
        </w:rPr>
        <w:t xml:space="preserve">, (New York and Evanston, Harper &amp; Row, 1963)</w:t>
      </w:r>
    </w:p>
    <w:p w:rsidR="00000000" w:rsidDel="00000000" w:rsidP="00000000" w:rsidRDefault="00000000" w:rsidRPr="00000000" w14:paraId="0000009B">
      <w:pPr>
        <w:ind w:left="720" w:hanging="720"/>
        <w:rPr/>
      </w:pPr>
      <w:r w:rsidDel="00000000" w:rsidR="00000000" w:rsidRPr="00000000">
        <w:rPr>
          <w:rtl w:val="0"/>
        </w:rPr>
      </w:r>
    </w:p>
    <w:p w:rsidR="00000000" w:rsidDel="00000000" w:rsidP="00000000" w:rsidRDefault="00000000" w:rsidRPr="00000000" w14:paraId="0000009C">
      <w:pPr>
        <w:ind w:left="720" w:hanging="720"/>
        <w:rPr/>
      </w:pPr>
      <w:r w:rsidDel="00000000" w:rsidR="00000000" w:rsidRPr="00000000">
        <w:rPr>
          <w:rtl w:val="0"/>
        </w:rPr>
        <w:t xml:space="preserve">Gingerich, Willard, ‘Myth of the Suns and the Toltec-Chimichec Origins of the Mexica People: The Entire Leyenda de Soles’ in </w:t>
      </w:r>
      <w:r w:rsidDel="00000000" w:rsidR="00000000" w:rsidRPr="00000000">
        <w:rPr>
          <w:i w:val="1"/>
          <w:rtl w:val="0"/>
        </w:rPr>
        <w:t xml:space="preserve">The Flayed God: Mythology of Mesoamerica, ed. by Roberta H. Markman and Peter T. Markman</w:t>
      </w:r>
      <w:r w:rsidDel="00000000" w:rsidR="00000000" w:rsidRPr="00000000">
        <w:rPr>
          <w:rtl w:val="0"/>
        </w:rPr>
        <w:t xml:space="preserve"> (New York, Harper Collins, 1992), pp. 131-147 &lt;https://digitalcommons.montclair.edu/english-facpubs/101/&gt; [Accessed 4 January 2024]</w:t>
      </w:r>
    </w:p>
    <w:p w:rsidR="00000000" w:rsidDel="00000000" w:rsidP="00000000" w:rsidRDefault="00000000" w:rsidRPr="00000000" w14:paraId="0000009D">
      <w:pPr>
        <w:ind w:left="720" w:hanging="720"/>
        <w:rPr/>
      </w:pPr>
      <w:r w:rsidDel="00000000" w:rsidR="00000000" w:rsidRPr="00000000">
        <w:rPr>
          <w:rtl w:val="0"/>
        </w:rPr>
      </w:r>
    </w:p>
    <w:p w:rsidR="00000000" w:rsidDel="00000000" w:rsidP="00000000" w:rsidRDefault="00000000" w:rsidRPr="00000000" w14:paraId="0000009E">
      <w:pPr>
        <w:ind w:left="720" w:hanging="720"/>
        <w:rPr/>
      </w:pPr>
      <w:r w:rsidDel="00000000" w:rsidR="00000000" w:rsidRPr="00000000">
        <w:rPr>
          <w:rtl w:val="0"/>
        </w:rPr>
        <w:t xml:space="preserve">Gingerich, Willard, ‘Quetzalcoatl’s Hero Journey, from the Anales de Cuauhtitlan’ in </w:t>
      </w:r>
      <w:r w:rsidDel="00000000" w:rsidR="00000000" w:rsidRPr="00000000">
        <w:rPr>
          <w:i w:val="1"/>
          <w:rtl w:val="0"/>
        </w:rPr>
        <w:t xml:space="preserve">The Flayed God: Mythology of Mesoamerica</w:t>
      </w:r>
      <w:r w:rsidDel="00000000" w:rsidR="00000000" w:rsidRPr="00000000">
        <w:rPr>
          <w:rtl w:val="0"/>
        </w:rPr>
        <w:t xml:space="preserve">, ed. by Roberta H. Markman and Peter T. Markman (New York, Harper Collins, 1992), pp. 368-377 &lt;https://digitalcommons.montclair.edu/english-facpubs/105/&gt; [Accessed 4 January 2024]</w:t>
      </w:r>
    </w:p>
    <w:p w:rsidR="00000000" w:rsidDel="00000000" w:rsidP="00000000" w:rsidRDefault="00000000" w:rsidRPr="00000000" w14:paraId="0000009F">
      <w:pPr>
        <w:ind w:left="720" w:hanging="720"/>
        <w:rPr/>
      </w:pPr>
      <w:r w:rsidDel="00000000" w:rsidR="00000000" w:rsidRPr="00000000">
        <w:rPr>
          <w:rtl w:val="0"/>
        </w:rPr>
      </w:r>
    </w:p>
    <w:p w:rsidR="00000000" w:rsidDel="00000000" w:rsidP="00000000" w:rsidRDefault="00000000" w:rsidRPr="00000000" w14:paraId="000000A0">
      <w:pPr>
        <w:ind w:left="720" w:hanging="720"/>
        <w:rPr/>
      </w:pPr>
      <w:r w:rsidDel="00000000" w:rsidR="00000000" w:rsidRPr="00000000">
        <w:rPr>
          <w:rtl w:val="0"/>
        </w:rPr>
        <w:t xml:space="preserve">Jacobsen, Thorkild, </w:t>
      </w:r>
      <w:r w:rsidDel="00000000" w:rsidR="00000000" w:rsidRPr="00000000">
        <w:rPr>
          <w:i w:val="1"/>
          <w:rtl w:val="0"/>
        </w:rPr>
        <w:t xml:space="preserve">The Harps that Once…: Sumerian Poetry in Translation</w:t>
      </w:r>
      <w:r w:rsidDel="00000000" w:rsidR="00000000" w:rsidRPr="00000000">
        <w:rPr>
          <w:rtl w:val="0"/>
        </w:rPr>
        <w:t xml:space="preserve">, (New Haven, Yale University Press, 1997) &lt;https://www.jstor.org/stable/j.ctt32bjgs&gt; [Accessed 4 January 2024]</w:t>
      </w:r>
    </w:p>
    <w:p w:rsidR="00000000" w:rsidDel="00000000" w:rsidP="00000000" w:rsidRDefault="00000000" w:rsidRPr="00000000" w14:paraId="000000A1">
      <w:pPr>
        <w:ind w:left="720" w:hanging="720"/>
        <w:rPr/>
      </w:pPr>
      <w:r w:rsidDel="00000000" w:rsidR="00000000" w:rsidRPr="00000000">
        <w:rPr>
          <w:rtl w:val="0"/>
        </w:rPr>
      </w:r>
    </w:p>
    <w:p w:rsidR="00000000" w:rsidDel="00000000" w:rsidP="00000000" w:rsidRDefault="00000000" w:rsidRPr="00000000" w14:paraId="000000A2">
      <w:pPr>
        <w:ind w:left="720" w:hanging="720"/>
        <w:rPr/>
      </w:pPr>
      <w:r w:rsidDel="00000000" w:rsidR="00000000" w:rsidRPr="00000000">
        <w:rPr>
          <w:rtl w:val="0"/>
        </w:rPr>
        <w:t xml:space="preserve">Jansen, Maarten, and Gabina Aurora Pérez Jiménez, </w:t>
      </w:r>
      <w:r w:rsidDel="00000000" w:rsidR="00000000" w:rsidRPr="00000000">
        <w:rPr>
          <w:i w:val="1"/>
          <w:rtl w:val="0"/>
        </w:rPr>
        <w:t xml:space="preserve">Encounter with the Plumed Serpent: Drama and Power in the Heart of Mesoamerica</w:t>
      </w:r>
      <w:r w:rsidDel="00000000" w:rsidR="00000000" w:rsidRPr="00000000">
        <w:rPr>
          <w:rtl w:val="0"/>
        </w:rPr>
        <w:t xml:space="preserve">, (Denver, University Press of Colorado, 2007) &lt;https://www.jstor.org/stable/j.ctt1wn0rc9.6&gt; [Accessed 4 January 2024]</w:t>
      </w:r>
    </w:p>
    <w:p w:rsidR="00000000" w:rsidDel="00000000" w:rsidP="00000000" w:rsidRDefault="00000000" w:rsidRPr="00000000" w14:paraId="000000A3">
      <w:pPr>
        <w:ind w:left="720" w:hanging="720"/>
        <w:rPr/>
      </w:pPr>
      <w:r w:rsidDel="00000000" w:rsidR="00000000" w:rsidRPr="00000000">
        <w:rPr>
          <w:rtl w:val="0"/>
        </w:rPr>
      </w:r>
    </w:p>
    <w:p w:rsidR="00000000" w:rsidDel="00000000" w:rsidP="00000000" w:rsidRDefault="00000000" w:rsidRPr="00000000" w14:paraId="000000A4">
      <w:pPr>
        <w:ind w:left="720"/>
        <w:rPr/>
      </w:pPr>
      <w:r w:rsidDel="00000000" w:rsidR="00000000" w:rsidRPr="00000000">
        <w:rPr>
          <w:rtl w:val="0"/>
        </w:rPr>
        <w:t xml:space="preserve">Jones, Philip, ‘Embracing Inana: Legitimation and Mediation in the Ancient Mesopotamian Sacred Marriage Hymn Iddin-Dagan A’, </w:t>
      </w:r>
      <w:r w:rsidDel="00000000" w:rsidR="00000000" w:rsidRPr="00000000">
        <w:rPr>
          <w:i w:val="1"/>
          <w:rtl w:val="0"/>
        </w:rPr>
        <w:t xml:space="preserve">Journal of the American Oriental Society</w:t>
      </w:r>
      <w:r w:rsidDel="00000000" w:rsidR="00000000" w:rsidRPr="00000000">
        <w:rPr>
          <w:rtl w:val="0"/>
        </w:rPr>
        <w:t xml:space="preserve">, 123.2 (2003), 291-302 &lt;https://www.jstor.org/stable/3217685&gt; [Accessed 4 January 2024]</w:t>
      </w:r>
    </w:p>
    <w:p w:rsidR="00000000" w:rsidDel="00000000" w:rsidP="00000000" w:rsidRDefault="00000000" w:rsidRPr="00000000" w14:paraId="000000A5">
      <w:pPr>
        <w:ind w:left="720" w:hanging="720"/>
        <w:rPr/>
      </w:pPr>
      <w:r w:rsidDel="00000000" w:rsidR="00000000" w:rsidRPr="00000000">
        <w:rPr>
          <w:rtl w:val="0"/>
        </w:rPr>
      </w:r>
    </w:p>
    <w:p w:rsidR="00000000" w:rsidDel="00000000" w:rsidP="00000000" w:rsidRDefault="00000000" w:rsidRPr="00000000" w14:paraId="000000A6">
      <w:pPr>
        <w:ind w:left="720" w:hanging="720"/>
        <w:rPr/>
      </w:pPr>
      <w:r w:rsidDel="00000000" w:rsidR="00000000" w:rsidRPr="00000000">
        <w:rPr>
          <w:rtl w:val="0"/>
        </w:rPr>
        <w:t xml:space="preserve">Leeming, David, ‘Me’ in </w:t>
      </w:r>
      <w:r w:rsidDel="00000000" w:rsidR="00000000" w:rsidRPr="00000000">
        <w:rPr>
          <w:i w:val="1"/>
          <w:rtl w:val="0"/>
        </w:rPr>
        <w:t xml:space="preserve">The Oxford Companion to World Mythology</w:t>
      </w:r>
      <w:r w:rsidDel="00000000" w:rsidR="00000000" w:rsidRPr="00000000">
        <w:rPr>
          <w:rtl w:val="0"/>
        </w:rPr>
        <w:t xml:space="preserve">, (Oxford, Oxford University Press, 2006) &lt;https://www.oxfordreference.com/view/10.1093/acref/9780195156690.001.0001/acref-9780195156690-e-1021&gt; [Accessed 4 January 2024]</w:t>
      </w:r>
    </w:p>
    <w:p w:rsidR="00000000" w:rsidDel="00000000" w:rsidP="00000000" w:rsidRDefault="00000000" w:rsidRPr="00000000" w14:paraId="000000A7">
      <w:pPr>
        <w:ind w:left="720" w:hanging="720"/>
        <w:rPr/>
      </w:pPr>
      <w:r w:rsidDel="00000000" w:rsidR="00000000" w:rsidRPr="00000000">
        <w:rPr>
          <w:rtl w:val="0"/>
        </w:rPr>
      </w:r>
    </w:p>
    <w:p w:rsidR="00000000" w:rsidDel="00000000" w:rsidP="00000000" w:rsidRDefault="00000000" w:rsidRPr="00000000" w14:paraId="000000A8">
      <w:pPr>
        <w:ind w:left="720" w:hanging="720"/>
        <w:rPr/>
      </w:pPr>
      <w:r w:rsidDel="00000000" w:rsidR="00000000" w:rsidRPr="00000000">
        <w:rPr>
          <w:rtl w:val="0"/>
        </w:rPr>
        <w:t xml:space="preserve">Milbrath, Susan, ‘The many faces of Venus in Mesoamerica’ in </w:t>
      </w:r>
      <w:r w:rsidDel="00000000" w:rsidR="00000000" w:rsidRPr="00000000">
        <w:rPr>
          <w:i w:val="1"/>
          <w:rtl w:val="0"/>
        </w:rPr>
        <w:t xml:space="preserve">Archaeoastronomy and the Maya</w:t>
      </w:r>
      <w:r w:rsidDel="00000000" w:rsidR="00000000" w:rsidRPr="00000000">
        <w:rPr>
          <w:rtl w:val="0"/>
        </w:rPr>
        <w:t xml:space="preserve">, ed. by Gerardo Aldana, Gerardo Villalobos and Edwin L. Barnhart (Barnsley, Oxbow Books, 2014), 112-124 &lt;https://www.jstor.org/stable/j.ctvh1dp92&gt;  [Accessed 4 January 2024]</w:t>
      </w:r>
    </w:p>
    <w:p w:rsidR="00000000" w:rsidDel="00000000" w:rsidP="00000000" w:rsidRDefault="00000000" w:rsidRPr="00000000" w14:paraId="000000A9">
      <w:pPr>
        <w:ind w:left="720" w:hanging="720"/>
        <w:rPr/>
      </w:pPr>
      <w:r w:rsidDel="00000000" w:rsidR="00000000" w:rsidRPr="00000000">
        <w:rPr>
          <w:rtl w:val="0"/>
        </w:rPr>
      </w:r>
    </w:p>
    <w:p w:rsidR="00000000" w:rsidDel="00000000" w:rsidP="00000000" w:rsidRDefault="00000000" w:rsidRPr="00000000" w14:paraId="000000AA">
      <w:pPr>
        <w:ind w:left="720" w:hanging="720"/>
        <w:rPr/>
      </w:pPr>
      <w:r w:rsidDel="00000000" w:rsidR="00000000" w:rsidRPr="00000000">
        <w:rPr>
          <w:rtl w:val="0"/>
        </w:rPr>
        <w:t xml:space="preserve">Vento, Arnold Carlos, ‘Aztec Myths and Cosmology: Historical-Religious Misinterpretation and Bias’, </w:t>
      </w:r>
      <w:r w:rsidDel="00000000" w:rsidR="00000000" w:rsidRPr="00000000">
        <w:rPr>
          <w:i w:val="1"/>
          <w:rtl w:val="0"/>
        </w:rPr>
        <w:t xml:space="preserve">Wicazo Sa Review</w:t>
      </w:r>
      <w:r w:rsidDel="00000000" w:rsidR="00000000" w:rsidRPr="00000000">
        <w:rPr>
          <w:rtl w:val="0"/>
        </w:rPr>
        <w:t xml:space="preserve">, 11.1 (1995), 1-23 &lt;https://www.jstor.org/stable/1409038&gt; [Accessed 4 January 2024].</w:t>
      </w:r>
    </w:p>
    <w:p w:rsidR="00000000" w:rsidDel="00000000" w:rsidP="00000000" w:rsidRDefault="00000000" w:rsidRPr="00000000" w14:paraId="000000AB">
      <w:pPr>
        <w:ind w:left="720" w:hanging="720"/>
        <w:rPr/>
      </w:pPr>
      <w:r w:rsidDel="00000000" w:rsidR="00000000" w:rsidRPr="00000000">
        <w:rPr>
          <w:rtl w:val="0"/>
        </w:rPr>
      </w:r>
    </w:p>
    <w:p w:rsidR="00000000" w:rsidDel="00000000" w:rsidP="00000000" w:rsidRDefault="00000000" w:rsidRPr="00000000" w14:paraId="000000AC">
      <w:pPr>
        <w:ind w:left="720" w:hanging="720"/>
        <w:rPr/>
      </w:pPr>
      <w:r w:rsidDel="00000000" w:rsidR="00000000" w:rsidRPr="00000000">
        <w:rPr>
          <w:rtl w:val="0"/>
        </w:rPr>
        <w:t xml:space="preserve">Wolkstein, Diane, and Samuel Noah Kramer, </w:t>
      </w:r>
      <w:r w:rsidDel="00000000" w:rsidR="00000000" w:rsidRPr="00000000">
        <w:rPr>
          <w:i w:val="1"/>
          <w:rtl w:val="0"/>
        </w:rPr>
        <w:t xml:space="preserve">Inanna, Queen of Heaven and Earth: Her Stories and Hymns from Sumer</w:t>
      </w:r>
      <w:r w:rsidDel="00000000" w:rsidR="00000000" w:rsidRPr="00000000">
        <w:rPr>
          <w:rtl w:val="0"/>
        </w:rPr>
        <w:t xml:space="preserve">, (New York, Harper &amp; Row, 1983)</w:t>
      </w:r>
      <w:r w:rsidDel="00000000" w:rsidR="00000000" w:rsidRPr="00000000">
        <w:rPr>
          <w:rtl w:val="0"/>
        </w:rPr>
      </w:r>
    </w:p>
    <w:sectPr>
      <w:head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rebuchet MS"/>
  <w:font w:name="Times New Roman"/>
  <w:font w:name="Calibri"/>
  <w:font w:name="Tahoma">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2">
    <w:p w:rsidR="00000000" w:rsidDel="00000000" w:rsidP="00000000" w:rsidRDefault="00000000" w:rsidRPr="00000000" w14:paraId="000000A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Mircea Eliade, </w:t>
      </w:r>
      <w:r w:rsidDel="00000000" w:rsidR="00000000" w:rsidRPr="00000000">
        <w:rPr>
          <w:i w:val="1"/>
          <w:sz w:val="20"/>
          <w:szCs w:val="20"/>
          <w:rtl w:val="0"/>
        </w:rPr>
        <w:t xml:space="preserve">Myth and Reality (World Perspective Series)</w:t>
      </w:r>
      <w:r w:rsidDel="00000000" w:rsidR="00000000" w:rsidRPr="00000000">
        <w:rPr>
          <w:sz w:val="20"/>
          <w:szCs w:val="20"/>
          <w:rtl w:val="0"/>
        </w:rPr>
        <w:t xml:space="preserve">, (New York and Evanston, Harper &amp; Row, 1963), pp. 18-19.</w:t>
      </w:r>
    </w:p>
  </w:footnote>
  <w:footnote w:id="3">
    <w:p w:rsidR="00000000" w:rsidDel="00000000" w:rsidP="00000000" w:rsidRDefault="00000000" w:rsidRPr="00000000" w14:paraId="000000A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Wolkstein and Kramer, </w:t>
      </w:r>
      <w:r w:rsidDel="00000000" w:rsidR="00000000" w:rsidRPr="00000000">
        <w:rPr>
          <w:i w:val="1"/>
          <w:sz w:val="20"/>
          <w:szCs w:val="20"/>
          <w:rtl w:val="0"/>
        </w:rPr>
        <w:t xml:space="preserve">Inanna,</w:t>
      </w:r>
      <w:r w:rsidDel="00000000" w:rsidR="00000000" w:rsidRPr="00000000">
        <w:rPr>
          <w:sz w:val="20"/>
          <w:szCs w:val="20"/>
          <w:rtl w:val="0"/>
        </w:rPr>
        <w:t xml:space="preserve"> p. 127.</w:t>
      </w:r>
    </w:p>
  </w:footnote>
  <w:footnote w:id="4">
    <w:p w:rsidR="00000000" w:rsidDel="00000000" w:rsidP="00000000" w:rsidRDefault="00000000" w:rsidRPr="00000000" w14:paraId="000000A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David Leeming, ‘Me’ in </w:t>
      </w:r>
      <w:r w:rsidDel="00000000" w:rsidR="00000000" w:rsidRPr="00000000">
        <w:rPr>
          <w:i w:val="1"/>
          <w:sz w:val="20"/>
          <w:szCs w:val="20"/>
          <w:rtl w:val="0"/>
        </w:rPr>
        <w:t xml:space="preserve">The Oxford Companion to World Mythology</w:t>
      </w:r>
      <w:r w:rsidDel="00000000" w:rsidR="00000000" w:rsidRPr="00000000">
        <w:rPr>
          <w:sz w:val="20"/>
          <w:szCs w:val="20"/>
          <w:rtl w:val="0"/>
        </w:rPr>
        <w:t xml:space="preserve">, (Oxford, </w:t>
      </w:r>
      <w:r w:rsidDel="00000000" w:rsidR="00000000" w:rsidRPr="00000000">
        <w:rPr>
          <w:sz w:val="20"/>
          <w:szCs w:val="20"/>
          <w:rtl w:val="0"/>
        </w:rPr>
        <w:t xml:space="preserve">Oxford University Press, 2006) &lt;</w:t>
      </w:r>
      <w:r w:rsidDel="00000000" w:rsidR="00000000" w:rsidRPr="00000000">
        <w:rPr>
          <w:sz w:val="20"/>
          <w:szCs w:val="20"/>
          <w:rtl w:val="0"/>
        </w:rPr>
        <w:t xml:space="preserve">https://www.oxfordreference.com/view/10.1093/acref/9780195156690.001.0001/acref-9780195156690-e-1021</w:t>
      </w:r>
      <w:r w:rsidDel="00000000" w:rsidR="00000000" w:rsidRPr="00000000">
        <w:rPr>
          <w:sz w:val="20"/>
          <w:szCs w:val="20"/>
          <w:rtl w:val="0"/>
        </w:rPr>
        <w:t xml:space="preserve">&gt; [Accessed 4 January 2024].</w:t>
      </w:r>
    </w:p>
  </w:footnote>
  <w:footnote w:id="7">
    <w:p w:rsidR="00000000" w:rsidDel="00000000" w:rsidP="00000000" w:rsidRDefault="00000000" w:rsidRPr="00000000" w14:paraId="000000B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Caso, </w:t>
      </w:r>
      <w:r w:rsidDel="00000000" w:rsidR="00000000" w:rsidRPr="00000000">
        <w:rPr>
          <w:i w:val="1"/>
          <w:sz w:val="20"/>
          <w:szCs w:val="20"/>
          <w:rtl w:val="0"/>
        </w:rPr>
        <w:t xml:space="preserve">The Aztecs</w:t>
      </w:r>
      <w:r w:rsidDel="00000000" w:rsidR="00000000" w:rsidRPr="00000000">
        <w:rPr>
          <w:sz w:val="20"/>
          <w:szCs w:val="20"/>
          <w:rtl w:val="0"/>
        </w:rPr>
        <w:t xml:space="preserve">, pp. 14-15.</w:t>
      </w:r>
    </w:p>
  </w:footnote>
  <w:footnote w:id="5">
    <w:p w:rsidR="00000000" w:rsidDel="00000000" w:rsidP="00000000" w:rsidRDefault="00000000" w:rsidRPr="00000000" w14:paraId="000000B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Alfonso Caso, </w:t>
      </w:r>
      <w:r w:rsidDel="00000000" w:rsidR="00000000" w:rsidRPr="00000000">
        <w:rPr>
          <w:i w:val="1"/>
          <w:sz w:val="20"/>
          <w:szCs w:val="20"/>
          <w:rtl w:val="0"/>
        </w:rPr>
        <w:t xml:space="preserve">The Aztecs: People of the Sun</w:t>
      </w:r>
      <w:r w:rsidDel="00000000" w:rsidR="00000000" w:rsidRPr="00000000">
        <w:rPr>
          <w:sz w:val="20"/>
          <w:szCs w:val="20"/>
          <w:rtl w:val="0"/>
        </w:rPr>
        <w:t xml:space="preserve">, (Norman, University of Oklahoma Press, 1958), p. 23 &lt;</w:t>
      </w:r>
      <w:r w:rsidDel="00000000" w:rsidR="00000000" w:rsidRPr="00000000">
        <w:rPr>
          <w:sz w:val="20"/>
          <w:szCs w:val="20"/>
          <w:rtl w:val="0"/>
        </w:rPr>
        <w:t xml:space="preserve">https://archive.org/details/aztecs0000unse_h8z8/mode/2up</w:t>
      </w:r>
      <w:r w:rsidDel="00000000" w:rsidR="00000000" w:rsidRPr="00000000">
        <w:rPr>
          <w:sz w:val="20"/>
          <w:szCs w:val="20"/>
          <w:rtl w:val="0"/>
        </w:rPr>
        <w:t xml:space="preserve">&gt; [Accessed 4 January 2024].</w:t>
      </w:r>
    </w:p>
  </w:footnote>
  <w:footnote w:id="6">
    <w:p w:rsidR="00000000" w:rsidDel="00000000" w:rsidP="00000000" w:rsidRDefault="00000000" w:rsidRPr="00000000" w14:paraId="000000B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Caso, </w:t>
      </w:r>
      <w:r w:rsidDel="00000000" w:rsidR="00000000" w:rsidRPr="00000000">
        <w:rPr>
          <w:i w:val="1"/>
          <w:sz w:val="20"/>
          <w:szCs w:val="20"/>
          <w:rtl w:val="0"/>
        </w:rPr>
        <w:t xml:space="preserve">The Aztecs</w:t>
      </w:r>
      <w:r w:rsidDel="00000000" w:rsidR="00000000" w:rsidRPr="00000000">
        <w:rPr>
          <w:sz w:val="20"/>
          <w:szCs w:val="20"/>
          <w:rtl w:val="0"/>
        </w:rPr>
        <w:t xml:space="preserve">, p. 23.</w:t>
      </w:r>
    </w:p>
  </w:footnote>
  <w:footnote w:id="9">
    <w:p w:rsidR="00000000" w:rsidDel="00000000" w:rsidP="00000000" w:rsidRDefault="00000000" w:rsidRPr="00000000" w14:paraId="000000B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Wolkstein and Kramer, </w:t>
      </w:r>
      <w:r w:rsidDel="00000000" w:rsidR="00000000" w:rsidRPr="00000000">
        <w:rPr>
          <w:i w:val="1"/>
          <w:sz w:val="20"/>
          <w:szCs w:val="20"/>
          <w:rtl w:val="0"/>
        </w:rPr>
        <w:t xml:space="preserve">Inanna,</w:t>
      </w:r>
      <w:r w:rsidDel="00000000" w:rsidR="00000000" w:rsidRPr="00000000">
        <w:rPr>
          <w:sz w:val="20"/>
          <w:szCs w:val="20"/>
          <w:rtl w:val="0"/>
        </w:rPr>
        <w:t xml:space="preserve"> p. 52.</w:t>
      </w:r>
    </w:p>
  </w:footnote>
  <w:footnote w:id="10">
    <w:p w:rsidR="00000000" w:rsidDel="00000000" w:rsidP="00000000" w:rsidRDefault="00000000" w:rsidRPr="00000000" w14:paraId="000000B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Wolkstein and Kramer, </w:t>
      </w:r>
      <w:r w:rsidDel="00000000" w:rsidR="00000000" w:rsidRPr="00000000">
        <w:rPr>
          <w:i w:val="1"/>
          <w:sz w:val="20"/>
          <w:szCs w:val="20"/>
          <w:rtl w:val="0"/>
        </w:rPr>
        <w:t xml:space="preserve">Inanna,</w:t>
      </w:r>
      <w:r w:rsidDel="00000000" w:rsidR="00000000" w:rsidRPr="00000000">
        <w:rPr>
          <w:sz w:val="20"/>
          <w:szCs w:val="20"/>
          <w:rtl w:val="0"/>
        </w:rPr>
        <w:t xml:space="preserve"> p. 156.</w:t>
      </w:r>
    </w:p>
  </w:footnote>
  <w:footnote w:id="11">
    <w:p w:rsidR="00000000" w:rsidDel="00000000" w:rsidP="00000000" w:rsidRDefault="00000000" w:rsidRPr="00000000" w14:paraId="000000B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Willard, ‘Myth of the Suns’, p. 134.</w:t>
      </w:r>
    </w:p>
  </w:footnote>
  <w:footnote w:id="12">
    <w:p w:rsidR="00000000" w:rsidDel="00000000" w:rsidP="00000000" w:rsidRDefault="00000000" w:rsidRPr="00000000" w14:paraId="000000B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Wolkstein and Kramer, </w:t>
      </w:r>
      <w:r w:rsidDel="00000000" w:rsidR="00000000" w:rsidRPr="00000000">
        <w:rPr>
          <w:i w:val="1"/>
          <w:sz w:val="20"/>
          <w:szCs w:val="20"/>
          <w:rtl w:val="0"/>
        </w:rPr>
        <w:t xml:space="preserve">Inanna,</w:t>
      </w:r>
      <w:r w:rsidDel="00000000" w:rsidR="00000000" w:rsidRPr="00000000">
        <w:rPr>
          <w:sz w:val="20"/>
          <w:szCs w:val="20"/>
          <w:rtl w:val="0"/>
        </w:rPr>
        <w:t xml:space="preserve"> pp. 57-60.</w:t>
      </w:r>
    </w:p>
  </w:footnote>
  <w:footnote w:id="13">
    <w:p w:rsidR="00000000" w:rsidDel="00000000" w:rsidP="00000000" w:rsidRDefault="00000000" w:rsidRPr="00000000" w14:paraId="000000B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Willard, ‘Myth of the Suns’, pp. 134-135.</w:t>
      </w:r>
    </w:p>
  </w:footnote>
  <w:footnote w:id="14">
    <w:p w:rsidR="00000000" w:rsidDel="00000000" w:rsidP="00000000" w:rsidRDefault="00000000" w:rsidRPr="00000000" w14:paraId="000000B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Wolkstein and Kramer, </w:t>
      </w:r>
      <w:r w:rsidDel="00000000" w:rsidR="00000000" w:rsidRPr="00000000">
        <w:rPr>
          <w:i w:val="1"/>
          <w:sz w:val="20"/>
          <w:szCs w:val="20"/>
          <w:rtl w:val="0"/>
        </w:rPr>
        <w:t xml:space="preserve">Inanna,</w:t>
      </w:r>
      <w:r w:rsidDel="00000000" w:rsidR="00000000" w:rsidRPr="00000000">
        <w:rPr>
          <w:sz w:val="20"/>
          <w:szCs w:val="20"/>
          <w:rtl w:val="0"/>
        </w:rPr>
        <w:t xml:space="preserve"> pp. 61-63.</w:t>
      </w:r>
    </w:p>
  </w:footnote>
  <w:footnote w:id="15">
    <w:p w:rsidR="00000000" w:rsidDel="00000000" w:rsidP="00000000" w:rsidRDefault="00000000" w:rsidRPr="00000000" w14:paraId="000000B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Wolkstein and Kramer, </w:t>
      </w:r>
      <w:r w:rsidDel="00000000" w:rsidR="00000000" w:rsidRPr="00000000">
        <w:rPr>
          <w:i w:val="1"/>
          <w:sz w:val="20"/>
          <w:szCs w:val="20"/>
          <w:rtl w:val="0"/>
        </w:rPr>
        <w:t xml:space="preserve">Inanna,</w:t>
      </w:r>
      <w:r w:rsidDel="00000000" w:rsidR="00000000" w:rsidRPr="00000000">
        <w:rPr>
          <w:sz w:val="20"/>
          <w:szCs w:val="20"/>
          <w:rtl w:val="0"/>
        </w:rPr>
        <w:t xml:space="preserve"> p. 149.</w:t>
      </w:r>
    </w:p>
  </w:footnote>
  <w:footnote w:id="16">
    <w:p w:rsidR="00000000" w:rsidDel="00000000" w:rsidP="00000000" w:rsidRDefault="00000000" w:rsidRPr="00000000" w14:paraId="000000B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Wolkstein and Kramer, </w:t>
      </w:r>
      <w:r w:rsidDel="00000000" w:rsidR="00000000" w:rsidRPr="00000000">
        <w:rPr>
          <w:i w:val="1"/>
          <w:sz w:val="20"/>
          <w:szCs w:val="20"/>
          <w:rtl w:val="0"/>
        </w:rPr>
        <w:t xml:space="preserve">Inanna,</w:t>
      </w:r>
      <w:r w:rsidDel="00000000" w:rsidR="00000000" w:rsidRPr="00000000">
        <w:rPr>
          <w:sz w:val="20"/>
          <w:szCs w:val="20"/>
          <w:rtl w:val="0"/>
        </w:rPr>
        <w:t xml:space="preserve"> pp. 65-66.</w:t>
      </w:r>
    </w:p>
  </w:footnote>
  <w:footnote w:id="18">
    <w:p w:rsidR="00000000" w:rsidDel="00000000" w:rsidP="00000000" w:rsidRDefault="00000000" w:rsidRPr="00000000" w14:paraId="000000B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Wolkstein and Kramer, </w:t>
      </w:r>
      <w:r w:rsidDel="00000000" w:rsidR="00000000" w:rsidRPr="00000000">
        <w:rPr>
          <w:i w:val="1"/>
          <w:sz w:val="20"/>
          <w:szCs w:val="20"/>
          <w:rtl w:val="0"/>
        </w:rPr>
        <w:t xml:space="preserve">Inanna,</w:t>
      </w:r>
      <w:r w:rsidDel="00000000" w:rsidR="00000000" w:rsidRPr="00000000">
        <w:rPr>
          <w:sz w:val="20"/>
          <w:szCs w:val="20"/>
          <w:rtl w:val="0"/>
        </w:rPr>
        <w:t xml:space="preserve"> p. 160.</w:t>
      </w:r>
    </w:p>
  </w:footnote>
  <w:footnote w:id="17">
    <w:p w:rsidR="00000000" w:rsidDel="00000000" w:rsidP="00000000" w:rsidRDefault="00000000" w:rsidRPr="00000000" w14:paraId="000000B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Miriam Robbins Dexter, ‘The Fecorious  and the Erotic: “Beautiful” Medusa and the Neolithic Bird and Snake’, </w:t>
      </w:r>
      <w:r w:rsidDel="00000000" w:rsidR="00000000" w:rsidRPr="00000000">
        <w:rPr>
          <w:i w:val="1"/>
          <w:sz w:val="20"/>
          <w:szCs w:val="20"/>
          <w:rtl w:val="0"/>
        </w:rPr>
        <w:t xml:space="preserve">Journal of Feminist Studies in Religion</w:t>
      </w:r>
      <w:r w:rsidDel="00000000" w:rsidR="00000000" w:rsidRPr="00000000">
        <w:rPr>
          <w:sz w:val="20"/>
          <w:szCs w:val="20"/>
          <w:rtl w:val="0"/>
        </w:rPr>
        <w:t xml:space="preserve">, 26.1 (2010), 25-41 (pp. 38-39) &lt;https://www.jstor.org/stable/10.2979/fsr.2010.26.1.25&gt; [Accessed 4 January 2024].</w:t>
      </w:r>
    </w:p>
  </w:footnote>
  <w:footnote w:id="19">
    <w:p w:rsidR="00000000" w:rsidDel="00000000" w:rsidP="00000000" w:rsidRDefault="00000000" w:rsidRPr="00000000" w14:paraId="000000B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Willard, ‘Myth of the Suns’, p. 134.</w:t>
      </w:r>
    </w:p>
  </w:footnote>
  <w:footnote w:id="20">
    <w:p w:rsidR="00000000" w:rsidDel="00000000" w:rsidP="00000000" w:rsidRDefault="00000000" w:rsidRPr="00000000" w14:paraId="000000B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Maarten Jansen and Gabina Aurora Pérez Jiménez, </w:t>
      </w:r>
      <w:r w:rsidDel="00000000" w:rsidR="00000000" w:rsidRPr="00000000">
        <w:rPr>
          <w:i w:val="1"/>
          <w:sz w:val="20"/>
          <w:szCs w:val="20"/>
          <w:rtl w:val="0"/>
        </w:rPr>
        <w:t xml:space="preserve">Encounter with the Plumed Serpent: Drama and Power in the Heart of Mesoamerica</w:t>
      </w:r>
      <w:r w:rsidDel="00000000" w:rsidR="00000000" w:rsidRPr="00000000">
        <w:rPr>
          <w:sz w:val="20"/>
          <w:szCs w:val="20"/>
          <w:rtl w:val="0"/>
        </w:rPr>
        <w:t xml:space="preserve">, (Denver, University Press of Colorado, 2007) p. 46 &lt;</w:t>
      </w:r>
      <w:r w:rsidDel="00000000" w:rsidR="00000000" w:rsidRPr="00000000">
        <w:rPr>
          <w:sz w:val="20"/>
          <w:szCs w:val="20"/>
          <w:rtl w:val="0"/>
        </w:rPr>
        <w:t xml:space="preserve">https://www.jstor.org/stable/j.ctt1wn0rc9.6</w:t>
      </w:r>
      <w:r w:rsidDel="00000000" w:rsidR="00000000" w:rsidRPr="00000000">
        <w:rPr>
          <w:sz w:val="20"/>
          <w:szCs w:val="20"/>
          <w:rtl w:val="0"/>
        </w:rPr>
        <w:t xml:space="preserve">&gt; [Accessed 4 January 2024].</w:t>
      </w:r>
    </w:p>
  </w:footnote>
  <w:footnote w:id="21">
    <w:p w:rsidR="00000000" w:rsidDel="00000000" w:rsidP="00000000" w:rsidRDefault="00000000" w:rsidRPr="00000000" w14:paraId="000000B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Jansen and Jiménez, </w:t>
      </w:r>
      <w:r w:rsidDel="00000000" w:rsidR="00000000" w:rsidRPr="00000000">
        <w:rPr>
          <w:i w:val="1"/>
          <w:sz w:val="20"/>
          <w:szCs w:val="20"/>
          <w:rtl w:val="0"/>
        </w:rPr>
        <w:t xml:space="preserve">Encounter with the Plumed Serpent</w:t>
      </w:r>
      <w:r w:rsidDel="00000000" w:rsidR="00000000" w:rsidRPr="00000000">
        <w:rPr>
          <w:sz w:val="20"/>
          <w:szCs w:val="20"/>
          <w:rtl w:val="0"/>
        </w:rPr>
        <w:t xml:space="preserve">, p. 51.</w:t>
      </w:r>
    </w:p>
    <w:p w:rsidR="00000000" w:rsidDel="00000000" w:rsidP="00000000" w:rsidRDefault="00000000" w:rsidRPr="00000000" w14:paraId="000000C0">
      <w:pPr>
        <w:spacing w:line="240" w:lineRule="auto"/>
        <w:rPr>
          <w:sz w:val="20"/>
          <w:szCs w:val="20"/>
        </w:rPr>
      </w:pPr>
      <w:r w:rsidDel="00000000" w:rsidR="00000000" w:rsidRPr="00000000">
        <w:rPr>
          <w:rtl w:val="0"/>
        </w:rPr>
      </w:r>
    </w:p>
  </w:footnote>
  <w:footnote w:id="8">
    <w:p w:rsidR="00000000" w:rsidDel="00000000" w:rsidP="00000000" w:rsidRDefault="00000000" w:rsidRPr="00000000" w14:paraId="000000C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Eliade,</w:t>
      </w:r>
      <w:r w:rsidDel="00000000" w:rsidR="00000000" w:rsidRPr="00000000">
        <w:rPr>
          <w:i w:val="1"/>
          <w:sz w:val="20"/>
          <w:szCs w:val="20"/>
          <w:rtl w:val="0"/>
        </w:rPr>
        <w:t xml:space="preserve"> Myth and Reality</w:t>
      </w:r>
      <w:r w:rsidDel="00000000" w:rsidR="00000000" w:rsidRPr="00000000">
        <w:rPr>
          <w:sz w:val="20"/>
          <w:szCs w:val="20"/>
          <w:rtl w:val="0"/>
        </w:rPr>
        <w:t xml:space="preserve">, p. 18.</w:t>
      </w:r>
    </w:p>
  </w:footnote>
  <w:footnote w:id="22">
    <w:p w:rsidR="00000000" w:rsidDel="00000000" w:rsidP="00000000" w:rsidRDefault="00000000" w:rsidRPr="00000000" w14:paraId="000000C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Eliade,</w:t>
      </w:r>
      <w:r w:rsidDel="00000000" w:rsidR="00000000" w:rsidRPr="00000000">
        <w:rPr>
          <w:i w:val="1"/>
          <w:sz w:val="20"/>
          <w:szCs w:val="20"/>
          <w:rtl w:val="0"/>
        </w:rPr>
        <w:t xml:space="preserve"> Myth and Reality</w:t>
      </w:r>
      <w:r w:rsidDel="00000000" w:rsidR="00000000" w:rsidRPr="00000000">
        <w:rPr>
          <w:sz w:val="20"/>
          <w:szCs w:val="20"/>
          <w:rtl w:val="0"/>
        </w:rPr>
        <w:t xml:space="preserve">, p. 18.</w:t>
      </w:r>
    </w:p>
  </w:footnote>
  <w:footnote w:id="23">
    <w:p w:rsidR="00000000" w:rsidDel="00000000" w:rsidP="00000000" w:rsidRDefault="00000000" w:rsidRPr="00000000" w14:paraId="000000C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Wolkstein and Kramer, </w:t>
      </w:r>
      <w:r w:rsidDel="00000000" w:rsidR="00000000" w:rsidRPr="00000000">
        <w:rPr>
          <w:i w:val="1"/>
          <w:sz w:val="20"/>
          <w:szCs w:val="20"/>
          <w:rtl w:val="0"/>
        </w:rPr>
        <w:t xml:space="preserve">Inanna,</w:t>
      </w:r>
      <w:r w:rsidDel="00000000" w:rsidR="00000000" w:rsidRPr="00000000">
        <w:rPr>
          <w:sz w:val="20"/>
          <w:szCs w:val="20"/>
          <w:rtl w:val="0"/>
        </w:rPr>
        <w:t xml:space="preserve"> p. 101.</w:t>
      </w:r>
    </w:p>
  </w:footnote>
  <w:footnote w:id="24">
    <w:p w:rsidR="00000000" w:rsidDel="00000000" w:rsidP="00000000" w:rsidRDefault="00000000" w:rsidRPr="00000000" w14:paraId="000000C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Wolkstein and Kramer, </w:t>
      </w:r>
      <w:r w:rsidDel="00000000" w:rsidR="00000000" w:rsidRPr="00000000">
        <w:rPr>
          <w:i w:val="1"/>
          <w:sz w:val="20"/>
          <w:szCs w:val="20"/>
          <w:rtl w:val="0"/>
        </w:rPr>
        <w:t xml:space="preserve">Inanna,</w:t>
      </w:r>
      <w:r w:rsidDel="00000000" w:rsidR="00000000" w:rsidRPr="00000000">
        <w:rPr>
          <w:sz w:val="20"/>
          <w:szCs w:val="20"/>
          <w:rtl w:val="0"/>
        </w:rPr>
        <w:t xml:space="preserve"> p.103.</w:t>
      </w:r>
    </w:p>
  </w:footnote>
  <w:footnote w:id="26">
    <w:p w:rsidR="00000000" w:rsidDel="00000000" w:rsidP="00000000" w:rsidRDefault="00000000" w:rsidRPr="00000000" w14:paraId="000000C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Caso, </w:t>
      </w:r>
      <w:r w:rsidDel="00000000" w:rsidR="00000000" w:rsidRPr="00000000">
        <w:rPr>
          <w:i w:val="1"/>
          <w:sz w:val="20"/>
          <w:szCs w:val="20"/>
          <w:rtl w:val="0"/>
        </w:rPr>
        <w:t xml:space="preserve">The Aztecs</w:t>
      </w:r>
      <w:r w:rsidDel="00000000" w:rsidR="00000000" w:rsidRPr="00000000">
        <w:rPr>
          <w:sz w:val="20"/>
          <w:szCs w:val="20"/>
          <w:rtl w:val="0"/>
        </w:rPr>
        <w:t xml:space="preserve">, p. 24.</w:t>
      </w:r>
    </w:p>
  </w:footnote>
  <w:footnote w:id="25">
    <w:p w:rsidR="00000000" w:rsidDel="00000000" w:rsidP="00000000" w:rsidRDefault="00000000" w:rsidRPr="00000000" w14:paraId="000000C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Nicholas Campion, </w:t>
      </w:r>
      <w:r w:rsidDel="00000000" w:rsidR="00000000" w:rsidRPr="00000000">
        <w:rPr>
          <w:i w:val="1"/>
          <w:sz w:val="20"/>
          <w:szCs w:val="20"/>
          <w:rtl w:val="0"/>
        </w:rPr>
        <w:t xml:space="preserve">Astrology and Cosmology in the Worlds Religions</w:t>
      </w:r>
      <w:r w:rsidDel="00000000" w:rsidR="00000000" w:rsidRPr="00000000">
        <w:rPr>
          <w:sz w:val="20"/>
          <w:szCs w:val="20"/>
          <w:rtl w:val="0"/>
        </w:rPr>
        <w:t xml:space="preserve">, (New York, NYU Press, 2012), p. 60 &lt;</w:t>
      </w:r>
      <w:r w:rsidDel="00000000" w:rsidR="00000000" w:rsidRPr="00000000">
        <w:rPr>
          <w:sz w:val="20"/>
          <w:szCs w:val="20"/>
          <w:rtl w:val="0"/>
        </w:rPr>
        <w:t xml:space="preserve">https://www.jstor.org/stable/j.ctt9qg5q5</w:t>
      </w:r>
      <w:r w:rsidDel="00000000" w:rsidR="00000000" w:rsidRPr="00000000">
        <w:rPr>
          <w:sz w:val="20"/>
          <w:szCs w:val="20"/>
          <w:rtl w:val="0"/>
        </w:rPr>
        <w:t xml:space="preserve">&gt; [Accessed 4 January 2024].</w:t>
      </w:r>
    </w:p>
  </w:footnote>
  <w:footnote w:id="27">
    <w:p w:rsidR="00000000" w:rsidDel="00000000" w:rsidP="00000000" w:rsidRDefault="00000000" w:rsidRPr="00000000" w14:paraId="000000C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Wolkstein and Kramer, </w:t>
      </w:r>
      <w:r w:rsidDel="00000000" w:rsidR="00000000" w:rsidRPr="00000000">
        <w:rPr>
          <w:i w:val="1"/>
          <w:sz w:val="20"/>
          <w:szCs w:val="20"/>
          <w:rtl w:val="0"/>
        </w:rPr>
        <w:t xml:space="preserve">Inanna,</w:t>
      </w:r>
      <w:r w:rsidDel="00000000" w:rsidR="00000000" w:rsidRPr="00000000">
        <w:rPr>
          <w:sz w:val="20"/>
          <w:szCs w:val="20"/>
          <w:rtl w:val="0"/>
        </w:rPr>
        <w:t xml:space="preserve"> pp. 55-61.</w:t>
      </w:r>
    </w:p>
  </w:footnote>
  <w:footnote w:id="28">
    <w:p w:rsidR="00000000" w:rsidDel="00000000" w:rsidP="00000000" w:rsidRDefault="00000000" w:rsidRPr="00000000" w14:paraId="000000C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Willard Gingerich, ‘Quetzalcoatl’s Hero Journey, from the Anales de Cuauhtitlan’ in The Flayed God: Mythology of Mesoamerica, ed. by Roberta H. Markman and Peter T. Markman (New York, Harper Collins, 1992), 368-377, (p. 376-377) &lt; </w:t>
      </w:r>
      <w:r w:rsidDel="00000000" w:rsidR="00000000" w:rsidRPr="00000000">
        <w:rPr>
          <w:sz w:val="20"/>
          <w:szCs w:val="20"/>
          <w:rtl w:val="0"/>
        </w:rPr>
        <w:t xml:space="preserve">https://digitalcommons.montclair.edu/english-facpubs/105/</w:t>
      </w:r>
      <w:r w:rsidDel="00000000" w:rsidR="00000000" w:rsidRPr="00000000">
        <w:rPr>
          <w:sz w:val="20"/>
          <w:szCs w:val="20"/>
          <w:rtl w:val="0"/>
        </w:rPr>
        <w:t xml:space="preserve">&gt; [Accessed 4 January 2024].</w:t>
      </w:r>
    </w:p>
  </w:footnote>
  <w:footnote w:id="30">
    <w:p w:rsidR="00000000" w:rsidDel="00000000" w:rsidP="00000000" w:rsidRDefault="00000000" w:rsidRPr="00000000" w14:paraId="000000C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Eliade,</w:t>
      </w:r>
      <w:r w:rsidDel="00000000" w:rsidR="00000000" w:rsidRPr="00000000">
        <w:rPr>
          <w:i w:val="1"/>
          <w:sz w:val="20"/>
          <w:szCs w:val="20"/>
          <w:rtl w:val="0"/>
        </w:rPr>
        <w:t xml:space="preserve"> Myth and Reality</w:t>
      </w:r>
      <w:r w:rsidDel="00000000" w:rsidR="00000000" w:rsidRPr="00000000">
        <w:rPr>
          <w:sz w:val="20"/>
          <w:szCs w:val="20"/>
          <w:rtl w:val="0"/>
        </w:rPr>
        <w:t xml:space="preserve">, pp. 18-19.</w:t>
      </w:r>
    </w:p>
  </w:footnote>
  <w:footnote w:id="31">
    <w:p w:rsidR="00000000" w:rsidDel="00000000" w:rsidP="00000000" w:rsidRDefault="00000000" w:rsidRPr="00000000" w14:paraId="000000C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Tzvi Abusch, 'Mesopotamian Religion' in </w:t>
      </w:r>
      <w:r w:rsidDel="00000000" w:rsidR="00000000" w:rsidRPr="00000000">
        <w:rPr>
          <w:i w:val="1"/>
          <w:sz w:val="20"/>
          <w:szCs w:val="20"/>
          <w:rtl w:val="0"/>
        </w:rPr>
        <w:t xml:space="preserve">The Oxford Handbook of Ritual and Worship in the Hebrew Bible</w:t>
      </w:r>
      <w:r w:rsidDel="00000000" w:rsidR="00000000" w:rsidRPr="00000000">
        <w:rPr>
          <w:sz w:val="20"/>
          <w:szCs w:val="20"/>
          <w:rtl w:val="0"/>
        </w:rPr>
        <w:t xml:space="preserve">, ed. by Samuel E. Balentine (Oxford, Oxford Academic, 2020), &lt;</w:t>
      </w:r>
      <w:r w:rsidDel="00000000" w:rsidR="00000000" w:rsidRPr="00000000">
        <w:rPr>
          <w:sz w:val="20"/>
          <w:szCs w:val="20"/>
          <w:rtl w:val="0"/>
        </w:rPr>
        <w:t xml:space="preserve">https://doi.org/10.1093/oxfordhb/9780190222116.013.1</w:t>
      </w:r>
      <w:r w:rsidDel="00000000" w:rsidR="00000000" w:rsidRPr="00000000">
        <w:rPr>
          <w:sz w:val="20"/>
          <w:szCs w:val="20"/>
          <w:rtl w:val="0"/>
        </w:rPr>
        <w:t xml:space="preserve">&gt;  [Accessed 3 Jan. 2024]. </w:t>
      </w:r>
    </w:p>
  </w:footnote>
  <w:footnote w:id="32">
    <w:p w:rsidR="00000000" w:rsidDel="00000000" w:rsidP="00000000" w:rsidRDefault="00000000" w:rsidRPr="00000000" w14:paraId="000000C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Philip Jones, ‘Embracing Inana: Legitimation and Mediation in the Ancient Mesopotamian Sacred Marriage Hymn Iddin-Dagan A’, </w:t>
      </w:r>
      <w:r w:rsidDel="00000000" w:rsidR="00000000" w:rsidRPr="00000000">
        <w:rPr>
          <w:i w:val="1"/>
          <w:sz w:val="20"/>
          <w:szCs w:val="20"/>
          <w:rtl w:val="0"/>
        </w:rPr>
        <w:t xml:space="preserve">Journal of the American Oriental Society,</w:t>
      </w:r>
      <w:r w:rsidDel="00000000" w:rsidR="00000000" w:rsidRPr="00000000">
        <w:rPr>
          <w:sz w:val="20"/>
          <w:szCs w:val="20"/>
          <w:rtl w:val="0"/>
        </w:rPr>
        <w:t xml:space="preserve"> 123.2 (2003), 291-302 &lt;</w:t>
      </w:r>
      <w:r w:rsidDel="00000000" w:rsidR="00000000" w:rsidRPr="00000000">
        <w:rPr>
          <w:sz w:val="20"/>
          <w:szCs w:val="20"/>
          <w:rtl w:val="0"/>
        </w:rPr>
        <w:t xml:space="preserve">https://www.jstor.org/stable/3217685</w:t>
      </w:r>
      <w:r w:rsidDel="00000000" w:rsidR="00000000" w:rsidRPr="00000000">
        <w:rPr>
          <w:sz w:val="20"/>
          <w:szCs w:val="20"/>
          <w:rtl w:val="0"/>
        </w:rPr>
        <w:t xml:space="preserve">&gt; [Accessed 4 January 2024].</w:t>
      </w:r>
      <w:r w:rsidDel="00000000" w:rsidR="00000000" w:rsidRPr="00000000">
        <w:rPr>
          <w:rtl w:val="0"/>
        </w:rPr>
      </w:r>
    </w:p>
  </w:footnote>
  <w:footnote w:id="33">
    <w:p w:rsidR="00000000" w:rsidDel="00000000" w:rsidP="00000000" w:rsidRDefault="00000000" w:rsidRPr="00000000" w14:paraId="000000C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Georgio Buccellati, ‘The Descent of Inanna as a Ritual Journey to Kutha?’, </w:t>
      </w:r>
      <w:r w:rsidDel="00000000" w:rsidR="00000000" w:rsidRPr="00000000">
        <w:rPr>
          <w:i w:val="1"/>
          <w:sz w:val="20"/>
          <w:szCs w:val="20"/>
          <w:rtl w:val="0"/>
        </w:rPr>
        <w:t xml:space="preserve">Neo-Mesopotamian Studies</w:t>
      </w:r>
      <w:r w:rsidDel="00000000" w:rsidR="00000000" w:rsidRPr="00000000">
        <w:rPr>
          <w:sz w:val="20"/>
          <w:szCs w:val="20"/>
          <w:rtl w:val="0"/>
        </w:rPr>
        <w:t xml:space="preserve">, 4.3 (1982), 3-7  &lt;</w:t>
      </w:r>
      <w:r w:rsidDel="00000000" w:rsidR="00000000" w:rsidRPr="00000000">
        <w:rPr>
          <w:sz w:val="20"/>
          <w:szCs w:val="20"/>
          <w:rtl w:val="0"/>
        </w:rPr>
        <w:t xml:space="preserve">https://www.academia.edu/22650041/The_Descent_of_Inanna_as_a_Ritual_Journey_to_Kutha</w:t>
      </w:r>
      <w:r w:rsidDel="00000000" w:rsidR="00000000" w:rsidRPr="00000000">
        <w:rPr>
          <w:sz w:val="20"/>
          <w:szCs w:val="20"/>
          <w:rtl w:val="0"/>
        </w:rPr>
        <w:t xml:space="preserve">&gt; [Accessed 4 January 2024].</w:t>
      </w:r>
    </w:p>
  </w:footnote>
  <w:footnote w:id="34">
    <w:p w:rsidR="00000000" w:rsidDel="00000000" w:rsidP="00000000" w:rsidRDefault="00000000" w:rsidRPr="00000000" w14:paraId="000000C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Caso, </w:t>
      </w:r>
      <w:r w:rsidDel="00000000" w:rsidR="00000000" w:rsidRPr="00000000">
        <w:rPr>
          <w:i w:val="1"/>
          <w:sz w:val="20"/>
          <w:szCs w:val="20"/>
          <w:rtl w:val="0"/>
        </w:rPr>
        <w:t xml:space="preserve">The Aztecs</w:t>
      </w:r>
      <w:r w:rsidDel="00000000" w:rsidR="00000000" w:rsidRPr="00000000">
        <w:rPr>
          <w:sz w:val="20"/>
          <w:szCs w:val="20"/>
          <w:rtl w:val="0"/>
        </w:rPr>
        <w:t xml:space="preserve">, pp.12-14.</w:t>
      </w:r>
    </w:p>
  </w:footnote>
  <w:footnote w:id="29">
    <w:p w:rsidR="00000000" w:rsidDel="00000000" w:rsidP="00000000" w:rsidRDefault="00000000" w:rsidRPr="00000000" w14:paraId="000000C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Arnold Carlos Vento, ‘Aztec Myths and Cosmology: Historical-Religious Misinterpretation and Bias’, </w:t>
      </w:r>
      <w:r w:rsidDel="00000000" w:rsidR="00000000" w:rsidRPr="00000000">
        <w:rPr>
          <w:i w:val="1"/>
          <w:sz w:val="20"/>
          <w:szCs w:val="20"/>
          <w:rtl w:val="0"/>
        </w:rPr>
        <w:t xml:space="preserve">Wicazo Sa Review</w:t>
      </w:r>
      <w:r w:rsidDel="00000000" w:rsidR="00000000" w:rsidRPr="00000000">
        <w:rPr>
          <w:sz w:val="20"/>
          <w:szCs w:val="20"/>
          <w:rtl w:val="0"/>
        </w:rPr>
        <w:t xml:space="preserve">, 11.1 (1995), 1-23 (p. 6) &lt;</w:t>
      </w:r>
      <w:r w:rsidDel="00000000" w:rsidR="00000000" w:rsidRPr="00000000">
        <w:rPr>
          <w:sz w:val="20"/>
          <w:szCs w:val="20"/>
          <w:rtl w:val="0"/>
        </w:rPr>
        <w:t xml:space="preserve">https://www.jstor.org/stable/1409038</w:t>
      </w:r>
      <w:r w:rsidDel="00000000" w:rsidR="00000000" w:rsidRPr="00000000">
        <w:rPr>
          <w:sz w:val="20"/>
          <w:szCs w:val="20"/>
          <w:rtl w:val="0"/>
        </w:rPr>
        <w:t xml:space="preserve">&gt; [Accessed 4 January 2024].</w:t>
      </w:r>
    </w:p>
  </w:footnote>
  <w:footnote w:id="36">
    <w:p w:rsidR="00000000" w:rsidDel="00000000" w:rsidP="00000000" w:rsidRDefault="00000000" w:rsidRPr="00000000" w14:paraId="000000C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Susan Milbrath,</w:t>
      </w:r>
      <w:r w:rsidDel="00000000" w:rsidR="00000000" w:rsidRPr="00000000">
        <w:rPr>
          <w:i w:val="1"/>
          <w:sz w:val="20"/>
          <w:szCs w:val="20"/>
          <w:rtl w:val="0"/>
        </w:rPr>
        <w:t xml:space="preserve"> ‘</w:t>
      </w:r>
      <w:r w:rsidDel="00000000" w:rsidR="00000000" w:rsidRPr="00000000">
        <w:rPr>
          <w:sz w:val="20"/>
          <w:szCs w:val="20"/>
          <w:rtl w:val="0"/>
        </w:rPr>
        <w:t xml:space="preserve">The many faces of Venus in Mesoamerica’ in </w:t>
      </w:r>
      <w:r w:rsidDel="00000000" w:rsidR="00000000" w:rsidRPr="00000000">
        <w:rPr>
          <w:i w:val="1"/>
          <w:sz w:val="20"/>
          <w:szCs w:val="20"/>
          <w:rtl w:val="0"/>
        </w:rPr>
        <w:t xml:space="preserve">Archaeoastronomy and the Maya</w:t>
      </w:r>
      <w:r w:rsidDel="00000000" w:rsidR="00000000" w:rsidRPr="00000000">
        <w:rPr>
          <w:sz w:val="20"/>
          <w:szCs w:val="20"/>
          <w:rtl w:val="0"/>
        </w:rPr>
        <w:t xml:space="preserve">, ed. by Gerardo Aldana, Gerardo Villalobos and Edwin L. Barnhart (Barnsley, Oxbow Books, 2014), 112-124 (p. 112) &lt;</w:t>
      </w:r>
      <w:r w:rsidDel="00000000" w:rsidR="00000000" w:rsidRPr="00000000">
        <w:rPr>
          <w:sz w:val="20"/>
          <w:szCs w:val="20"/>
          <w:rtl w:val="0"/>
        </w:rPr>
        <w:t xml:space="preserve">https://www.jstor.org/stable/j.ctvh1dp92</w:t>
      </w:r>
      <w:r w:rsidDel="00000000" w:rsidR="00000000" w:rsidRPr="00000000">
        <w:rPr>
          <w:sz w:val="20"/>
          <w:szCs w:val="20"/>
          <w:rtl w:val="0"/>
        </w:rPr>
        <w:t xml:space="preserve">&gt;  [Accessed 4 January 2024].</w:t>
      </w:r>
    </w:p>
  </w:footnote>
  <w:footnote w:id="37">
    <w:p w:rsidR="00000000" w:rsidDel="00000000" w:rsidP="00000000" w:rsidRDefault="00000000" w:rsidRPr="00000000" w14:paraId="000000D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Milbrath, ‘The many faces of Venus in Mesoamerica’, p. 114, 120, 128.</w:t>
      </w:r>
    </w:p>
  </w:footnote>
  <w:footnote w:id="0">
    <w:p w:rsidR="00000000" w:rsidDel="00000000" w:rsidP="00000000" w:rsidRDefault="00000000" w:rsidRPr="00000000" w14:paraId="000000D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Diane Wolkstein and Samuel Noah Kramer, </w:t>
      </w:r>
      <w:r w:rsidDel="00000000" w:rsidR="00000000" w:rsidRPr="00000000">
        <w:rPr>
          <w:i w:val="1"/>
          <w:sz w:val="20"/>
          <w:szCs w:val="20"/>
          <w:rtl w:val="0"/>
        </w:rPr>
        <w:t xml:space="preserve">Inanna, Queen of Heaven and Earth: Her Stories and Hymns from Sumer</w:t>
      </w:r>
      <w:r w:rsidDel="00000000" w:rsidR="00000000" w:rsidRPr="00000000">
        <w:rPr>
          <w:sz w:val="20"/>
          <w:szCs w:val="20"/>
          <w:rtl w:val="0"/>
        </w:rPr>
        <w:t xml:space="preserve">, (New York, Harper &amp; Row, 1983), pp. 51-89.</w:t>
      </w:r>
    </w:p>
  </w:footnote>
  <w:footnote w:id="1">
    <w:p w:rsidR="00000000" w:rsidDel="00000000" w:rsidP="00000000" w:rsidRDefault="00000000" w:rsidRPr="00000000" w14:paraId="000000D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Willard Gingerich, ‘Myth of the Suns and the Toltec-Chimichec Origins of the Mexica People: The Entire Leyenda de Soles’ in </w:t>
      </w:r>
      <w:r w:rsidDel="00000000" w:rsidR="00000000" w:rsidRPr="00000000">
        <w:rPr>
          <w:i w:val="1"/>
          <w:sz w:val="20"/>
          <w:szCs w:val="20"/>
          <w:rtl w:val="0"/>
        </w:rPr>
        <w:t xml:space="preserve">The Flayed God: Mythology of Mesoamerica</w:t>
      </w:r>
      <w:r w:rsidDel="00000000" w:rsidR="00000000" w:rsidRPr="00000000">
        <w:rPr>
          <w:sz w:val="20"/>
          <w:szCs w:val="20"/>
          <w:rtl w:val="0"/>
        </w:rPr>
        <w:t xml:space="preserve">, ed. by Roberta H. Markman and Peter T. Markman (New York, Harper Collins, 1992), (pp. 131-147) &lt;</w:t>
      </w:r>
      <w:r w:rsidDel="00000000" w:rsidR="00000000" w:rsidRPr="00000000">
        <w:rPr>
          <w:sz w:val="20"/>
          <w:szCs w:val="20"/>
          <w:rtl w:val="0"/>
        </w:rPr>
        <w:t xml:space="preserve">https://digitalcommons.montclair.edu/english-facpubs/101/</w:t>
      </w:r>
      <w:r w:rsidDel="00000000" w:rsidR="00000000" w:rsidRPr="00000000">
        <w:rPr>
          <w:sz w:val="20"/>
          <w:szCs w:val="20"/>
          <w:rtl w:val="0"/>
        </w:rPr>
        <w:t xml:space="preserve">&gt; [Accessed 4 January 2024].</w:t>
      </w:r>
    </w:p>
  </w:footnote>
  <w:footnote w:id="35">
    <w:p w:rsidR="00000000" w:rsidDel="00000000" w:rsidP="00000000" w:rsidRDefault="00000000" w:rsidRPr="00000000" w14:paraId="000000D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Thorkild Jacobsen, </w:t>
      </w:r>
      <w:r w:rsidDel="00000000" w:rsidR="00000000" w:rsidRPr="00000000">
        <w:rPr>
          <w:i w:val="1"/>
          <w:sz w:val="20"/>
          <w:szCs w:val="20"/>
          <w:rtl w:val="0"/>
        </w:rPr>
        <w:t xml:space="preserve">The Harps that Once…: Sumerian Poetry in Translation</w:t>
      </w:r>
      <w:r w:rsidDel="00000000" w:rsidR="00000000" w:rsidRPr="00000000">
        <w:rPr>
          <w:sz w:val="20"/>
          <w:szCs w:val="20"/>
          <w:rtl w:val="0"/>
        </w:rPr>
        <w:t xml:space="preserve">, (New Haven, Yale University Press, 1997) p. 205 &lt;</w:t>
      </w:r>
      <w:r w:rsidDel="00000000" w:rsidR="00000000" w:rsidRPr="00000000">
        <w:rPr>
          <w:sz w:val="20"/>
          <w:szCs w:val="20"/>
          <w:rtl w:val="0"/>
        </w:rPr>
        <w:t xml:space="preserve">https://www.jstor.org/stable/j.ctt32bjgs</w:t>
      </w:r>
      <w:r w:rsidDel="00000000" w:rsidR="00000000" w:rsidRPr="00000000">
        <w:rPr>
          <w:sz w:val="20"/>
          <w:szCs w:val="20"/>
          <w:rtl w:val="0"/>
        </w:rPr>
        <w:t xml:space="preserve">&gt; [Accessed 4 January 2024].</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4">
    <w:pPr>
      <w:jc w:val="right"/>
      <w:rPr/>
    </w:pPr>
    <w:r w:rsidDel="00000000" w:rsidR="00000000" w:rsidRPr="00000000">
      <w:rPr>
        <w:rtl w:val="0"/>
      </w:rPr>
      <w:t xml:space="preserve">Copeland </w:t>
    </w: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