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CFAAEF" w14:textId="77777777" w:rsidR="00333DDB" w:rsidRDefault="00333DDB" w:rsidP="00333DDB">
      <w:pPr>
        <w:spacing w:before="200" w:line="360" w:lineRule="auto"/>
        <w:jc w:val="center"/>
        <w:rPr>
          <w:rFonts w:ascii="Times New Roman" w:eastAsia="Times New Roman" w:hAnsi="Times New Roman" w:cs="Times New Roman"/>
          <w:b/>
          <w:sz w:val="38"/>
          <w:szCs w:val="38"/>
        </w:rPr>
      </w:pPr>
      <w:bookmarkStart w:id="0" w:name="_Toc181880173"/>
    </w:p>
    <w:p w14:paraId="2D8EF2F8" w14:textId="77777777" w:rsidR="00333DDB" w:rsidRDefault="00333DDB" w:rsidP="00333DDB">
      <w:pPr>
        <w:spacing w:before="200" w:line="360" w:lineRule="auto"/>
        <w:jc w:val="center"/>
        <w:rPr>
          <w:rFonts w:ascii="Times New Roman" w:eastAsia="Times New Roman" w:hAnsi="Times New Roman" w:cs="Times New Roman"/>
          <w:b/>
          <w:sz w:val="38"/>
          <w:szCs w:val="38"/>
        </w:rPr>
      </w:pPr>
    </w:p>
    <w:p w14:paraId="43214D9A" w14:textId="77777777" w:rsidR="00333DDB" w:rsidRDefault="00333DDB" w:rsidP="00333DDB">
      <w:pPr>
        <w:spacing w:before="200" w:line="360" w:lineRule="auto"/>
        <w:jc w:val="center"/>
        <w:rPr>
          <w:rFonts w:ascii="Times New Roman" w:eastAsia="Times New Roman" w:hAnsi="Times New Roman" w:cs="Times New Roman"/>
          <w:b/>
          <w:sz w:val="38"/>
          <w:szCs w:val="38"/>
        </w:rPr>
      </w:pPr>
    </w:p>
    <w:p w14:paraId="0A8CBCE2" w14:textId="77777777" w:rsidR="00333DDB" w:rsidRDefault="00333DDB" w:rsidP="00333DDB">
      <w:pPr>
        <w:spacing w:before="200" w:line="360" w:lineRule="auto"/>
        <w:jc w:val="center"/>
        <w:rPr>
          <w:rFonts w:ascii="Times New Roman" w:eastAsia="Times New Roman" w:hAnsi="Times New Roman" w:cs="Times New Roman"/>
          <w:b/>
          <w:sz w:val="38"/>
          <w:szCs w:val="38"/>
        </w:rPr>
      </w:pPr>
    </w:p>
    <w:p w14:paraId="5AA8285D" w14:textId="77777777" w:rsidR="00333DDB" w:rsidRDefault="00333DDB" w:rsidP="00333DDB">
      <w:pPr>
        <w:spacing w:before="200" w:line="360" w:lineRule="auto"/>
        <w:jc w:val="center"/>
        <w:rPr>
          <w:rFonts w:ascii="Times New Roman" w:eastAsia="Times New Roman" w:hAnsi="Times New Roman" w:cs="Times New Roman"/>
          <w:b/>
          <w:sz w:val="38"/>
          <w:szCs w:val="38"/>
        </w:rPr>
      </w:pPr>
    </w:p>
    <w:p w14:paraId="1B44E1C8" w14:textId="77777777" w:rsidR="00333DDB" w:rsidRDefault="00333DDB" w:rsidP="00333DDB">
      <w:pPr>
        <w:spacing w:before="200" w:line="360" w:lineRule="auto"/>
        <w:jc w:val="center"/>
        <w:rPr>
          <w:rFonts w:ascii="Times New Roman" w:eastAsia="Times New Roman" w:hAnsi="Times New Roman" w:cs="Times New Roman"/>
          <w:b/>
          <w:sz w:val="38"/>
          <w:szCs w:val="38"/>
        </w:rPr>
      </w:pPr>
    </w:p>
    <w:p w14:paraId="7088A633" w14:textId="77777777" w:rsidR="00333DDB" w:rsidRDefault="00333DDB" w:rsidP="00333DDB">
      <w:pPr>
        <w:spacing w:before="200" w:line="360" w:lineRule="auto"/>
        <w:jc w:val="center"/>
        <w:rPr>
          <w:rFonts w:ascii="Times New Roman" w:eastAsia="Times New Roman" w:hAnsi="Times New Roman" w:cs="Times New Roman"/>
          <w:b/>
          <w:sz w:val="38"/>
          <w:szCs w:val="38"/>
        </w:rPr>
      </w:pPr>
    </w:p>
    <w:p w14:paraId="4FDD4194" w14:textId="77777777" w:rsidR="00333DDB" w:rsidRDefault="00333DDB" w:rsidP="00333DDB">
      <w:pPr>
        <w:spacing w:before="200" w:line="360" w:lineRule="auto"/>
        <w:jc w:val="center"/>
        <w:rPr>
          <w:rFonts w:ascii="Times New Roman" w:eastAsia="Times New Roman" w:hAnsi="Times New Roman" w:cs="Times New Roman"/>
          <w:b/>
          <w:sz w:val="38"/>
          <w:szCs w:val="38"/>
        </w:rPr>
      </w:pPr>
      <w:r>
        <w:rPr>
          <w:rFonts w:ascii="Times New Roman" w:eastAsia="Times New Roman" w:hAnsi="Times New Roman" w:cs="Times New Roman"/>
          <w:b/>
          <w:sz w:val="38"/>
          <w:szCs w:val="38"/>
        </w:rPr>
        <w:t>Law of Succession and Administration of Estates</w:t>
      </w:r>
    </w:p>
    <w:p w14:paraId="0C28E00C" w14:textId="77777777" w:rsidR="00D662AE" w:rsidRDefault="00D662AE" w:rsidP="00333DDB">
      <w:pPr>
        <w:spacing w:before="200" w:line="360" w:lineRule="auto"/>
        <w:jc w:val="center"/>
        <w:rPr>
          <w:rFonts w:ascii="Times New Roman" w:eastAsia="Times New Roman" w:hAnsi="Times New Roman" w:cs="Times New Roman"/>
          <w:b/>
          <w:sz w:val="38"/>
          <w:szCs w:val="38"/>
        </w:rPr>
      </w:pPr>
    </w:p>
    <w:p w14:paraId="6FEB249A" w14:textId="4BC2CF3B" w:rsidR="00D662AE" w:rsidRPr="00D662AE" w:rsidRDefault="00D662AE" w:rsidP="00333DDB">
      <w:pPr>
        <w:spacing w:before="200" w:line="360" w:lineRule="auto"/>
        <w:jc w:val="center"/>
        <w:rPr>
          <w:rFonts w:ascii="Times New Roman" w:eastAsia="Times New Roman" w:hAnsi="Times New Roman" w:cs="Times New Roman"/>
          <w:b/>
          <w:sz w:val="24"/>
          <w:szCs w:val="24"/>
        </w:rPr>
      </w:pPr>
      <w:r w:rsidRPr="00D662AE">
        <w:rPr>
          <w:rFonts w:ascii="Times New Roman" w:eastAsia="Times New Roman" w:hAnsi="Times New Roman" w:cs="Times New Roman"/>
          <w:b/>
          <w:sz w:val="24"/>
          <w:szCs w:val="24"/>
        </w:rPr>
        <w:t>Student Name: Sylwia Maciejewska</w:t>
      </w:r>
    </w:p>
    <w:p w14:paraId="67B8DD9C" w14:textId="7C325A8B" w:rsidR="00D662AE" w:rsidRPr="00D662AE" w:rsidRDefault="00D662AE" w:rsidP="00333DDB">
      <w:pPr>
        <w:spacing w:before="200" w:line="360" w:lineRule="auto"/>
        <w:jc w:val="center"/>
        <w:rPr>
          <w:rFonts w:ascii="Times New Roman" w:eastAsia="Times New Roman" w:hAnsi="Times New Roman" w:cs="Times New Roman"/>
          <w:b/>
          <w:sz w:val="24"/>
          <w:szCs w:val="24"/>
        </w:rPr>
      </w:pPr>
      <w:r w:rsidRPr="00D662AE">
        <w:rPr>
          <w:rFonts w:ascii="Times New Roman" w:eastAsia="Times New Roman" w:hAnsi="Times New Roman" w:cs="Times New Roman"/>
          <w:b/>
          <w:sz w:val="24"/>
          <w:szCs w:val="24"/>
        </w:rPr>
        <w:t>Student Number: 2130318</w:t>
      </w:r>
    </w:p>
    <w:p w14:paraId="7629B1CA" w14:textId="77777777" w:rsidR="00333DDB" w:rsidRDefault="00333DDB" w:rsidP="00333DDB">
      <w:pPr>
        <w:spacing w:before="200" w:line="360" w:lineRule="auto"/>
        <w:jc w:val="center"/>
        <w:rPr>
          <w:rFonts w:ascii="Times New Roman" w:eastAsia="Times New Roman" w:hAnsi="Times New Roman" w:cs="Times New Roman"/>
          <w:b/>
          <w:sz w:val="38"/>
          <w:szCs w:val="38"/>
        </w:rPr>
      </w:pPr>
      <w:r>
        <w:br w:type="page"/>
      </w:r>
    </w:p>
    <w:sdt>
      <w:sdtPr>
        <w:rPr>
          <w:rFonts w:asciiTheme="minorHAnsi" w:eastAsiaTheme="minorHAnsi" w:hAnsiTheme="minorHAnsi" w:cstheme="minorBidi"/>
          <w:color w:val="auto"/>
          <w:kern w:val="2"/>
          <w:sz w:val="22"/>
          <w:szCs w:val="22"/>
          <w:lang w:val="en-IN"/>
        </w:rPr>
        <w:id w:val="-782116928"/>
        <w:docPartObj>
          <w:docPartGallery w:val="Table of Contents"/>
          <w:docPartUnique/>
        </w:docPartObj>
      </w:sdtPr>
      <w:sdtEndPr>
        <w:rPr>
          <w:b/>
          <w:bCs/>
          <w:noProof/>
        </w:rPr>
      </w:sdtEndPr>
      <w:sdtContent>
        <w:p w14:paraId="405B85C8" w14:textId="5E53AC76" w:rsidR="004D7F1B" w:rsidRPr="004D7F1B" w:rsidRDefault="004D7F1B">
          <w:pPr>
            <w:pStyle w:val="TOCHeading"/>
            <w:rPr>
              <w:rFonts w:ascii="Times New Roman" w:hAnsi="Times New Roman" w:cs="Times New Roman"/>
              <w:b/>
              <w:bCs/>
              <w:color w:val="auto"/>
            </w:rPr>
          </w:pPr>
          <w:r w:rsidRPr="004D7F1B">
            <w:rPr>
              <w:rFonts w:ascii="Times New Roman" w:hAnsi="Times New Roman" w:cs="Times New Roman"/>
              <w:b/>
              <w:bCs/>
              <w:color w:val="auto"/>
            </w:rPr>
            <w:t>Table of Contents</w:t>
          </w:r>
        </w:p>
        <w:p w14:paraId="41921EC0" w14:textId="360BFDB6" w:rsidR="004D7F1B" w:rsidRPr="004D7F1B" w:rsidRDefault="004D7F1B">
          <w:pPr>
            <w:pStyle w:val="TOC1"/>
            <w:tabs>
              <w:tab w:val="right" w:leader="dot" w:pos="9016"/>
            </w:tabs>
            <w:rPr>
              <w:rFonts w:ascii="Times New Roman" w:hAnsi="Times New Roman" w:cs="Times New Roman"/>
              <w:noProof/>
              <w:sz w:val="24"/>
              <w:szCs w:val="24"/>
            </w:rPr>
          </w:pPr>
          <w:r w:rsidRPr="004D7F1B">
            <w:rPr>
              <w:rFonts w:ascii="Times New Roman" w:hAnsi="Times New Roman" w:cs="Times New Roman"/>
              <w:sz w:val="24"/>
              <w:szCs w:val="24"/>
            </w:rPr>
            <w:fldChar w:fldCharType="begin"/>
          </w:r>
          <w:r w:rsidRPr="004D7F1B">
            <w:rPr>
              <w:rFonts w:ascii="Times New Roman" w:hAnsi="Times New Roman" w:cs="Times New Roman"/>
              <w:sz w:val="24"/>
              <w:szCs w:val="24"/>
            </w:rPr>
            <w:instrText xml:space="preserve"> TOC \o "1-3" \h \z \u </w:instrText>
          </w:r>
          <w:r w:rsidRPr="004D7F1B">
            <w:rPr>
              <w:rFonts w:ascii="Times New Roman" w:hAnsi="Times New Roman" w:cs="Times New Roman"/>
              <w:sz w:val="24"/>
              <w:szCs w:val="24"/>
            </w:rPr>
            <w:fldChar w:fldCharType="separate"/>
          </w:r>
          <w:hyperlink w:anchor="_Toc182009130" w:history="1">
            <w:r w:rsidRPr="004D7F1B">
              <w:rPr>
                <w:rStyle w:val="Hyperlink"/>
                <w:rFonts w:ascii="Times New Roman" w:hAnsi="Times New Roman" w:cs="Times New Roman"/>
                <w:noProof/>
                <w:sz w:val="24"/>
                <w:szCs w:val="24"/>
              </w:rPr>
              <w:t>Question 1.</w:t>
            </w:r>
            <w:r w:rsidRPr="004D7F1B">
              <w:rPr>
                <w:rFonts w:ascii="Times New Roman" w:hAnsi="Times New Roman" w:cs="Times New Roman"/>
                <w:noProof/>
                <w:webHidden/>
                <w:sz w:val="24"/>
                <w:szCs w:val="24"/>
              </w:rPr>
              <w:tab/>
            </w:r>
            <w:r w:rsidRPr="004D7F1B">
              <w:rPr>
                <w:rFonts w:ascii="Times New Roman" w:hAnsi="Times New Roman" w:cs="Times New Roman"/>
                <w:noProof/>
                <w:webHidden/>
                <w:sz w:val="24"/>
                <w:szCs w:val="24"/>
              </w:rPr>
              <w:fldChar w:fldCharType="begin"/>
            </w:r>
            <w:r w:rsidRPr="004D7F1B">
              <w:rPr>
                <w:rFonts w:ascii="Times New Roman" w:hAnsi="Times New Roman" w:cs="Times New Roman"/>
                <w:noProof/>
                <w:webHidden/>
                <w:sz w:val="24"/>
                <w:szCs w:val="24"/>
              </w:rPr>
              <w:instrText xml:space="preserve"> PAGEREF _Toc182009130 \h </w:instrText>
            </w:r>
            <w:r w:rsidRPr="004D7F1B">
              <w:rPr>
                <w:rFonts w:ascii="Times New Roman" w:hAnsi="Times New Roman" w:cs="Times New Roman"/>
                <w:noProof/>
                <w:webHidden/>
                <w:sz w:val="24"/>
                <w:szCs w:val="24"/>
              </w:rPr>
            </w:r>
            <w:r w:rsidRPr="004D7F1B">
              <w:rPr>
                <w:rFonts w:ascii="Times New Roman" w:hAnsi="Times New Roman" w:cs="Times New Roman"/>
                <w:noProof/>
                <w:webHidden/>
                <w:sz w:val="24"/>
                <w:szCs w:val="24"/>
              </w:rPr>
              <w:fldChar w:fldCharType="separate"/>
            </w:r>
            <w:r w:rsidRPr="004D7F1B">
              <w:rPr>
                <w:rFonts w:ascii="Times New Roman" w:hAnsi="Times New Roman" w:cs="Times New Roman"/>
                <w:noProof/>
                <w:webHidden/>
                <w:sz w:val="24"/>
                <w:szCs w:val="24"/>
              </w:rPr>
              <w:t>4</w:t>
            </w:r>
            <w:r w:rsidRPr="004D7F1B">
              <w:rPr>
                <w:rFonts w:ascii="Times New Roman" w:hAnsi="Times New Roman" w:cs="Times New Roman"/>
                <w:noProof/>
                <w:webHidden/>
                <w:sz w:val="24"/>
                <w:szCs w:val="24"/>
              </w:rPr>
              <w:fldChar w:fldCharType="end"/>
            </w:r>
          </w:hyperlink>
        </w:p>
        <w:p w14:paraId="219F290D" w14:textId="76A9EE59" w:rsidR="004D7F1B" w:rsidRPr="004D7F1B" w:rsidRDefault="004D7F1B">
          <w:pPr>
            <w:pStyle w:val="TOC1"/>
            <w:tabs>
              <w:tab w:val="right" w:leader="dot" w:pos="9016"/>
            </w:tabs>
            <w:rPr>
              <w:rFonts w:ascii="Times New Roman" w:hAnsi="Times New Roman" w:cs="Times New Roman"/>
              <w:noProof/>
              <w:sz w:val="24"/>
              <w:szCs w:val="24"/>
            </w:rPr>
          </w:pPr>
          <w:hyperlink w:anchor="_Toc182009133" w:history="1">
            <w:r w:rsidRPr="004D7F1B">
              <w:rPr>
                <w:rStyle w:val="Hyperlink"/>
                <w:rFonts w:ascii="Times New Roman" w:hAnsi="Times New Roman" w:cs="Times New Roman"/>
                <w:noProof/>
                <w:sz w:val="24"/>
                <w:szCs w:val="24"/>
              </w:rPr>
              <w:t>Question 2</w:t>
            </w:r>
            <w:r w:rsidRPr="004D7F1B">
              <w:rPr>
                <w:rFonts w:ascii="Times New Roman" w:hAnsi="Times New Roman" w:cs="Times New Roman"/>
                <w:noProof/>
                <w:webHidden/>
                <w:sz w:val="24"/>
                <w:szCs w:val="24"/>
              </w:rPr>
              <w:tab/>
            </w:r>
            <w:r w:rsidRPr="004D7F1B">
              <w:rPr>
                <w:rFonts w:ascii="Times New Roman" w:hAnsi="Times New Roman" w:cs="Times New Roman"/>
                <w:noProof/>
                <w:webHidden/>
                <w:sz w:val="24"/>
                <w:szCs w:val="24"/>
              </w:rPr>
              <w:fldChar w:fldCharType="begin"/>
            </w:r>
            <w:r w:rsidRPr="004D7F1B">
              <w:rPr>
                <w:rFonts w:ascii="Times New Roman" w:hAnsi="Times New Roman" w:cs="Times New Roman"/>
                <w:noProof/>
                <w:webHidden/>
                <w:sz w:val="24"/>
                <w:szCs w:val="24"/>
              </w:rPr>
              <w:instrText xml:space="preserve"> PAGEREF _Toc182009133 \h </w:instrText>
            </w:r>
            <w:r w:rsidRPr="004D7F1B">
              <w:rPr>
                <w:rFonts w:ascii="Times New Roman" w:hAnsi="Times New Roman" w:cs="Times New Roman"/>
                <w:noProof/>
                <w:webHidden/>
                <w:sz w:val="24"/>
                <w:szCs w:val="24"/>
              </w:rPr>
            </w:r>
            <w:r w:rsidRPr="004D7F1B">
              <w:rPr>
                <w:rFonts w:ascii="Times New Roman" w:hAnsi="Times New Roman" w:cs="Times New Roman"/>
                <w:noProof/>
                <w:webHidden/>
                <w:sz w:val="24"/>
                <w:szCs w:val="24"/>
              </w:rPr>
              <w:fldChar w:fldCharType="separate"/>
            </w:r>
            <w:r w:rsidRPr="004D7F1B">
              <w:rPr>
                <w:rFonts w:ascii="Times New Roman" w:hAnsi="Times New Roman" w:cs="Times New Roman"/>
                <w:noProof/>
                <w:webHidden/>
                <w:sz w:val="24"/>
                <w:szCs w:val="24"/>
              </w:rPr>
              <w:t>9</w:t>
            </w:r>
            <w:r w:rsidRPr="004D7F1B">
              <w:rPr>
                <w:rFonts w:ascii="Times New Roman" w:hAnsi="Times New Roman" w:cs="Times New Roman"/>
                <w:noProof/>
                <w:webHidden/>
                <w:sz w:val="24"/>
                <w:szCs w:val="24"/>
              </w:rPr>
              <w:fldChar w:fldCharType="end"/>
            </w:r>
          </w:hyperlink>
        </w:p>
        <w:p w14:paraId="71F6ACC3" w14:textId="2636A227" w:rsidR="004D7F1B" w:rsidRPr="004D7F1B" w:rsidRDefault="004D7F1B">
          <w:pPr>
            <w:pStyle w:val="TOC2"/>
            <w:tabs>
              <w:tab w:val="right" w:leader="dot" w:pos="9016"/>
            </w:tabs>
            <w:rPr>
              <w:rFonts w:ascii="Times New Roman" w:hAnsi="Times New Roman" w:cs="Times New Roman"/>
              <w:noProof/>
              <w:sz w:val="24"/>
              <w:szCs w:val="24"/>
            </w:rPr>
          </w:pPr>
          <w:hyperlink w:anchor="_Toc182009134" w:history="1">
            <w:r w:rsidRPr="004D7F1B">
              <w:rPr>
                <w:rFonts w:ascii="Times New Roman" w:hAnsi="Times New Roman" w:cs="Times New Roman"/>
                <w:noProof/>
                <w:webHidden/>
                <w:sz w:val="24"/>
                <w:szCs w:val="24"/>
              </w:rPr>
              <w:tab/>
            </w:r>
            <w:r w:rsidRPr="004D7F1B">
              <w:rPr>
                <w:rFonts w:ascii="Times New Roman" w:hAnsi="Times New Roman" w:cs="Times New Roman"/>
                <w:noProof/>
                <w:webHidden/>
                <w:sz w:val="24"/>
                <w:szCs w:val="24"/>
              </w:rPr>
              <w:fldChar w:fldCharType="begin"/>
            </w:r>
            <w:r w:rsidRPr="004D7F1B">
              <w:rPr>
                <w:rFonts w:ascii="Times New Roman" w:hAnsi="Times New Roman" w:cs="Times New Roman"/>
                <w:noProof/>
                <w:webHidden/>
                <w:sz w:val="24"/>
                <w:szCs w:val="24"/>
              </w:rPr>
              <w:instrText xml:space="preserve"> PAGEREF _Toc182009134 \h </w:instrText>
            </w:r>
            <w:r w:rsidRPr="004D7F1B">
              <w:rPr>
                <w:rFonts w:ascii="Times New Roman" w:hAnsi="Times New Roman" w:cs="Times New Roman"/>
                <w:noProof/>
                <w:webHidden/>
                <w:sz w:val="24"/>
                <w:szCs w:val="24"/>
              </w:rPr>
            </w:r>
            <w:r w:rsidRPr="004D7F1B">
              <w:rPr>
                <w:rFonts w:ascii="Times New Roman" w:hAnsi="Times New Roman" w:cs="Times New Roman"/>
                <w:noProof/>
                <w:webHidden/>
                <w:sz w:val="24"/>
                <w:szCs w:val="24"/>
              </w:rPr>
              <w:fldChar w:fldCharType="separate"/>
            </w:r>
            <w:r w:rsidRPr="004D7F1B">
              <w:rPr>
                <w:rFonts w:ascii="Times New Roman" w:hAnsi="Times New Roman" w:cs="Times New Roman"/>
                <w:noProof/>
                <w:webHidden/>
                <w:sz w:val="24"/>
                <w:szCs w:val="24"/>
              </w:rPr>
              <w:t>9</w:t>
            </w:r>
            <w:r w:rsidRPr="004D7F1B">
              <w:rPr>
                <w:rFonts w:ascii="Times New Roman" w:hAnsi="Times New Roman" w:cs="Times New Roman"/>
                <w:noProof/>
                <w:webHidden/>
                <w:sz w:val="24"/>
                <w:szCs w:val="24"/>
              </w:rPr>
              <w:fldChar w:fldCharType="end"/>
            </w:r>
          </w:hyperlink>
        </w:p>
        <w:p w14:paraId="1F4EBB43" w14:textId="5EECD462" w:rsidR="004D7F1B" w:rsidRPr="004D7F1B" w:rsidRDefault="004D7F1B">
          <w:pPr>
            <w:pStyle w:val="TOC1"/>
            <w:tabs>
              <w:tab w:val="right" w:leader="dot" w:pos="9016"/>
            </w:tabs>
            <w:rPr>
              <w:rFonts w:ascii="Times New Roman" w:hAnsi="Times New Roman" w:cs="Times New Roman"/>
              <w:noProof/>
              <w:sz w:val="24"/>
              <w:szCs w:val="24"/>
            </w:rPr>
          </w:pPr>
          <w:hyperlink w:anchor="_Toc182009135" w:history="1">
            <w:r w:rsidRPr="004D7F1B">
              <w:rPr>
                <w:rStyle w:val="Hyperlink"/>
                <w:rFonts w:ascii="Times New Roman" w:hAnsi="Times New Roman" w:cs="Times New Roman"/>
                <w:noProof/>
                <w:sz w:val="24"/>
                <w:szCs w:val="24"/>
              </w:rPr>
              <w:t>References</w:t>
            </w:r>
            <w:r w:rsidRPr="004D7F1B">
              <w:rPr>
                <w:rFonts w:ascii="Times New Roman" w:hAnsi="Times New Roman" w:cs="Times New Roman"/>
                <w:noProof/>
                <w:webHidden/>
                <w:sz w:val="24"/>
                <w:szCs w:val="24"/>
              </w:rPr>
              <w:tab/>
            </w:r>
            <w:r w:rsidRPr="004D7F1B">
              <w:rPr>
                <w:rFonts w:ascii="Times New Roman" w:hAnsi="Times New Roman" w:cs="Times New Roman"/>
                <w:noProof/>
                <w:webHidden/>
                <w:sz w:val="24"/>
                <w:szCs w:val="24"/>
              </w:rPr>
              <w:fldChar w:fldCharType="begin"/>
            </w:r>
            <w:r w:rsidRPr="004D7F1B">
              <w:rPr>
                <w:rFonts w:ascii="Times New Roman" w:hAnsi="Times New Roman" w:cs="Times New Roman"/>
                <w:noProof/>
                <w:webHidden/>
                <w:sz w:val="24"/>
                <w:szCs w:val="24"/>
              </w:rPr>
              <w:instrText xml:space="preserve"> PAGEREF _Toc182009135 \h </w:instrText>
            </w:r>
            <w:r w:rsidRPr="004D7F1B">
              <w:rPr>
                <w:rFonts w:ascii="Times New Roman" w:hAnsi="Times New Roman" w:cs="Times New Roman"/>
                <w:noProof/>
                <w:webHidden/>
                <w:sz w:val="24"/>
                <w:szCs w:val="24"/>
              </w:rPr>
            </w:r>
            <w:r w:rsidRPr="004D7F1B">
              <w:rPr>
                <w:rFonts w:ascii="Times New Roman" w:hAnsi="Times New Roman" w:cs="Times New Roman"/>
                <w:noProof/>
                <w:webHidden/>
                <w:sz w:val="24"/>
                <w:szCs w:val="24"/>
              </w:rPr>
              <w:fldChar w:fldCharType="separate"/>
            </w:r>
            <w:r w:rsidRPr="004D7F1B">
              <w:rPr>
                <w:rFonts w:ascii="Times New Roman" w:hAnsi="Times New Roman" w:cs="Times New Roman"/>
                <w:noProof/>
                <w:webHidden/>
                <w:sz w:val="24"/>
                <w:szCs w:val="24"/>
              </w:rPr>
              <w:t>14</w:t>
            </w:r>
            <w:r w:rsidRPr="004D7F1B">
              <w:rPr>
                <w:rFonts w:ascii="Times New Roman" w:hAnsi="Times New Roman" w:cs="Times New Roman"/>
                <w:noProof/>
                <w:webHidden/>
                <w:sz w:val="24"/>
                <w:szCs w:val="24"/>
              </w:rPr>
              <w:fldChar w:fldCharType="end"/>
            </w:r>
          </w:hyperlink>
        </w:p>
        <w:p w14:paraId="12281C88" w14:textId="3E9C9D07" w:rsidR="004D7F1B" w:rsidRDefault="004D7F1B">
          <w:r w:rsidRPr="004D7F1B">
            <w:rPr>
              <w:rFonts w:ascii="Times New Roman" w:hAnsi="Times New Roman" w:cs="Times New Roman"/>
              <w:b/>
              <w:bCs/>
              <w:noProof/>
              <w:sz w:val="24"/>
              <w:szCs w:val="24"/>
            </w:rPr>
            <w:fldChar w:fldCharType="end"/>
          </w:r>
        </w:p>
      </w:sdtContent>
    </w:sdt>
    <w:p w14:paraId="2B58E036" w14:textId="7D3E1B59" w:rsidR="00333DDB" w:rsidRDefault="00333DDB">
      <w:pPr>
        <w:rPr>
          <w:rFonts w:ascii="Times New Roman" w:eastAsia="Times New Roman" w:hAnsi="Times New Roman" w:cs="Times New Roman"/>
          <w:b/>
          <w:kern w:val="0"/>
          <w:sz w:val="24"/>
          <w:szCs w:val="24"/>
          <w:lang w:val="en-US"/>
        </w:rPr>
      </w:pPr>
      <w:r>
        <w:br w:type="page"/>
      </w:r>
    </w:p>
    <w:p w14:paraId="29516574" w14:textId="3886EDAD" w:rsidR="007565FF" w:rsidRDefault="007565FF" w:rsidP="007565FF">
      <w:pPr>
        <w:pStyle w:val="Heading1"/>
      </w:pPr>
      <w:bookmarkStart w:id="1" w:name="_Toc182009130"/>
      <w:r w:rsidRPr="00D92377">
        <w:lastRenderedPageBreak/>
        <w:t>Question</w:t>
      </w:r>
      <w:r>
        <w:t xml:space="preserve"> 1.</w:t>
      </w:r>
      <w:bookmarkEnd w:id="0"/>
      <w:bookmarkEnd w:id="1"/>
    </w:p>
    <w:p w14:paraId="32ADD4DB" w14:textId="77777777" w:rsidR="007565FF" w:rsidRDefault="007565FF" w:rsidP="007565FF">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Please draft a letter of advice to Stephen, explaining:</w:t>
      </w:r>
    </w:p>
    <w:p w14:paraId="3F628581" w14:textId="4404C4C4" w:rsidR="007565FF" w:rsidRDefault="007565FF" w:rsidP="007565F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 Betty</w:t>
      </w:r>
      <w:r w:rsidR="00AC1ABA">
        <w:rPr>
          <w:rFonts w:ascii="Times New Roman" w:eastAsia="Times New Roman" w:hAnsi="Times New Roman" w:cs="Times New Roman"/>
          <w:b/>
          <w:sz w:val="24"/>
          <w:szCs w:val="24"/>
        </w:rPr>
        <w:t xml:space="preserve"> i</w:t>
      </w:r>
      <w:r>
        <w:rPr>
          <w:rFonts w:ascii="Times New Roman" w:eastAsia="Times New Roman" w:hAnsi="Times New Roman" w:cs="Times New Roman"/>
          <w:b/>
          <w:sz w:val="24"/>
          <w:szCs w:val="24"/>
        </w:rPr>
        <w:t>s Estate – Intestacy and Inheritance</w:t>
      </w:r>
    </w:p>
    <w:p w14:paraId="18424231" w14:textId="4AB375D4"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On November 1, 2024, Trinity LLP</w:t>
      </w:r>
    </w:p>
    <w:p w14:paraId="205C7F7C" w14:textId="162CA6FC"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Dear Stephen Phillips,</w:t>
      </w:r>
    </w:p>
    <w:p w14:paraId="53375418" w14:textId="4AF8D16E" w:rsidR="007565FF" w:rsidRPr="00494E6A" w:rsidRDefault="007565FF" w:rsidP="007565FF">
      <w:pPr>
        <w:pStyle w:val="Heading2"/>
      </w:pPr>
      <w:bookmarkStart w:id="2" w:name="_Toc181880174"/>
      <w:bookmarkStart w:id="3" w:name="_Toc182009131"/>
      <w:r>
        <w:t xml:space="preserve">a) With </w:t>
      </w:r>
      <w:r w:rsidRPr="00D92377">
        <w:t>reference</w:t>
      </w:r>
      <w:r>
        <w:t xml:space="preserve"> to the rules of intestacy, who will inherit Betty’s estate?</w:t>
      </w:r>
      <w:bookmarkEnd w:id="2"/>
      <w:bookmarkEnd w:id="3"/>
    </w:p>
    <w:p w14:paraId="4B38B326" w14:textId="5697AA15"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Without a will, Betty's inheritance will be dispersed pursuant to the Administration of Estates Act 1925's Intestacy Rules. These laws favour blood relations and legally recognised family members when splitting the estates of persons who die without a will. Due to these restrictions, unmarried partners, regardless of length or proximity, are not beneficiaries by default. This provision is crucial to intestacy law but often surprises and frustrates long-term intimate partners.</w:t>
      </w:r>
    </w:p>
    <w:p w14:paraId="2272758B" w14:textId="68B434FD"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 xml:space="preserve">Section 46 of the Administration of Estates Act 1925 does not recognise cohabiting or non-marital partners unless they are married or in a civil partnership, despite your strong relationship with Betty. This regulation prevents you from inheriting Betty's estate regardless of your relationship. Unfortunately, without a will naming you as a beneficiary, the Intestacy Distribution Rules do not grant you inheritance rights. </w:t>
      </w:r>
      <w:r w:rsidR="00AC1ABA" w:rsidRPr="00494E6A">
        <w:rPr>
          <w:rFonts w:ascii="Times New Roman" w:hAnsi="Times New Roman" w:cs="Times New Roman"/>
          <w:sz w:val="24"/>
          <w:szCs w:val="24"/>
        </w:rPr>
        <w:t>To</w:t>
      </w:r>
      <w:r w:rsidRPr="00494E6A">
        <w:rPr>
          <w:rFonts w:ascii="Times New Roman" w:hAnsi="Times New Roman" w:cs="Times New Roman"/>
          <w:sz w:val="24"/>
          <w:szCs w:val="24"/>
        </w:rPr>
        <w:t xml:space="preserve"> include non-spousal partners in an estate, a will is necessary.</w:t>
      </w:r>
    </w:p>
    <w:p w14:paraId="1C142659" w14:textId="77777777"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As explained later in this letter, cohabitants can claim reasonable financial provision from Betty's estate under the Inheritance (Provision for Family and Dependents) Act 1975 if they can prove dependency.</w:t>
      </w:r>
    </w:p>
    <w:p w14:paraId="27A9BFF3" w14:textId="4BF97013" w:rsidR="00494E6A" w:rsidRPr="00494E6A" w:rsidRDefault="00494E6A" w:rsidP="00494E6A">
      <w:pPr>
        <w:spacing w:line="360" w:lineRule="auto"/>
        <w:jc w:val="both"/>
        <w:rPr>
          <w:rFonts w:ascii="Times New Roman" w:hAnsi="Times New Roman" w:cs="Times New Roman"/>
          <w:b/>
          <w:bCs/>
          <w:sz w:val="24"/>
          <w:szCs w:val="24"/>
        </w:rPr>
      </w:pPr>
      <w:r w:rsidRPr="00494E6A">
        <w:rPr>
          <w:rFonts w:ascii="Times New Roman" w:hAnsi="Times New Roman" w:cs="Times New Roman"/>
          <w:b/>
          <w:bCs/>
          <w:sz w:val="24"/>
          <w:szCs w:val="24"/>
        </w:rPr>
        <w:t>Matthew, Betty's Son</w:t>
      </w:r>
    </w:p>
    <w:p w14:paraId="3B7551A3" w14:textId="77777777"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Betty's sole biological son, Matthew, may inherit a lot under intestacy. According to Section 46 of the Administration of Estates Act 1925, an intestate estate goes to the deceased's children, hence Matthew would inherit first. Adoption complicates matters because legitimately adopted children cannot inherit from their biological parents under intestacy law. They inherit from adoptive parents.</w:t>
      </w:r>
    </w:p>
    <w:p w14:paraId="120761C6" w14:textId="4392C831"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 xml:space="preserve">The 2017 EWCA Civ 108 case Hand v. George discusses how adoption affects inheritance. As a rule, adopted children cannot inherit from their biological parents because adoption legally </w:t>
      </w:r>
      <w:r w:rsidRPr="00494E6A">
        <w:rPr>
          <w:rFonts w:ascii="Times New Roman" w:hAnsi="Times New Roman" w:cs="Times New Roman"/>
          <w:sz w:val="24"/>
          <w:szCs w:val="24"/>
        </w:rPr>
        <w:lastRenderedPageBreak/>
        <w:t>breaks this link. In recent years, Betty and Matthew reconnected and became close, visiting each other regularly and sharing important milestones like Christmas. If Matthew argues that his relationship with Betty warrants a reassessment of adoption hurdles to inheritance, the court may interpret their emotional bond.</w:t>
      </w:r>
    </w:p>
    <w:p w14:paraId="3ED79E60" w14:textId="77777777"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Matthew's status as Betty's sole biological child and their renewed closeness may help him, especially if his adoption status is not challenged. Standard intestacy law does not examine these relationship variables.</w:t>
      </w:r>
    </w:p>
    <w:p w14:paraId="45A84F05" w14:textId="77777777" w:rsidR="00453F49" w:rsidRDefault="00182417" w:rsidP="00494E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Betty had no surviving husband or civil partner, her estate would be distributed among her relatives under the law of intestacy. Betty's two sisters, Alison and Heather, would inherit the estate under this law. </w:t>
      </w:r>
      <w:r w:rsidR="00AC1ABA">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a person's children would inherit equally, regardless of who their other parents</w:t>
      </w:r>
      <w:r w:rsidR="00CB5A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F89919F" w14:textId="7488F83E" w:rsidR="00494E6A" w:rsidRPr="00453F49" w:rsidRDefault="00494E6A" w:rsidP="00494E6A">
      <w:pPr>
        <w:spacing w:line="360" w:lineRule="auto"/>
        <w:jc w:val="both"/>
        <w:rPr>
          <w:rFonts w:ascii="Times New Roman" w:eastAsia="Times New Roman" w:hAnsi="Times New Roman" w:cs="Times New Roman"/>
          <w:sz w:val="24"/>
          <w:szCs w:val="24"/>
        </w:rPr>
      </w:pPr>
      <w:r w:rsidRPr="00494E6A">
        <w:rPr>
          <w:rFonts w:ascii="Times New Roman" w:hAnsi="Times New Roman" w:cs="Times New Roman"/>
          <w:sz w:val="24"/>
          <w:szCs w:val="24"/>
        </w:rPr>
        <w:t>Section 47 of the Administration of Estates Act 1925 treats half-siblings equally with full siblings under intestacy. Jones v. Davies [2020] EWCA Civ 15 highlights half-siblings' entitlement to inherit equally without immediate descendants or a spouse. If Matthew is ineligible, Alison and Heather will share the estate.</w:t>
      </w:r>
    </w:p>
    <w:p w14:paraId="58904463" w14:textId="56F975A9"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 xml:space="preserve">If Matthew and both sisters are unfit or reluctant to inherit, Betty's nieces and nephews, </w:t>
      </w:r>
      <w:r w:rsidR="00AC1ABA" w:rsidRPr="00494E6A">
        <w:rPr>
          <w:rFonts w:ascii="Times New Roman" w:hAnsi="Times New Roman" w:cs="Times New Roman"/>
          <w:sz w:val="24"/>
          <w:szCs w:val="24"/>
        </w:rPr>
        <w:t>Oliver,</w:t>
      </w:r>
      <w:r w:rsidRPr="00494E6A">
        <w:rPr>
          <w:rFonts w:ascii="Times New Roman" w:hAnsi="Times New Roman" w:cs="Times New Roman"/>
          <w:sz w:val="24"/>
          <w:szCs w:val="24"/>
        </w:rPr>
        <w:t xml:space="preserve"> and Unity (dead brother Ivan's offspring), could inherit. Only if all closer relatives decline or are ineligible under Section 46 of the Administration of Estates Act 1925 is this option available.</w:t>
      </w:r>
    </w:p>
    <w:p w14:paraId="60D7B3BC" w14:textId="17B9DE9E" w:rsidR="00182417" w:rsidRPr="00182417" w:rsidRDefault="00494E6A" w:rsidP="00182417">
      <w:pPr>
        <w:spacing w:line="360" w:lineRule="auto"/>
        <w:jc w:val="both"/>
        <w:rPr>
          <w:rFonts w:ascii="Times New Roman" w:hAnsi="Times New Roman" w:cs="Times New Roman"/>
          <w:b/>
          <w:bCs/>
          <w:sz w:val="24"/>
          <w:szCs w:val="24"/>
        </w:rPr>
      </w:pPr>
      <w:r w:rsidRPr="00494E6A">
        <w:rPr>
          <w:rFonts w:ascii="Times New Roman" w:hAnsi="Times New Roman" w:cs="Times New Roman"/>
          <w:b/>
          <w:bCs/>
          <w:sz w:val="24"/>
          <w:szCs w:val="24"/>
        </w:rPr>
        <w:t xml:space="preserve">Estate Assets </w:t>
      </w:r>
      <w:r w:rsidR="00AC1ABA" w:rsidRPr="00494E6A">
        <w:rPr>
          <w:rFonts w:ascii="Times New Roman" w:hAnsi="Times New Roman" w:cs="Times New Roman"/>
          <w:b/>
          <w:bCs/>
          <w:sz w:val="24"/>
          <w:szCs w:val="24"/>
        </w:rPr>
        <w:t>Distribution</w:t>
      </w:r>
    </w:p>
    <w:p w14:paraId="65880793" w14:textId="0027D370" w:rsidR="00182417" w:rsidRPr="00182417" w:rsidRDefault="00182417" w:rsidP="00182417">
      <w:pPr>
        <w:spacing w:line="360" w:lineRule="auto"/>
        <w:jc w:val="both"/>
        <w:rPr>
          <w:rFonts w:ascii="Times New Roman" w:hAnsi="Times New Roman" w:cs="Times New Roman"/>
          <w:sz w:val="24"/>
          <w:szCs w:val="24"/>
        </w:rPr>
      </w:pPr>
      <w:r w:rsidRPr="00182417">
        <w:rPr>
          <w:rFonts w:ascii="Times New Roman" w:hAnsi="Times New Roman" w:cs="Times New Roman"/>
          <w:sz w:val="24"/>
          <w:szCs w:val="24"/>
        </w:rPr>
        <w:t>As tenants in common, you and Betty owned a £525,000 property. In contrast, shared tenancy transfers ownership to the surviving partner upon death. Tenancies in common allow each party's share of the property to be part of the deceased's estate, subject to intestacy. Intestacy laws would divide Betty's half-share (</w:t>
      </w:r>
      <w:r w:rsidR="00AC1ABA" w:rsidRPr="00182417">
        <w:rPr>
          <w:rFonts w:ascii="Times New Roman" w:hAnsi="Times New Roman" w:cs="Times New Roman"/>
          <w:sz w:val="24"/>
          <w:szCs w:val="24"/>
        </w:rPr>
        <w:t>£262,500</w:t>
      </w:r>
      <w:r w:rsidRPr="00182417">
        <w:rPr>
          <w:rFonts w:ascii="Times New Roman" w:hAnsi="Times New Roman" w:cs="Times New Roman"/>
          <w:sz w:val="24"/>
          <w:szCs w:val="24"/>
        </w:rPr>
        <w:t xml:space="preserve">) into her estate. The £220,000 mortgage will </w:t>
      </w:r>
      <w:r w:rsidR="00AC1ABA" w:rsidRPr="00182417">
        <w:rPr>
          <w:rFonts w:ascii="Times New Roman" w:hAnsi="Times New Roman" w:cs="Times New Roman"/>
          <w:sz w:val="24"/>
          <w:szCs w:val="24"/>
        </w:rPr>
        <w:t>need</w:t>
      </w:r>
      <w:r w:rsidRPr="00182417">
        <w:rPr>
          <w:rFonts w:ascii="Times New Roman" w:hAnsi="Times New Roman" w:cs="Times New Roman"/>
          <w:sz w:val="24"/>
          <w:szCs w:val="24"/>
        </w:rPr>
        <w:t xml:space="preserve"> to be paid from estate money before beneficiaries are distributed.</w:t>
      </w:r>
    </w:p>
    <w:p w14:paraId="791142D3" w14:textId="41D83524" w:rsidR="00182417" w:rsidRPr="00182417" w:rsidRDefault="00182417" w:rsidP="00182417">
      <w:pPr>
        <w:spacing w:line="360" w:lineRule="auto"/>
        <w:jc w:val="both"/>
        <w:rPr>
          <w:rFonts w:ascii="Times New Roman" w:hAnsi="Times New Roman" w:cs="Times New Roman"/>
          <w:sz w:val="24"/>
          <w:szCs w:val="24"/>
        </w:rPr>
      </w:pPr>
      <w:r w:rsidRPr="00182417">
        <w:rPr>
          <w:rFonts w:ascii="Times New Roman" w:hAnsi="Times New Roman" w:cs="Times New Roman"/>
          <w:sz w:val="24"/>
          <w:szCs w:val="24"/>
        </w:rPr>
        <w:t>The £350,000 Norwich investment home Betty owned was completely hers. This property is not jointly owned, so it will go to her estate and be distributed under intestacy rules without partner inheritance rights. This arrangement prioritises legally recognised family members even without a will for non-joint assets.</w:t>
      </w:r>
    </w:p>
    <w:p w14:paraId="696691B9" w14:textId="51ABAB51" w:rsidR="00182417" w:rsidRPr="00182417" w:rsidRDefault="00182417" w:rsidP="00182417">
      <w:pPr>
        <w:spacing w:line="360" w:lineRule="auto"/>
        <w:jc w:val="both"/>
        <w:rPr>
          <w:rFonts w:ascii="Times New Roman" w:hAnsi="Times New Roman" w:cs="Times New Roman"/>
          <w:sz w:val="24"/>
          <w:szCs w:val="24"/>
        </w:rPr>
      </w:pPr>
      <w:r w:rsidRPr="00182417">
        <w:rPr>
          <w:rFonts w:ascii="Times New Roman" w:hAnsi="Times New Roman" w:cs="Times New Roman"/>
          <w:sz w:val="24"/>
          <w:szCs w:val="24"/>
        </w:rPr>
        <w:lastRenderedPageBreak/>
        <w:t>Betty's valuables, jewellery, and other assets total £33,000. Her funds, shares, and investments total £417,000. Before liabilities like the mortgage, these assets total £450,000, valuing the estate at £1.1 million. These assets will be allocated to eligible heirs under intestacy regulations once debts and liabilities are paid.</w:t>
      </w:r>
    </w:p>
    <w:p w14:paraId="1E4ED770" w14:textId="6A92B518" w:rsidR="00182417" w:rsidRDefault="00182417" w:rsidP="00182417">
      <w:pPr>
        <w:spacing w:line="360" w:lineRule="auto"/>
        <w:jc w:val="both"/>
        <w:rPr>
          <w:rFonts w:ascii="Times New Roman" w:hAnsi="Times New Roman" w:cs="Times New Roman"/>
          <w:sz w:val="24"/>
          <w:szCs w:val="24"/>
        </w:rPr>
      </w:pPr>
      <w:r w:rsidRPr="00182417">
        <w:rPr>
          <w:rFonts w:ascii="Times New Roman" w:hAnsi="Times New Roman" w:cs="Times New Roman"/>
          <w:sz w:val="24"/>
          <w:szCs w:val="24"/>
        </w:rPr>
        <w:t xml:space="preserve">The foregoing amounts would represent Matthew's inheritance if he </w:t>
      </w:r>
      <w:r w:rsidR="00AC1ABA" w:rsidRPr="00182417">
        <w:rPr>
          <w:rFonts w:ascii="Times New Roman" w:hAnsi="Times New Roman" w:cs="Times New Roman"/>
          <w:sz w:val="24"/>
          <w:szCs w:val="24"/>
        </w:rPr>
        <w:t>were</w:t>
      </w:r>
      <w:r w:rsidRPr="00182417">
        <w:rPr>
          <w:rFonts w:ascii="Times New Roman" w:hAnsi="Times New Roman" w:cs="Times New Roman"/>
          <w:sz w:val="24"/>
          <w:szCs w:val="24"/>
        </w:rPr>
        <w:t xml:space="preserve"> Betty's sole heir. Alison and Heather would </w:t>
      </w:r>
      <w:r w:rsidR="00AC1ABA" w:rsidRPr="00182417">
        <w:rPr>
          <w:rFonts w:ascii="Times New Roman" w:hAnsi="Times New Roman" w:cs="Times New Roman"/>
          <w:sz w:val="24"/>
          <w:szCs w:val="24"/>
        </w:rPr>
        <w:t>split</w:t>
      </w:r>
      <w:r w:rsidRPr="00182417">
        <w:rPr>
          <w:rFonts w:ascii="Times New Roman" w:hAnsi="Times New Roman" w:cs="Times New Roman"/>
          <w:sz w:val="24"/>
          <w:szCs w:val="24"/>
        </w:rPr>
        <w:t xml:space="preserve"> the estate equally if Matthew is disqualified, keeping the estate in the closest bloodline under intestacy regulations</w:t>
      </w:r>
      <w:r w:rsidR="00AC1ABA" w:rsidRPr="00182417">
        <w:rPr>
          <w:rFonts w:ascii="Times New Roman" w:hAnsi="Times New Roman" w:cs="Times New Roman"/>
          <w:sz w:val="24"/>
          <w:szCs w:val="24"/>
        </w:rPr>
        <w:t>.</w:t>
      </w:r>
      <w:r w:rsidR="00AC1ABA">
        <w:rPr>
          <w:rFonts w:ascii="Times New Roman" w:hAnsi="Times New Roman" w:cs="Times New Roman"/>
          <w:sz w:val="24"/>
          <w:szCs w:val="24"/>
        </w:rPr>
        <w:t xml:space="preserve"> </w:t>
      </w:r>
      <w:r>
        <w:rPr>
          <w:rFonts w:ascii="Times New Roman" w:eastAsia="Times New Roman" w:hAnsi="Times New Roman" w:cs="Times New Roman"/>
          <w:sz w:val="24"/>
          <w:szCs w:val="24"/>
        </w:rPr>
        <w:t xml:space="preserve">If a relative dies, their children will inherit their parent's share in stirpes. Due to the death of Betty's brother, Ivan, Ivan's children will inherit his share of the estate. Oliver (aged 23) and Unity (aged 17) will inherit their father's share in equal shares but will depend on the amount of Betty's remaining </w:t>
      </w:r>
      <w:r w:rsidR="00AC1ABA">
        <w:rPr>
          <w:rFonts w:ascii="Times New Roman" w:eastAsia="Times New Roman" w:hAnsi="Times New Roman" w:cs="Times New Roman"/>
          <w:sz w:val="24"/>
          <w:szCs w:val="24"/>
        </w:rPr>
        <w:t>estate.</w:t>
      </w:r>
    </w:p>
    <w:p w14:paraId="29268F7D" w14:textId="2C99AB56" w:rsidR="00494E6A" w:rsidRPr="00494E6A" w:rsidRDefault="00494E6A" w:rsidP="00182417">
      <w:pPr>
        <w:spacing w:line="360" w:lineRule="auto"/>
        <w:jc w:val="both"/>
        <w:rPr>
          <w:rFonts w:ascii="Times New Roman" w:hAnsi="Times New Roman" w:cs="Times New Roman"/>
          <w:b/>
          <w:bCs/>
          <w:sz w:val="24"/>
          <w:szCs w:val="24"/>
        </w:rPr>
      </w:pPr>
      <w:r w:rsidRPr="00494E6A">
        <w:rPr>
          <w:rFonts w:ascii="Times New Roman" w:hAnsi="Times New Roman" w:cs="Times New Roman"/>
          <w:b/>
          <w:bCs/>
          <w:sz w:val="24"/>
          <w:szCs w:val="24"/>
        </w:rPr>
        <w:t>Possible Inheritance (Provision for Family and Dependents) Act 1975 Claim</w:t>
      </w:r>
    </w:p>
    <w:p w14:paraId="475B7E82" w14:textId="77777777" w:rsidR="00494E6A" w:rsidRP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Our cooperation with Betty may allow you to claim under the Inheritance (Provision for Family and Dependents) Act 1975, which permits certain dependents to apply for financial provision from an estate even if they do not inherit under intestacy. Hudson-Hathway [2023] If they can prove dependency on the deceased, non-married partners may be eligible for claims under EWCA Civ 32. The relationship, financial dependency, and estate value are considered by the court.</w:t>
      </w:r>
    </w:p>
    <w:p w14:paraId="5D682A7D" w14:textId="2F2C5B85" w:rsidR="00494E6A" w:rsidRDefault="00494E6A" w:rsidP="00494E6A">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This path requires proof of your shared life, financial dependency, and household contributions. If you can prove high reliance, a claim under the 1975 Act may gain you a reasonable inheritance from Betty's estate.</w:t>
      </w:r>
    </w:p>
    <w:p w14:paraId="46EEF122" w14:textId="090B214F" w:rsidR="007565FF" w:rsidRDefault="007565FF" w:rsidP="007565FF">
      <w:pPr>
        <w:pStyle w:val="Heading2"/>
      </w:pPr>
      <w:bookmarkStart w:id="4" w:name="_Toc181880175"/>
      <w:bookmarkStart w:id="5" w:name="_Toc182009132"/>
      <w:r>
        <w:t xml:space="preserve">b) </w:t>
      </w:r>
      <w:r w:rsidR="00AC1ABA">
        <w:t>W</w:t>
      </w:r>
      <w:r>
        <w:t xml:space="preserve">ho is the most appropriate person to take out the Grant of Representation and </w:t>
      </w:r>
      <w:r w:rsidR="00AC1ABA">
        <w:t>explain</w:t>
      </w:r>
      <w:r>
        <w:t xml:space="preserve"> what their powers and obligations would be under Section 33 of the Administration of Estates Act 1925.</w:t>
      </w:r>
      <w:bookmarkEnd w:id="4"/>
      <w:bookmarkEnd w:id="5"/>
    </w:p>
    <w:p w14:paraId="72A2DB9E" w14:textId="783B3F5F" w:rsidR="001A5DCD" w:rsidRDefault="001A5DCD" w:rsidP="001A5DCD">
      <w:pPr>
        <w:spacing w:line="360" w:lineRule="auto"/>
        <w:jc w:val="both"/>
        <w:rPr>
          <w:rFonts w:ascii="Times New Roman" w:hAnsi="Times New Roman" w:cs="Times New Roman"/>
          <w:sz w:val="24"/>
          <w:szCs w:val="24"/>
        </w:rPr>
      </w:pPr>
      <w:r w:rsidRPr="00494E6A">
        <w:rPr>
          <w:rFonts w:ascii="Times New Roman" w:hAnsi="Times New Roman" w:cs="Times New Roman"/>
          <w:sz w:val="24"/>
          <w:szCs w:val="24"/>
        </w:rPr>
        <w:t>In the absence of a will, a Grant of Representation must be awarded to a representative who will collect assets, settle liabilities, and distribute the remaining assets according to intestacy law. The closest next of kin applies for this grant first under Section 33 of the Administration of Estates Act 1925</w:t>
      </w:r>
      <w:r w:rsidR="00AC1ABA">
        <w:rPr>
          <w:rFonts w:ascii="Times New Roman" w:hAnsi="Times New Roman" w:cs="Times New Roman"/>
          <w:sz w:val="24"/>
          <w:szCs w:val="24"/>
        </w:rPr>
        <w:t>,</w:t>
      </w:r>
    </w:p>
    <w:p w14:paraId="2F288A4D" w14:textId="0067CDF2" w:rsidR="001A5DCD" w:rsidRPr="001A5DCD" w:rsidRDefault="001A5DCD" w:rsidP="001A5DCD">
      <w:pPr>
        <w:spacing w:line="360" w:lineRule="auto"/>
        <w:jc w:val="both"/>
        <w:rPr>
          <w:rFonts w:ascii="Times New Roman" w:hAnsi="Times New Roman" w:cs="Times New Roman"/>
          <w:b/>
          <w:bCs/>
          <w:sz w:val="24"/>
          <w:szCs w:val="24"/>
        </w:rPr>
      </w:pPr>
      <w:r w:rsidRPr="001A5DCD">
        <w:rPr>
          <w:rFonts w:ascii="Times New Roman" w:hAnsi="Times New Roman" w:cs="Times New Roman"/>
          <w:b/>
          <w:bCs/>
          <w:sz w:val="24"/>
          <w:szCs w:val="24"/>
        </w:rPr>
        <w:t>The Administrator's Duties</w:t>
      </w:r>
    </w:p>
    <w:p w14:paraId="414E6B36" w14:textId="77777777"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Section 33 of the Administration of Estates Act 1925 assigns Matthew a variety of duties as administrator. As Betty's administrator, Matthew would have these duties:</w:t>
      </w:r>
    </w:p>
    <w:p w14:paraId="7A415541" w14:textId="4D58645D"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lastRenderedPageBreak/>
        <w:t>The administrator's first task is to locate and collect the deceased's assets. Matthew would locate and secure Betty's properties, personal items, financial accounts, investments, and other assets. White v. Brown (2019) In this function, EWHC 450 emphasises thoroughness and speed. At that time, the court stressed that administrators must carefully gather and secure assets to ensure fair distribution to beneficiaries.</w:t>
      </w:r>
    </w:p>
    <w:p w14:paraId="7BC0EE27" w14:textId="62A3BC2D" w:rsidR="001A5DCD" w:rsidRPr="001A5DCD" w:rsidRDefault="00AC1ABA"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The administrator also requires an estate asset valuation</w:t>
      </w:r>
      <w:r w:rsidR="001A5DCD" w:rsidRPr="001A5DCD">
        <w:rPr>
          <w:rFonts w:ascii="Times New Roman" w:hAnsi="Times New Roman" w:cs="Times New Roman"/>
          <w:sz w:val="24"/>
          <w:szCs w:val="24"/>
        </w:rPr>
        <w:t>. This appraisal is vital for computing inheritance tax and ensuring that transfers match estate worth. In Re Smith's Will Trusts [2022] EWHC 1248 (Ch), the court reiterated that an administrator's failure to accurately value assets could lead to legal issues or disproportional inheritance. If Matthew becomes administrator, he must carefully process this value to maintain the estate's integrity and beneficiaries' rights.</w:t>
      </w:r>
    </w:p>
    <w:p w14:paraId="62EDAFE3" w14:textId="321D96C2"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After the assets are secured, the administrator must pay estate debts and responsibilities. Betty would repay the £220,000 mortgage on the property you jointly own and other financial obligations. In Re Smith's Will Trusts </w:t>
      </w:r>
      <w:r w:rsidR="00AC1ABA">
        <w:rPr>
          <w:rFonts w:ascii="Times New Roman" w:hAnsi="Times New Roman" w:cs="Times New Roman"/>
          <w:sz w:val="24"/>
          <w:szCs w:val="24"/>
        </w:rPr>
        <w:t>(</w:t>
      </w:r>
      <w:r w:rsidRPr="001A5DCD">
        <w:rPr>
          <w:rFonts w:ascii="Times New Roman" w:hAnsi="Times New Roman" w:cs="Times New Roman"/>
          <w:sz w:val="24"/>
          <w:szCs w:val="24"/>
        </w:rPr>
        <w:t>2022</w:t>
      </w:r>
      <w:r w:rsidR="00AC1ABA">
        <w:rPr>
          <w:rFonts w:ascii="Times New Roman" w:hAnsi="Times New Roman" w:cs="Times New Roman"/>
          <w:sz w:val="24"/>
          <w:szCs w:val="24"/>
        </w:rPr>
        <w:t>)</w:t>
      </w:r>
      <w:r w:rsidRPr="001A5DCD">
        <w:rPr>
          <w:rFonts w:ascii="Times New Roman" w:hAnsi="Times New Roman" w:cs="Times New Roman"/>
          <w:sz w:val="24"/>
          <w:szCs w:val="24"/>
        </w:rPr>
        <w:t xml:space="preserve"> EWHC 1248 (Ch), debt repayments and financial prudence are stressed. That court cautioned administrators that incorrect debt management can have serious legal consequences.</w:t>
      </w:r>
    </w:p>
    <w:p w14:paraId="13FA375D" w14:textId="64B9DC46"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The distribution method prioritises debts over beneficiary rights, making this duty crucial. If Matthew </w:t>
      </w:r>
      <w:r w:rsidR="00AC1ABA" w:rsidRPr="001A5DCD">
        <w:rPr>
          <w:rFonts w:ascii="Times New Roman" w:hAnsi="Times New Roman" w:cs="Times New Roman"/>
          <w:sz w:val="24"/>
          <w:szCs w:val="24"/>
        </w:rPr>
        <w:t>does not</w:t>
      </w:r>
      <w:r w:rsidRPr="001A5DCD">
        <w:rPr>
          <w:rFonts w:ascii="Times New Roman" w:hAnsi="Times New Roman" w:cs="Times New Roman"/>
          <w:sz w:val="24"/>
          <w:szCs w:val="24"/>
        </w:rPr>
        <w:t xml:space="preserve"> meet these commitments, he may be liable for estate claims. Ensuring all liabilities are met protects the estate's worth and beneficiaries from problems or inheritance reductions</w:t>
      </w:r>
      <w:r>
        <w:rPr>
          <w:rFonts w:ascii="Times New Roman" w:hAnsi="Times New Roman" w:cs="Times New Roman"/>
          <w:sz w:val="24"/>
          <w:szCs w:val="24"/>
        </w:rPr>
        <w:t>.</w:t>
      </w:r>
    </w:p>
    <w:p w14:paraId="5ECEF66D" w14:textId="37564358"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Administrators distribute residual assets to eligible recipients after resolving estate liabilities. The 1925 Administration of Estates Act governs asset distribution under intestacy. If Betty's only heir is Matthew, </w:t>
      </w:r>
      <w:r w:rsidR="00AC1ABA" w:rsidRPr="001A5DCD">
        <w:rPr>
          <w:rFonts w:ascii="Times New Roman" w:hAnsi="Times New Roman" w:cs="Times New Roman"/>
          <w:sz w:val="24"/>
          <w:szCs w:val="24"/>
        </w:rPr>
        <w:t>he will</w:t>
      </w:r>
      <w:r w:rsidRPr="001A5DCD">
        <w:rPr>
          <w:rFonts w:ascii="Times New Roman" w:hAnsi="Times New Roman" w:cs="Times New Roman"/>
          <w:sz w:val="24"/>
          <w:szCs w:val="24"/>
        </w:rPr>
        <w:t xml:space="preserve"> inherit everything. An estate distribution must be altered if other qualifying beneficiaries or a dependency claim under the Inheritance (Provision for Family and Dependents) Act 1975 are successful.</w:t>
      </w:r>
    </w:p>
    <w:p w14:paraId="094709C7" w14:textId="2EA3B6B9"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This distribution method must be transparent and fair, as the court ruled in Re Cooper's Estate </w:t>
      </w:r>
      <w:r w:rsidR="00AC1ABA">
        <w:rPr>
          <w:rFonts w:ascii="Times New Roman" w:hAnsi="Times New Roman" w:cs="Times New Roman"/>
          <w:sz w:val="24"/>
          <w:szCs w:val="24"/>
        </w:rPr>
        <w:t>(</w:t>
      </w:r>
      <w:r w:rsidRPr="001A5DCD">
        <w:rPr>
          <w:rFonts w:ascii="Times New Roman" w:hAnsi="Times New Roman" w:cs="Times New Roman"/>
          <w:sz w:val="24"/>
          <w:szCs w:val="24"/>
        </w:rPr>
        <w:t>2021</w:t>
      </w:r>
      <w:r w:rsidR="00AC1ABA">
        <w:rPr>
          <w:rFonts w:ascii="Times New Roman" w:hAnsi="Times New Roman" w:cs="Times New Roman"/>
          <w:sz w:val="24"/>
          <w:szCs w:val="24"/>
        </w:rPr>
        <w:t>)</w:t>
      </w:r>
      <w:r w:rsidRPr="001A5DCD">
        <w:rPr>
          <w:rFonts w:ascii="Times New Roman" w:hAnsi="Times New Roman" w:cs="Times New Roman"/>
          <w:sz w:val="24"/>
          <w:szCs w:val="24"/>
        </w:rPr>
        <w:t xml:space="preserve"> EWHC 457 (Ch) that administrators must distribute assets impartially and legally. If a dependency claim occurs, Matthew must change the distribution plan. Being unbiased and open would accomplish his commitment to distribute assets fairly and legally.</w:t>
      </w:r>
    </w:p>
    <w:p w14:paraId="3B893072" w14:textId="3356746E"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Matthew would be obligated to serve the estate and its beneficiaries as administrator. This role demands ethical and legal compliance and cautious estate asset management. Administrators must avoid self-dealing, conflicts of interest, and prudent asset management. Re Cooper's </w:t>
      </w:r>
      <w:r w:rsidRPr="001A5DCD">
        <w:rPr>
          <w:rFonts w:ascii="Times New Roman" w:hAnsi="Times New Roman" w:cs="Times New Roman"/>
          <w:sz w:val="24"/>
          <w:szCs w:val="24"/>
        </w:rPr>
        <w:lastRenderedPageBreak/>
        <w:t xml:space="preserve">Estate </w:t>
      </w:r>
      <w:r w:rsidR="00AC1ABA">
        <w:rPr>
          <w:rFonts w:ascii="Times New Roman" w:hAnsi="Times New Roman" w:cs="Times New Roman"/>
          <w:sz w:val="24"/>
          <w:szCs w:val="24"/>
        </w:rPr>
        <w:t>(</w:t>
      </w:r>
      <w:r w:rsidRPr="001A5DCD">
        <w:rPr>
          <w:rFonts w:ascii="Times New Roman" w:hAnsi="Times New Roman" w:cs="Times New Roman"/>
          <w:sz w:val="24"/>
          <w:szCs w:val="24"/>
        </w:rPr>
        <w:t>2021</w:t>
      </w:r>
      <w:r w:rsidR="00AC1ABA">
        <w:rPr>
          <w:rFonts w:ascii="Times New Roman" w:hAnsi="Times New Roman" w:cs="Times New Roman"/>
          <w:sz w:val="24"/>
          <w:szCs w:val="24"/>
        </w:rPr>
        <w:t>)</w:t>
      </w:r>
      <w:r w:rsidRPr="001A5DCD">
        <w:rPr>
          <w:rFonts w:ascii="Times New Roman" w:hAnsi="Times New Roman" w:cs="Times New Roman"/>
          <w:sz w:val="24"/>
          <w:szCs w:val="24"/>
        </w:rPr>
        <w:t xml:space="preserve"> expanded the fiduciary obligation of integrity by requiring administrators to behave honestly and diligently.</w:t>
      </w:r>
    </w:p>
    <w:p w14:paraId="3BC5673D" w14:textId="1EF7809B"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Asset security, financial transparency, and beneficiary enquiries are part of this role. Administrators must avoid actions that could harm the estate's worth or beneficiaries' rights. Fiduciary breaches are closely scrutinised by </w:t>
      </w:r>
      <w:r w:rsidR="00AC1ABA" w:rsidRPr="001A5DCD">
        <w:rPr>
          <w:rFonts w:ascii="Times New Roman" w:hAnsi="Times New Roman" w:cs="Times New Roman"/>
          <w:sz w:val="24"/>
          <w:szCs w:val="24"/>
        </w:rPr>
        <w:t>courts;</w:t>
      </w:r>
      <w:r w:rsidRPr="001A5DCD">
        <w:rPr>
          <w:rFonts w:ascii="Times New Roman" w:hAnsi="Times New Roman" w:cs="Times New Roman"/>
          <w:sz w:val="24"/>
          <w:szCs w:val="24"/>
        </w:rPr>
        <w:t xml:space="preserve"> </w:t>
      </w:r>
      <w:r w:rsidR="00AC1ABA" w:rsidRPr="001A5DCD">
        <w:rPr>
          <w:rFonts w:ascii="Times New Roman" w:hAnsi="Times New Roman" w:cs="Times New Roman"/>
          <w:sz w:val="24"/>
          <w:szCs w:val="24"/>
        </w:rPr>
        <w:t>thus,</w:t>
      </w:r>
      <w:r w:rsidRPr="001A5DCD">
        <w:rPr>
          <w:rFonts w:ascii="Times New Roman" w:hAnsi="Times New Roman" w:cs="Times New Roman"/>
          <w:sz w:val="24"/>
          <w:szCs w:val="24"/>
        </w:rPr>
        <w:t xml:space="preserve"> Matthew could be fired if he violates them.</w:t>
      </w:r>
    </w:p>
    <w:p w14:paraId="36461F06" w14:textId="6A593999" w:rsidR="001A5DCD" w:rsidRPr="001A5DCD" w:rsidRDefault="001A5DCD" w:rsidP="001A5DCD">
      <w:pPr>
        <w:spacing w:line="360" w:lineRule="auto"/>
        <w:jc w:val="both"/>
        <w:rPr>
          <w:rFonts w:ascii="Times New Roman" w:hAnsi="Times New Roman" w:cs="Times New Roman"/>
          <w:b/>
          <w:bCs/>
          <w:sz w:val="24"/>
          <w:szCs w:val="24"/>
        </w:rPr>
      </w:pPr>
      <w:r w:rsidRPr="001A5DCD">
        <w:rPr>
          <w:rFonts w:ascii="Times New Roman" w:hAnsi="Times New Roman" w:cs="Times New Roman"/>
          <w:b/>
          <w:bCs/>
          <w:sz w:val="24"/>
          <w:szCs w:val="24"/>
        </w:rPr>
        <w:t xml:space="preserve">Option if Matthew declines or cannot </w:t>
      </w:r>
      <w:r w:rsidR="00AC1ABA" w:rsidRPr="001A5DCD">
        <w:rPr>
          <w:rFonts w:ascii="Times New Roman" w:hAnsi="Times New Roman" w:cs="Times New Roman"/>
          <w:b/>
          <w:bCs/>
          <w:sz w:val="24"/>
          <w:szCs w:val="24"/>
        </w:rPr>
        <w:t>serve.</w:t>
      </w:r>
    </w:p>
    <w:p w14:paraId="79A38955" w14:textId="369D03FF"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The Administration of Estates Act 1925 establishes a hierarchy for substituting administrators if Matthew declines. Alison and Heather, Betty's sisters, would take precedence. Siblings and other near relatives can apply for the Grant of Representation under Section 33 of the Act if no closer relatives are available or willing.</w:t>
      </w:r>
    </w:p>
    <w:p w14:paraId="3B959F45" w14:textId="2D284540"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With this function, Alison or Heather would have to gather and manage assets, settle debts, and ensure equitable distribution among recipients. The Act's rigorous criteria should be followed by family members administering </w:t>
      </w:r>
      <w:r w:rsidR="00AC1ABA" w:rsidRPr="001A5DCD">
        <w:rPr>
          <w:rFonts w:ascii="Times New Roman" w:hAnsi="Times New Roman" w:cs="Times New Roman"/>
          <w:sz w:val="24"/>
          <w:szCs w:val="24"/>
        </w:rPr>
        <w:t>estates;</w:t>
      </w:r>
      <w:r w:rsidRPr="001A5DCD">
        <w:rPr>
          <w:rFonts w:ascii="Times New Roman" w:hAnsi="Times New Roman" w:cs="Times New Roman"/>
          <w:sz w:val="24"/>
          <w:szCs w:val="24"/>
        </w:rPr>
        <w:t xml:space="preserve"> </w:t>
      </w:r>
      <w:r w:rsidR="00AC1ABA" w:rsidRPr="001A5DCD">
        <w:rPr>
          <w:rFonts w:ascii="Times New Roman" w:hAnsi="Times New Roman" w:cs="Times New Roman"/>
          <w:sz w:val="24"/>
          <w:szCs w:val="24"/>
        </w:rPr>
        <w:t>therefore,</w:t>
      </w:r>
      <w:r w:rsidRPr="001A5DCD">
        <w:rPr>
          <w:rFonts w:ascii="Times New Roman" w:hAnsi="Times New Roman" w:cs="Times New Roman"/>
          <w:sz w:val="24"/>
          <w:szCs w:val="24"/>
        </w:rPr>
        <w:t xml:space="preserve"> they should consult with lawyers.</w:t>
      </w:r>
    </w:p>
    <w:p w14:paraId="4459744A" w14:textId="17AA661A" w:rsidR="001A5DCD" w:rsidRPr="001A5DCD" w:rsidRDefault="001A5DCD" w:rsidP="001A5DCD">
      <w:pPr>
        <w:spacing w:line="360" w:lineRule="auto"/>
        <w:jc w:val="both"/>
        <w:rPr>
          <w:rFonts w:ascii="Times New Roman" w:hAnsi="Times New Roman" w:cs="Times New Roman"/>
          <w:b/>
          <w:bCs/>
          <w:sz w:val="24"/>
          <w:szCs w:val="24"/>
        </w:rPr>
      </w:pPr>
      <w:r w:rsidRPr="001A5DCD">
        <w:rPr>
          <w:rFonts w:ascii="Times New Roman" w:hAnsi="Times New Roman" w:cs="Times New Roman"/>
          <w:b/>
          <w:bCs/>
          <w:sz w:val="24"/>
          <w:szCs w:val="24"/>
        </w:rPr>
        <w:t>Potential Long-Term Partner for Betty</w:t>
      </w:r>
    </w:p>
    <w:p w14:paraId="402A1C96" w14:textId="1972C8D2"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 xml:space="preserve">As Betty's long-term companion, you may submit an administrator application if no immediate family </w:t>
      </w:r>
      <w:r w:rsidR="00AC1ABA" w:rsidRPr="001A5DCD">
        <w:rPr>
          <w:rFonts w:ascii="Times New Roman" w:hAnsi="Times New Roman" w:cs="Times New Roman"/>
          <w:sz w:val="24"/>
          <w:szCs w:val="24"/>
        </w:rPr>
        <w:t>member’s</w:t>
      </w:r>
      <w:r w:rsidRPr="001A5DCD">
        <w:rPr>
          <w:rFonts w:ascii="Times New Roman" w:hAnsi="Times New Roman" w:cs="Times New Roman"/>
          <w:sz w:val="24"/>
          <w:szCs w:val="24"/>
        </w:rPr>
        <w:t xml:space="preserve"> volunteer. While intestacy rules do not recognise you as a legal heir, court precedents suggest that financially or emotionally dependent partners may be considered for administrative tasks. Hathway-Hudson [2023] EWCA Civ 32 shows that the court will examine cohabitating partners' unique status if they can show dependency or a prolonged relationship with the deceased.</w:t>
      </w:r>
    </w:p>
    <w:p w14:paraId="2A978EB8" w14:textId="77777777" w:rsidR="001A5DCD" w:rsidRPr="001A5DCD" w:rsidRDefault="001A5DCD" w:rsidP="001A5DCD">
      <w:pPr>
        <w:spacing w:line="360" w:lineRule="auto"/>
        <w:jc w:val="both"/>
        <w:rPr>
          <w:rFonts w:ascii="Times New Roman" w:hAnsi="Times New Roman" w:cs="Times New Roman"/>
          <w:sz w:val="24"/>
          <w:szCs w:val="24"/>
        </w:rPr>
      </w:pPr>
      <w:r w:rsidRPr="001A5DCD">
        <w:rPr>
          <w:rFonts w:ascii="Times New Roman" w:hAnsi="Times New Roman" w:cs="Times New Roman"/>
          <w:sz w:val="24"/>
          <w:szCs w:val="24"/>
        </w:rPr>
        <w:t>A long-time partner's dependency claim was examined in Hudson v. Hathway [2023]. Although not inherently qualified under intestacy regulations, the partner's dependent on the deceased warranted administrative examination. Therefore, if you can show financial contributions, shared home expenses, or Betty's support, the court may see your stance as best for the estate and beneficiaries. This requires a formal application and potentially family consent.</w:t>
      </w:r>
    </w:p>
    <w:p w14:paraId="0A7047A4" w14:textId="77777777" w:rsidR="00333DDB" w:rsidRDefault="00333DDB" w:rsidP="00333DDB">
      <w:pPr>
        <w:pStyle w:val="Heading1"/>
      </w:pPr>
      <w:bookmarkStart w:id="6" w:name="_Toc181880176"/>
      <w:bookmarkStart w:id="7" w:name="_Toc182009133"/>
      <w:r>
        <w:t>Question 2</w:t>
      </w:r>
      <w:bookmarkEnd w:id="6"/>
      <w:bookmarkEnd w:id="7"/>
    </w:p>
    <w:p w14:paraId="1079198D" w14:textId="77777777" w:rsidR="00333DDB" w:rsidRDefault="00333DDB" w:rsidP="00333DDB">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Draft a letter of advice to Sam, explaining:</w:t>
      </w:r>
    </w:p>
    <w:p w14:paraId="17064653" w14:textId="792B6CEE" w:rsidR="007565FF" w:rsidRPr="007565FF" w:rsidRDefault="00333DDB" w:rsidP="00333DDB">
      <w:pPr>
        <w:pStyle w:val="Heading2"/>
      </w:pPr>
      <w:bookmarkStart w:id="8" w:name="_Toc181880177"/>
      <w:bookmarkStart w:id="9" w:name="_Toc182009134"/>
      <w:r>
        <w:t>The validity and effect of each of the gifts in Jackie’s will</w:t>
      </w:r>
      <w:bookmarkEnd w:id="8"/>
      <w:bookmarkEnd w:id="9"/>
    </w:p>
    <w:p w14:paraId="6F2CC434" w14:textId="01D399A4" w:rsidR="007565FF" w:rsidRDefault="00453F49" w:rsidP="007565FF">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06.11.2024</w:t>
      </w:r>
    </w:p>
    <w:p w14:paraId="2370004B" w14:textId="3D66395F" w:rsidR="007565FF" w:rsidRDefault="007565FF" w:rsidP="007565FF">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Sam Fowkes</w:t>
      </w:r>
      <w:r>
        <w:rPr>
          <w:rFonts w:ascii="Times New Roman" w:eastAsia="Times New Roman" w:hAnsi="Times New Roman" w:cs="Times New Roman"/>
          <w:sz w:val="24"/>
          <w:szCs w:val="24"/>
        </w:rPr>
        <w:br/>
      </w:r>
      <w:r w:rsidR="00AC1ABA">
        <w:rPr>
          <w:rFonts w:ascii="Times New Roman" w:eastAsia="Times New Roman" w:hAnsi="Times New Roman" w:cs="Times New Roman"/>
          <w:sz w:val="24"/>
          <w:szCs w:val="24"/>
        </w:rPr>
        <w:t xml:space="preserve">1 </w:t>
      </w:r>
      <w:r w:rsidR="00453F49">
        <w:rPr>
          <w:rFonts w:ascii="Times New Roman" w:eastAsia="Times New Roman" w:hAnsi="Times New Roman" w:cs="Times New Roman"/>
          <w:sz w:val="24"/>
          <w:szCs w:val="24"/>
        </w:rPr>
        <w:t>Lime Grove</w:t>
      </w:r>
      <w:r>
        <w:rPr>
          <w:rFonts w:ascii="Times New Roman" w:eastAsia="Times New Roman" w:hAnsi="Times New Roman" w:cs="Times New Roman"/>
          <w:sz w:val="24"/>
          <w:szCs w:val="24"/>
        </w:rPr>
        <w:br/>
      </w:r>
      <w:r w:rsidR="00453F49">
        <w:rPr>
          <w:rFonts w:ascii="Times New Roman" w:eastAsia="Times New Roman" w:hAnsi="Times New Roman" w:cs="Times New Roman"/>
          <w:sz w:val="24"/>
          <w:szCs w:val="24"/>
        </w:rPr>
        <w:t>Cardiff, CF5 3TZ</w:t>
      </w:r>
    </w:p>
    <w:p w14:paraId="1AC80B66" w14:textId="77777777" w:rsidR="007565FF" w:rsidRDefault="007565FF" w:rsidP="007565FF">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Dear Sam,</w:t>
      </w:r>
    </w:p>
    <w:p w14:paraId="7D0DAD74" w14:textId="77777777" w:rsidR="00AC1ABA" w:rsidRDefault="00AC1ABA" w:rsidP="007565FF">
      <w:pPr>
        <w:spacing w:before="240" w:after="240" w:line="360" w:lineRule="auto"/>
        <w:jc w:val="center"/>
        <w:rPr>
          <w:rFonts w:ascii="Times New Roman" w:eastAsia="Times New Roman" w:hAnsi="Times New Roman" w:cs="Times New Roman"/>
          <w:b/>
          <w:sz w:val="24"/>
          <w:szCs w:val="24"/>
        </w:rPr>
      </w:pPr>
    </w:p>
    <w:p w14:paraId="076A0CD8" w14:textId="638EEC57" w:rsidR="007565FF" w:rsidRDefault="007565FF" w:rsidP="007565F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 Validity and Effect of the Gifts in Jackie Grey’s Will</w:t>
      </w:r>
    </w:p>
    <w:p w14:paraId="6D0B59DF" w14:textId="7224D72C"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Jackie's will </w:t>
      </w:r>
      <w:r w:rsidR="00AC1ABA" w:rsidRPr="007565FF">
        <w:rPr>
          <w:rFonts w:ascii="Times New Roman" w:hAnsi="Times New Roman" w:cs="Times New Roman"/>
          <w:sz w:val="24"/>
          <w:szCs w:val="24"/>
        </w:rPr>
        <w:t>be</w:t>
      </w:r>
      <w:r w:rsidRPr="007565FF">
        <w:rPr>
          <w:rFonts w:ascii="Times New Roman" w:hAnsi="Times New Roman" w:cs="Times New Roman"/>
          <w:sz w:val="24"/>
          <w:szCs w:val="24"/>
        </w:rPr>
        <w:t xml:space="preserve"> handwritten and has multiple modifications, so each bequest must be evaluated for legality and potential issues. The Wills Act 1837 mandates that will revisions be witnessed and executed with the same procedures as the original will. Not meeting these standards can invalidate modifications. The following sections explore Jackie's gifts and evaluate them according to legal norms.</w:t>
      </w:r>
    </w:p>
    <w:p w14:paraId="4252883F" w14:textId="1168D912" w:rsidR="007565FF" w:rsidRPr="007565FF" w:rsidRDefault="007565FF" w:rsidP="007565FF">
      <w:pPr>
        <w:spacing w:line="360" w:lineRule="auto"/>
        <w:jc w:val="both"/>
        <w:rPr>
          <w:rFonts w:ascii="Times New Roman" w:hAnsi="Times New Roman" w:cs="Times New Roman"/>
          <w:b/>
          <w:bCs/>
          <w:sz w:val="24"/>
          <w:szCs w:val="24"/>
        </w:rPr>
      </w:pPr>
      <w:r w:rsidRPr="007565FF">
        <w:rPr>
          <w:rFonts w:ascii="Times New Roman" w:hAnsi="Times New Roman" w:cs="Times New Roman"/>
          <w:b/>
          <w:bCs/>
          <w:sz w:val="24"/>
          <w:szCs w:val="24"/>
        </w:rPr>
        <w:t>1. “Classic Car” bequest to George</w:t>
      </w:r>
    </w:p>
    <w:p w14:paraId="38759222" w14:textId="7722E99B"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Jackie leaves her “classic car” to her son George. Jackie owned a Bentley and Jaguar when she died, making this clause questionable. Without naming the car, this language leaves the gift up to interpretation and may confuse beneficiaries.</w:t>
      </w:r>
    </w:p>
    <w:p w14:paraId="29A47537" w14:textId="10A3CE02"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You indicated that Jackie had told you she wanted George to inherit the Bentley during our discussion. While not part of the will, this spoken declaration may be interpretive. Re Smith's Will Trusts [2022] EWHC 1248 (Ch) confirmed that courts can interpret obscure will descriptions by assessing the testator's purpose. The court in Re Smith's Will Trusts noted that context can help explain an ambiguous provision, especially when it matches the testator's preferences.</w:t>
      </w:r>
    </w:p>
    <w:p w14:paraId="797310F6" w14:textId="0F2715D7"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Jackie's words may impact the court's perception of her intentions, but they cannot change the will. If the court believes Jackie intended the Bentley as George's present, it may give it to him. If this uncertainty cannot be resolved, the court may consider both cars part of the general estate unless convincing evidence supports the Bentley bequest. This illustrates the need of proper will wording to avoid disputes and </w:t>
      </w:r>
      <w:r w:rsidR="00AC1ABA" w:rsidRPr="007565FF">
        <w:rPr>
          <w:rFonts w:ascii="Times New Roman" w:hAnsi="Times New Roman" w:cs="Times New Roman"/>
          <w:sz w:val="24"/>
          <w:szCs w:val="24"/>
        </w:rPr>
        <w:t>conduct</w:t>
      </w:r>
      <w:r w:rsidRPr="007565FF">
        <w:rPr>
          <w:rFonts w:ascii="Times New Roman" w:hAnsi="Times New Roman" w:cs="Times New Roman"/>
          <w:sz w:val="24"/>
          <w:szCs w:val="24"/>
        </w:rPr>
        <w:t xml:space="preserve"> the testator's wishes.</w:t>
      </w:r>
    </w:p>
    <w:p w14:paraId="1E0AF042" w14:textId="6E2F08DF" w:rsidR="007565FF" w:rsidRPr="007565FF" w:rsidRDefault="007565FF" w:rsidP="007565FF">
      <w:pPr>
        <w:spacing w:line="360" w:lineRule="auto"/>
        <w:jc w:val="both"/>
        <w:rPr>
          <w:rFonts w:ascii="Times New Roman" w:hAnsi="Times New Roman" w:cs="Times New Roman"/>
          <w:b/>
          <w:bCs/>
          <w:sz w:val="24"/>
          <w:szCs w:val="24"/>
        </w:rPr>
      </w:pPr>
      <w:r w:rsidRPr="007565FF">
        <w:rPr>
          <w:rFonts w:ascii="Times New Roman" w:hAnsi="Times New Roman" w:cs="Times New Roman"/>
          <w:b/>
          <w:bCs/>
          <w:sz w:val="24"/>
          <w:szCs w:val="24"/>
        </w:rPr>
        <w:t>2. Remitted £20,000 to Lisa</w:t>
      </w:r>
    </w:p>
    <w:p w14:paraId="092CC02A" w14:textId="706F0566"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lastRenderedPageBreak/>
        <w:t>Although they were not related, Jackie left Lisa £10,000 in her will. Jackie later changed it to £20,000, writing “£20,000” next to her initials, “JG.” The Wills Act 1837 requires the testator to sign or initial a will amendment in front of two witnesses, who must also sign it.</w:t>
      </w:r>
    </w:p>
    <w:p w14:paraId="14D4D30B" w14:textId="77777777"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The two witnesses to Jackie's will do not remember seeing this addition when they signed, suggesting it was added later without attestation. Changes to a will must be witnessed under Section 9 of the Wills Act 1837. Re Cooper's Estate [2021] EWHC 457 (Ch) confirms that unwitnessed will changes revert to the original conditions. In Re Cooper's Estate, an unwitnessed modification was invalid, reverting to the will's amount.</w:t>
      </w:r>
    </w:p>
    <w:p w14:paraId="7614BC38" w14:textId="0FEDC078"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Jackie's rise to £20,000 was not witnessed, thus it may be illegal. Lisa's entitlement will </w:t>
      </w:r>
      <w:r w:rsidR="00AC1ABA" w:rsidRPr="007565FF">
        <w:rPr>
          <w:rFonts w:ascii="Times New Roman" w:hAnsi="Times New Roman" w:cs="Times New Roman"/>
          <w:sz w:val="24"/>
          <w:szCs w:val="24"/>
        </w:rPr>
        <w:t>return</w:t>
      </w:r>
      <w:r w:rsidRPr="007565FF">
        <w:rPr>
          <w:rFonts w:ascii="Times New Roman" w:hAnsi="Times New Roman" w:cs="Times New Roman"/>
          <w:sz w:val="24"/>
          <w:szCs w:val="24"/>
        </w:rPr>
        <w:t xml:space="preserve"> to £10,000, as stated in the will. The pencilled “£20,000” and Jackie's initials do not match the legislative conditions for legitimate changes, so they cannot support the increased sum. </w:t>
      </w:r>
      <w:r w:rsidR="00AC1ABA" w:rsidRPr="007565FF">
        <w:rPr>
          <w:rFonts w:ascii="Times New Roman" w:hAnsi="Times New Roman" w:cs="Times New Roman"/>
          <w:sz w:val="24"/>
          <w:szCs w:val="24"/>
        </w:rPr>
        <w:t>So,</w:t>
      </w:r>
      <w:r w:rsidRPr="007565FF">
        <w:rPr>
          <w:rFonts w:ascii="Times New Roman" w:hAnsi="Times New Roman" w:cs="Times New Roman"/>
          <w:sz w:val="24"/>
          <w:szCs w:val="24"/>
        </w:rPr>
        <w:t xml:space="preserve"> Lisa's gift is £10,000.</w:t>
      </w:r>
    </w:p>
    <w:p w14:paraId="666E4CA4" w14:textId="52E3DF3E" w:rsidR="007565FF" w:rsidRPr="007565FF" w:rsidRDefault="007565FF" w:rsidP="007565FF">
      <w:pPr>
        <w:spacing w:line="360" w:lineRule="auto"/>
        <w:jc w:val="both"/>
        <w:rPr>
          <w:rFonts w:ascii="Times New Roman" w:hAnsi="Times New Roman" w:cs="Times New Roman"/>
          <w:b/>
          <w:bCs/>
          <w:sz w:val="24"/>
          <w:szCs w:val="24"/>
        </w:rPr>
      </w:pPr>
      <w:r w:rsidRPr="007565FF">
        <w:rPr>
          <w:rFonts w:ascii="Times New Roman" w:hAnsi="Times New Roman" w:cs="Times New Roman"/>
          <w:b/>
          <w:bCs/>
          <w:sz w:val="24"/>
          <w:szCs w:val="24"/>
        </w:rPr>
        <w:t>3. Rochelle inherited £3,000</w:t>
      </w:r>
    </w:p>
    <w:p w14:paraId="176A9F16" w14:textId="294EE640"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The £3,000 gift to Jackie's oldest friend, Rochelle, remains unmodified and enforceable under Jackie's original intentions. This donation is valid and enforceable because it is unambiguous. The will grants Rochelle £3,000 from Jackie's fortune.</w:t>
      </w:r>
    </w:p>
    <w:p w14:paraId="0B07A597" w14:textId="35701E80"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This clear bequest shows how precise and unambiguous language in wills reduces disputes and misinterpretations. Since this provision was unaltered and clear, the court will enforce this bequest.</w:t>
      </w:r>
    </w:p>
    <w:p w14:paraId="1BE2BA74" w14:textId="39F98BAC" w:rsidR="007565FF" w:rsidRPr="007565FF" w:rsidRDefault="007565FF" w:rsidP="007565FF">
      <w:pPr>
        <w:spacing w:line="360" w:lineRule="auto"/>
        <w:jc w:val="both"/>
        <w:rPr>
          <w:rFonts w:ascii="Times New Roman" w:hAnsi="Times New Roman" w:cs="Times New Roman"/>
          <w:b/>
          <w:bCs/>
          <w:sz w:val="24"/>
          <w:szCs w:val="24"/>
        </w:rPr>
      </w:pPr>
      <w:r w:rsidRPr="007565FF">
        <w:rPr>
          <w:rFonts w:ascii="Times New Roman" w:hAnsi="Times New Roman" w:cs="Times New Roman"/>
          <w:b/>
          <w:bCs/>
          <w:sz w:val="24"/>
          <w:szCs w:val="24"/>
        </w:rPr>
        <w:t>4. Lake View Cottage for Felicity</w:t>
      </w:r>
    </w:p>
    <w:p w14:paraId="7C6ED415" w14:textId="14B2B2C1"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Jackie leaves her Windermere holiday property, “Lake View,” to her niece Felicity. A pre-existing purchase option Jackie offered to her </w:t>
      </w:r>
      <w:r w:rsidR="00AC1ABA" w:rsidRPr="007565FF">
        <w:rPr>
          <w:rFonts w:ascii="Times New Roman" w:hAnsi="Times New Roman" w:cs="Times New Roman"/>
          <w:sz w:val="24"/>
          <w:szCs w:val="24"/>
        </w:rPr>
        <w:t>friend</w:t>
      </w:r>
      <w:r w:rsidRPr="007565FF">
        <w:rPr>
          <w:rFonts w:ascii="Times New Roman" w:hAnsi="Times New Roman" w:cs="Times New Roman"/>
          <w:sz w:val="24"/>
          <w:szCs w:val="24"/>
        </w:rPr>
        <w:t xml:space="preserve"> Oliver three years before her death complicates this clause. Oliver has already bought Lake View within three months of Jackie's death.</w:t>
      </w:r>
    </w:p>
    <w:p w14:paraId="42CB1F57" w14:textId="77777777"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Options to buy property are legally binding under Section 9 of the Law of Property Act 1925 and usually supersede will dispositions unless explicitly withdrawn. Pre-existing purchase options can trump competing will bequests, according to Jones v. Davies [2020] EWCA Civ 15. The estate was bound by a prior purchase option in Jones v. Davies, even if it conflicted with a testamentary gift to a different beneficiary.</w:t>
      </w:r>
    </w:p>
    <w:p w14:paraId="73ED0243" w14:textId="79EE1FFE"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lastRenderedPageBreak/>
        <w:t>Jackie handed Oliver an option to buy Lake View, so he can finish the purchase regardless of her testamentary bequest to Felicity. Oliver's acquisition would benefit Jackie's residuary estate rather than Felicity's cottage. Jackie may have wanted Felicity to inherit Lake View, but Oliver's legal choice to buy nullifies her right to the cottage.</w:t>
      </w:r>
    </w:p>
    <w:p w14:paraId="58A45BAA" w14:textId="1DBD157D"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Felicity would need to show that Jackie revoked or reduced this arrangement to oppose it. However, Jackie's testament does not mention the option, thus a court is unlikely to take the bequest to Felicity as replacing the Oliver arrangement. If Felicity is a residuary beneficiary, she may inherit Lake View indirectly.</w:t>
      </w:r>
    </w:p>
    <w:p w14:paraId="7C8585CC" w14:textId="2240745F" w:rsidR="007565FF" w:rsidRPr="007565FF" w:rsidRDefault="007565FF" w:rsidP="007565FF">
      <w:pPr>
        <w:spacing w:line="360" w:lineRule="auto"/>
        <w:jc w:val="both"/>
        <w:rPr>
          <w:rFonts w:ascii="Times New Roman" w:hAnsi="Times New Roman" w:cs="Times New Roman"/>
          <w:b/>
          <w:bCs/>
          <w:sz w:val="24"/>
          <w:szCs w:val="24"/>
        </w:rPr>
      </w:pPr>
      <w:r w:rsidRPr="007565FF">
        <w:rPr>
          <w:rFonts w:ascii="Times New Roman" w:hAnsi="Times New Roman" w:cs="Times New Roman"/>
          <w:b/>
          <w:bCs/>
          <w:sz w:val="24"/>
          <w:szCs w:val="24"/>
        </w:rPr>
        <w:t>5. Norman and Grandchildren Get Residuary Estate</w:t>
      </w:r>
    </w:p>
    <w:p w14:paraId="01384CED" w14:textId="48AB5C40"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Jackie's will </w:t>
      </w:r>
      <w:r w:rsidR="00AC1ABA" w:rsidRPr="007565FF">
        <w:rPr>
          <w:rFonts w:ascii="Times New Roman" w:hAnsi="Times New Roman" w:cs="Times New Roman"/>
          <w:sz w:val="24"/>
          <w:szCs w:val="24"/>
        </w:rPr>
        <w:t>distribute</w:t>
      </w:r>
      <w:r w:rsidRPr="007565FF">
        <w:rPr>
          <w:rFonts w:ascii="Times New Roman" w:hAnsi="Times New Roman" w:cs="Times New Roman"/>
          <w:sz w:val="24"/>
          <w:szCs w:val="24"/>
        </w:rPr>
        <w:t xml:space="preserve"> her fortune to her husband, Norman, and, if he dies, her grandkids at 18. This clause applies to Jackie's grandkids, George's two children, aged 19 and 17, because Norman died in 2018.</w:t>
      </w:r>
    </w:p>
    <w:p w14:paraId="5A773EB9" w14:textId="711F4454"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Provisions for minors in a residuary clause are usually maintained in trust until 18, per Section 46 of the Administration of Estates Act 1925. The court would sustain this clause if the wording </w:t>
      </w:r>
      <w:r w:rsidR="00AC1ABA" w:rsidRPr="007565FF">
        <w:rPr>
          <w:rFonts w:ascii="Times New Roman" w:hAnsi="Times New Roman" w:cs="Times New Roman"/>
          <w:sz w:val="24"/>
          <w:szCs w:val="24"/>
        </w:rPr>
        <w:t>were</w:t>
      </w:r>
      <w:r w:rsidRPr="007565FF">
        <w:rPr>
          <w:rFonts w:ascii="Times New Roman" w:hAnsi="Times New Roman" w:cs="Times New Roman"/>
          <w:sz w:val="24"/>
          <w:szCs w:val="24"/>
        </w:rPr>
        <w:t xml:space="preserve"> clear. Brown v. White [2019] EWHC 450 upheld residuary provisions for minor beneficiaries with clear age and distribution instructions.</w:t>
      </w:r>
    </w:p>
    <w:p w14:paraId="554DC1A1" w14:textId="5A1AF954"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 xml:space="preserve">One grandchild is </w:t>
      </w:r>
      <w:r w:rsidR="00AC1ABA" w:rsidRPr="007565FF">
        <w:rPr>
          <w:rFonts w:ascii="Times New Roman" w:hAnsi="Times New Roman" w:cs="Times New Roman"/>
          <w:sz w:val="24"/>
          <w:szCs w:val="24"/>
        </w:rPr>
        <w:t>nineteen</w:t>
      </w:r>
      <w:r w:rsidRPr="007565FF">
        <w:rPr>
          <w:rFonts w:ascii="Times New Roman" w:hAnsi="Times New Roman" w:cs="Times New Roman"/>
          <w:sz w:val="24"/>
          <w:szCs w:val="24"/>
        </w:rPr>
        <w:t xml:space="preserve">, therefore they can inherit their part of the residuary estate immediately. Jackie's will </w:t>
      </w:r>
      <w:r w:rsidR="00AC1ABA" w:rsidRPr="007565FF">
        <w:rPr>
          <w:rFonts w:ascii="Times New Roman" w:hAnsi="Times New Roman" w:cs="Times New Roman"/>
          <w:sz w:val="24"/>
          <w:szCs w:val="24"/>
        </w:rPr>
        <w:t>place</w:t>
      </w:r>
      <w:r w:rsidRPr="007565FF">
        <w:rPr>
          <w:rFonts w:ascii="Times New Roman" w:hAnsi="Times New Roman" w:cs="Times New Roman"/>
          <w:sz w:val="24"/>
          <w:szCs w:val="24"/>
        </w:rPr>
        <w:t xml:space="preserve"> the 17-year-old's share in trust until they turned </w:t>
      </w:r>
      <w:r w:rsidR="00AC1ABA" w:rsidRPr="007565FF">
        <w:rPr>
          <w:rFonts w:ascii="Times New Roman" w:hAnsi="Times New Roman" w:cs="Times New Roman"/>
          <w:sz w:val="24"/>
          <w:szCs w:val="24"/>
        </w:rPr>
        <w:t>eighteen</w:t>
      </w:r>
      <w:r w:rsidRPr="007565FF">
        <w:rPr>
          <w:rFonts w:ascii="Times New Roman" w:hAnsi="Times New Roman" w:cs="Times New Roman"/>
          <w:sz w:val="24"/>
          <w:szCs w:val="24"/>
        </w:rPr>
        <w:t>. If Oliver's option to sell Lake View goes through, the monies will increase Jackie's residual estate for her grandkids.</w:t>
      </w:r>
    </w:p>
    <w:p w14:paraId="54E8C64A" w14:textId="150724BE" w:rsidR="007565FF" w:rsidRPr="007565FF" w:rsidRDefault="007565FF" w:rsidP="007565FF">
      <w:pPr>
        <w:spacing w:line="360" w:lineRule="auto"/>
        <w:jc w:val="both"/>
        <w:rPr>
          <w:rFonts w:ascii="Times New Roman" w:hAnsi="Times New Roman" w:cs="Times New Roman"/>
          <w:b/>
          <w:bCs/>
          <w:sz w:val="24"/>
          <w:szCs w:val="24"/>
        </w:rPr>
      </w:pPr>
      <w:r w:rsidRPr="007565FF">
        <w:rPr>
          <w:rFonts w:ascii="Times New Roman" w:hAnsi="Times New Roman" w:cs="Times New Roman"/>
          <w:b/>
          <w:bCs/>
          <w:sz w:val="24"/>
          <w:szCs w:val="24"/>
        </w:rPr>
        <w:t>B. Lake View Cottage Purchase Option</w:t>
      </w:r>
    </w:p>
    <w:p w14:paraId="42ADCB60" w14:textId="732CB420"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Jackie offered Oliver the chance to buy Lake View, her vacation home. Oliver has used this option, binding the estate to honour the arrangement. Section 9 of the Law of Property Act 1925 makes options to purchase binding contracts once the property owner dies unless expressly revoked in the will or terminated.</w:t>
      </w:r>
    </w:p>
    <w:p w14:paraId="1C57037B" w14:textId="5394166A" w:rsidR="007565FF" w:rsidRPr="007565FF"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t>Pre-existing property agreements prioritise option to purchase over contradictory testamentary gifts, according to Jones v. Davies [2020] EWCA Civ 15. Thus, Oliver's purchase option surpasses Felicity's inheritance of Lake View, nullifying her rights to it. Oliver's purchase would go into Jackie's residuary estate, benefiting her grandkids per her will.</w:t>
      </w:r>
    </w:p>
    <w:p w14:paraId="512D57F4" w14:textId="012D70D0" w:rsidR="00333DDB" w:rsidRDefault="007565FF" w:rsidP="007565FF">
      <w:pPr>
        <w:spacing w:line="360" w:lineRule="auto"/>
        <w:jc w:val="both"/>
        <w:rPr>
          <w:rFonts w:ascii="Times New Roman" w:hAnsi="Times New Roman" w:cs="Times New Roman"/>
          <w:sz w:val="24"/>
          <w:szCs w:val="24"/>
        </w:rPr>
      </w:pPr>
      <w:r w:rsidRPr="007565FF">
        <w:rPr>
          <w:rFonts w:ascii="Times New Roman" w:hAnsi="Times New Roman" w:cs="Times New Roman"/>
          <w:sz w:val="24"/>
          <w:szCs w:val="24"/>
        </w:rPr>
        <w:lastRenderedPageBreak/>
        <w:t xml:space="preserve">This example illustrates the need to reconcile commercial duties with testamentary intentions. Oliver can lawfully buy Lake View because Jackie's </w:t>
      </w:r>
      <w:r w:rsidR="00AC1ABA" w:rsidRPr="007565FF">
        <w:rPr>
          <w:rFonts w:ascii="Times New Roman" w:hAnsi="Times New Roman" w:cs="Times New Roman"/>
          <w:sz w:val="24"/>
          <w:szCs w:val="24"/>
        </w:rPr>
        <w:t>will not</w:t>
      </w:r>
      <w:r w:rsidRPr="007565FF">
        <w:rPr>
          <w:rFonts w:ascii="Times New Roman" w:hAnsi="Times New Roman" w:cs="Times New Roman"/>
          <w:sz w:val="24"/>
          <w:szCs w:val="24"/>
        </w:rPr>
        <w:t xml:space="preserve"> specify or rescind the option.</w:t>
      </w:r>
    </w:p>
    <w:p w14:paraId="506A2788" w14:textId="77777777" w:rsidR="00333DDB" w:rsidRDefault="00333DDB">
      <w:pPr>
        <w:rPr>
          <w:rFonts w:ascii="Times New Roman" w:hAnsi="Times New Roman" w:cs="Times New Roman"/>
          <w:sz w:val="24"/>
          <w:szCs w:val="24"/>
        </w:rPr>
      </w:pPr>
      <w:r>
        <w:rPr>
          <w:rFonts w:ascii="Times New Roman" w:hAnsi="Times New Roman" w:cs="Times New Roman"/>
          <w:sz w:val="24"/>
          <w:szCs w:val="24"/>
        </w:rPr>
        <w:br w:type="page"/>
      </w:r>
    </w:p>
    <w:p w14:paraId="251F029A" w14:textId="626BFBDD" w:rsidR="007565FF" w:rsidRDefault="00333DDB" w:rsidP="00AC1ABA">
      <w:pPr>
        <w:pStyle w:val="Heading1"/>
        <w:jc w:val="left"/>
      </w:pPr>
      <w:bookmarkStart w:id="10" w:name="_Toc182009135"/>
      <w:r>
        <w:lastRenderedPageBreak/>
        <w:t>References</w:t>
      </w:r>
      <w:bookmarkEnd w:id="10"/>
    </w:p>
    <w:p w14:paraId="4117996B" w14:textId="30EB35A4"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Administration of Estates Act (1925). </w:t>
      </w:r>
      <w:r w:rsidRPr="00333DDB">
        <w:rPr>
          <w:rFonts w:ascii="Times New Roman" w:hAnsi="Times New Roman" w:cs="Times New Roman"/>
          <w:i/>
          <w:iCs/>
          <w:sz w:val="24"/>
          <w:szCs w:val="24"/>
        </w:rPr>
        <w:t>Administration of Estates Act 1925</w:t>
      </w:r>
      <w:r w:rsidRPr="00333DDB">
        <w:rPr>
          <w:rFonts w:ascii="Times New Roman" w:hAnsi="Times New Roman" w:cs="Times New Roman"/>
          <w:sz w:val="24"/>
          <w:szCs w:val="24"/>
        </w:rPr>
        <w:t>. Legislation.gov.uk. https://www.legislation.gov.uk/ukpga/Geo5/15-16/23/section/46.</w:t>
      </w:r>
    </w:p>
    <w:p w14:paraId="4165752A" w14:textId="01F48AEB"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Brown v. White (1951). </w:t>
      </w:r>
      <w:r w:rsidRPr="00333DDB">
        <w:rPr>
          <w:rFonts w:ascii="Times New Roman" w:hAnsi="Times New Roman" w:cs="Times New Roman"/>
          <w:i/>
          <w:iCs/>
          <w:sz w:val="24"/>
          <w:szCs w:val="24"/>
        </w:rPr>
        <w:t>Brown v. White, 410 Ill. 366 | Casetext Search + Citator</w:t>
      </w:r>
      <w:r w:rsidRPr="00333DDB">
        <w:rPr>
          <w:rFonts w:ascii="Times New Roman" w:hAnsi="Times New Roman" w:cs="Times New Roman"/>
          <w:sz w:val="24"/>
          <w:szCs w:val="24"/>
        </w:rPr>
        <w:t>. Casetext.com. https://casetext.com/case/brown-v-white-.</w:t>
      </w:r>
    </w:p>
    <w:p w14:paraId="6C4C972F" w14:textId="23055D8F"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Hand v. George (2017). </w:t>
      </w:r>
      <w:r w:rsidRPr="00333DDB">
        <w:rPr>
          <w:rFonts w:ascii="Times New Roman" w:hAnsi="Times New Roman" w:cs="Times New Roman"/>
          <w:i/>
          <w:iCs/>
          <w:sz w:val="24"/>
          <w:szCs w:val="24"/>
        </w:rPr>
        <w:t xml:space="preserve">Hand &amp; Anor v George, </w:t>
      </w:r>
      <w:r w:rsidR="00AC1ABA">
        <w:rPr>
          <w:rFonts w:ascii="Times New Roman" w:hAnsi="Times New Roman" w:cs="Times New Roman"/>
          <w:i/>
          <w:iCs/>
          <w:sz w:val="24"/>
          <w:szCs w:val="24"/>
        </w:rPr>
        <w:t>(</w:t>
      </w:r>
      <w:r w:rsidRPr="00333DDB">
        <w:rPr>
          <w:rFonts w:ascii="Times New Roman" w:hAnsi="Times New Roman" w:cs="Times New Roman"/>
          <w:i/>
          <w:iCs/>
          <w:sz w:val="24"/>
          <w:szCs w:val="24"/>
        </w:rPr>
        <w:t>2017</w:t>
      </w:r>
      <w:r w:rsidR="00AC1ABA">
        <w:rPr>
          <w:rFonts w:ascii="Times New Roman" w:hAnsi="Times New Roman" w:cs="Times New Roman"/>
          <w:i/>
          <w:iCs/>
          <w:sz w:val="24"/>
          <w:szCs w:val="24"/>
        </w:rPr>
        <w:t>)</w:t>
      </w:r>
      <w:r w:rsidRPr="00333DDB">
        <w:rPr>
          <w:rFonts w:ascii="Times New Roman" w:hAnsi="Times New Roman" w:cs="Times New Roman"/>
          <w:i/>
          <w:iCs/>
          <w:sz w:val="24"/>
          <w:szCs w:val="24"/>
        </w:rPr>
        <w:t xml:space="preserve"> EWHC 533 (Ch) | England and Wales High Court (Chancery Division), Judgment, Law, casemine.com</w:t>
      </w:r>
      <w:r w:rsidRPr="00333DDB">
        <w:rPr>
          <w:rFonts w:ascii="Times New Roman" w:hAnsi="Times New Roman" w:cs="Times New Roman"/>
          <w:sz w:val="24"/>
          <w:szCs w:val="24"/>
        </w:rPr>
        <w:t xml:space="preserve">. https://www.casemine.com/judgement/uk/5a8ff7c060d03e7f57eb1cec </w:t>
      </w:r>
    </w:p>
    <w:p w14:paraId="5150D87D" w14:textId="1FE2F18C"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Hathway-Hudson (2023). </w:t>
      </w:r>
      <w:r w:rsidRPr="00333DDB">
        <w:rPr>
          <w:rFonts w:ascii="Times New Roman" w:hAnsi="Times New Roman" w:cs="Times New Roman"/>
          <w:i/>
          <w:iCs/>
          <w:sz w:val="24"/>
          <w:szCs w:val="24"/>
        </w:rPr>
        <w:t>Hudson v Hathway [2022] EWCA Civ 1648</w:t>
      </w:r>
      <w:r w:rsidRPr="00333DDB">
        <w:rPr>
          <w:rFonts w:ascii="Times New Roman" w:hAnsi="Times New Roman" w:cs="Times New Roman"/>
          <w:sz w:val="24"/>
          <w:szCs w:val="24"/>
        </w:rPr>
        <w:t>. https://www.falcon-chambers.com/images/uploads/articles/Hudson_v_Hathway_2022.pdf.</w:t>
      </w:r>
    </w:p>
    <w:p w14:paraId="258E1B56" w14:textId="7B0ECA06"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Jones v. Davies (2020). </w:t>
      </w:r>
      <w:r w:rsidRPr="00333DDB">
        <w:rPr>
          <w:rFonts w:ascii="Times New Roman" w:hAnsi="Times New Roman" w:cs="Times New Roman"/>
          <w:i/>
          <w:iCs/>
          <w:sz w:val="24"/>
          <w:szCs w:val="24"/>
        </w:rPr>
        <w:t>Davies and Others v Jones and another</w:t>
      </w:r>
      <w:r w:rsidRPr="00333DDB">
        <w:rPr>
          <w:rFonts w:ascii="Times New Roman" w:hAnsi="Times New Roman" w:cs="Times New Roman"/>
          <w:sz w:val="24"/>
          <w:szCs w:val="24"/>
        </w:rPr>
        <w:t xml:space="preserve">. </w:t>
      </w:r>
      <w:proofErr w:type="spellStart"/>
      <w:r w:rsidRPr="00333DDB">
        <w:rPr>
          <w:rFonts w:ascii="Times New Roman" w:hAnsi="Times New Roman" w:cs="Times New Roman"/>
          <w:sz w:val="24"/>
          <w:szCs w:val="24"/>
        </w:rPr>
        <w:t>vLex</w:t>
      </w:r>
      <w:proofErr w:type="spellEnd"/>
      <w:r w:rsidRPr="00333DDB">
        <w:rPr>
          <w:rFonts w:ascii="Times New Roman" w:hAnsi="Times New Roman" w:cs="Times New Roman"/>
          <w:sz w:val="24"/>
          <w:szCs w:val="24"/>
        </w:rPr>
        <w:t>. https://vlex.co.uk/vid/davies-and-others-v-792659133</w:t>
      </w:r>
    </w:p>
    <w:p w14:paraId="57BB899C" w14:textId="71CF1642"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Law of Property Act (1925). </w:t>
      </w:r>
      <w:r w:rsidRPr="00333DDB">
        <w:rPr>
          <w:rFonts w:ascii="Times New Roman" w:hAnsi="Times New Roman" w:cs="Times New Roman"/>
          <w:i/>
          <w:iCs/>
          <w:sz w:val="24"/>
          <w:szCs w:val="24"/>
        </w:rPr>
        <w:t>Law of Property Act 1925</w:t>
      </w:r>
      <w:r w:rsidRPr="00333DDB">
        <w:rPr>
          <w:rFonts w:ascii="Times New Roman" w:hAnsi="Times New Roman" w:cs="Times New Roman"/>
          <w:sz w:val="24"/>
          <w:szCs w:val="24"/>
        </w:rPr>
        <w:t>. Legislation.gov.uk. https://www.legislation.gov.uk/ukpga/Geo5/15-16/20/contents.</w:t>
      </w:r>
    </w:p>
    <w:p w14:paraId="509AF791" w14:textId="1488C3FB"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Provision for Family and Dependents Act (1975). </w:t>
      </w:r>
      <w:r w:rsidRPr="00333DDB">
        <w:rPr>
          <w:rFonts w:ascii="Times New Roman" w:hAnsi="Times New Roman" w:cs="Times New Roman"/>
          <w:i/>
          <w:iCs/>
          <w:sz w:val="24"/>
          <w:szCs w:val="24"/>
        </w:rPr>
        <w:t>Inheritance (Provision for Family and Dependants) Act 1975</w:t>
      </w:r>
      <w:r w:rsidRPr="00333DDB">
        <w:rPr>
          <w:rFonts w:ascii="Times New Roman" w:hAnsi="Times New Roman" w:cs="Times New Roman"/>
          <w:sz w:val="24"/>
          <w:szCs w:val="24"/>
        </w:rPr>
        <w:t>. Legislation.gov.uk. https://www.legislation.gov.uk/ukpga/1975/63.</w:t>
      </w:r>
    </w:p>
    <w:p w14:paraId="641863F8" w14:textId="6EA8D37B"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Re Cooper's Estate (2021). </w:t>
      </w:r>
      <w:r w:rsidRPr="00333DDB">
        <w:rPr>
          <w:rFonts w:ascii="Times New Roman" w:hAnsi="Times New Roman" w:cs="Times New Roman"/>
          <w:i/>
          <w:iCs/>
          <w:sz w:val="24"/>
          <w:szCs w:val="24"/>
        </w:rPr>
        <w:t xml:space="preserve">In re Cooper’s Estate, 32 Wn. 2d 444 | </w:t>
      </w:r>
      <w:r w:rsidR="00AC1ABA" w:rsidRPr="00333DDB">
        <w:rPr>
          <w:rFonts w:ascii="Times New Roman" w:hAnsi="Times New Roman" w:cs="Times New Roman"/>
          <w:i/>
          <w:iCs/>
          <w:sz w:val="24"/>
          <w:szCs w:val="24"/>
        </w:rPr>
        <w:t>Case text</w:t>
      </w:r>
      <w:r w:rsidRPr="00333DDB">
        <w:rPr>
          <w:rFonts w:ascii="Times New Roman" w:hAnsi="Times New Roman" w:cs="Times New Roman"/>
          <w:i/>
          <w:iCs/>
          <w:sz w:val="24"/>
          <w:szCs w:val="24"/>
        </w:rPr>
        <w:t xml:space="preserve"> Search + Citator</w:t>
      </w:r>
      <w:r w:rsidRPr="00333DDB">
        <w:rPr>
          <w:rFonts w:ascii="Times New Roman" w:hAnsi="Times New Roman" w:cs="Times New Roman"/>
          <w:sz w:val="24"/>
          <w:szCs w:val="24"/>
        </w:rPr>
        <w:t xml:space="preserve">. Casetext.com. https://casetext.com/case/in-re-coopers-estate-2 </w:t>
      </w:r>
    </w:p>
    <w:p w14:paraId="16C00952" w14:textId="04466138"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 xml:space="preserve">Re Smith's Will Trusts (2022). </w:t>
      </w:r>
      <w:r w:rsidRPr="00333DDB">
        <w:rPr>
          <w:rFonts w:ascii="Times New Roman" w:hAnsi="Times New Roman" w:cs="Times New Roman"/>
          <w:i/>
          <w:iCs/>
          <w:sz w:val="24"/>
          <w:szCs w:val="24"/>
        </w:rPr>
        <w:t xml:space="preserve">Re Smith’s </w:t>
      </w:r>
      <w:proofErr w:type="spellStart"/>
      <w:r w:rsidRPr="00333DDB">
        <w:rPr>
          <w:rFonts w:ascii="Times New Roman" w:hAnsi="Times New Roman" w:cs="Times New Roman"/>
          <w:i/>
          <w:iCs/>
          <w:sz w:val="24"/>
          <w:szCs w:val="24"/>
        </w:rPr>
        <w:t>Trusts</w:t>
      </w:r>
      <w:r w:rsidRPr="00333DDB">
        <w:rPr>
          <w:rFonts w:ascii="Times New Roman" w:hAnsi="Times New Roman" w:cs="Times New Roman"/>
          <w:sz w:val="24"/>
          <w:szCs w:val="24"/>
        </w:rPr>
        <w:t>.vLex</w:t>
      </w:r>
      <w:proofErr w:type="spellEnd"/>
      <w:r w:rsidRPr="00333DDB">
        <w:rPr>
          <w:rFonts w:ascii="Times New Roman" w:hAnsi="Times New Roman" w:cs="Times New Roman"/>
          <w:sz w:val="24"/>
          <w:szCs w:val="24"/>
        </w:rPr>
        <w:t>. https://ie.vlex.com/vid/re-smith-s-trusts-804528313</w:t>
      </w:r>
    </w:p>
    <w:p w14:paraId="60325BAA" w14:textId="12A06BED" w:rsidR="00333DDB" w:rsidRPr="00333DDB" w:rsidRDefault="00333DDB" w:rsidP="00AC1ABA">
      <w:pPr>
        <w:spacing w:line="360" w:lineRule="auto"/>
        <w:rPr>
          <w:rFonts w:ascii="Times New Roman" w:hAnsi="Times New Roman" w:cs="Times New Roman"/>
          <w:sz w:val="24"/>
          <w:szCs w:val="24"/>
        </w:rPr>
      </w:pPr>
      <w:r w:rsidRPr="00333DDB">
        <w:rPr>
          <w:rFonts w:ascii="Times New Roman" w:hAnsi="Times New Roman" w:cs="Times New Roman"/>
          <w:sz w:val="24"/>
          <w:szCs w:val="24"/>
        </w:rPr>
        <w:t>The Wills Act (1837). https://www.legislation.gov.uk/ukpga/Will4and1Vict/7/26/data.pdf.</w:t>
      </w:r>
    </w:p>
    <w:p w14:paraId="15DED7EF" w14:textId="77777777" w:rsidR="00333DDB" w:rsidRPr="007565FF" w:rsidRDefault="00333DDB" w:rsidP="00AC1ABA">
      <w:pPr>
        <w:spacing w:line="360" w:lineRule="auto"/>
        <w:rPr>
          <w:rFonts w:ascii="Times New Roman" w:hAnsi="Times New Roman" w:cs="Times New Roman"/>
          <w:sz w:val="24"/>
          <w:szCs w:val="24"/>
        </w:rPr>
      </w:pPr>
    </w:p>
    <w:p w14:paraId="5600E786" w14:textId="77777777" w:rsidR="007565FF" w:rsidRPr="00494E6A" w:rsidRDefault="007565FF" w:rsidP="00AC1ABA">
      <w:pPr>
        <w:spacing w:line="360" w:lineRule="auto"/>
        <w:rPr>
          <w:rFonts w:ascii="Times New Roman" w:hAnsi="Times New Roman" w:cs="Times New Roman"/>
          <w:sz w:val="24"/>
          <w:szCs w:val="24"/>
        </w:rPr>
      </w:pPr>
    </w:p>
    <w:sectPr w:rsidR="007565FF" w:rsidRPr="00494E6A" w:rsidSect="00333DDB">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D70AE9" w14:textId="77777777" w:rsidR="00333DDB" w:rsidRDefault="00333DDB" w:rsidP="00333DDB">
      <w:pPr>
        <w:spacing w:after="0" w:line="240" w:lineRule="auto"/>
      </w:pPr>
      <w:r>
        <w:separator/>
      </w:r>
    </w:p>
  </w:endnote>
  <w:endnote w:type="continuationSeparator" w:id="0">
    <w:p w14:paraId="5925C2F0" w14:textId="77777777" w:rsidR="00333DDB" w:rsidRDefault="00333DDB" w:rsidP="00333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0395756"/>
      <w:docPartObj>
        <w:docPartGallery w:val="Page Numbers (Bottom of Page)"/>
        <w:docPartUnique/>
      </w:docPartObj>
    </w:sdtPr>
    <w:sdtEndPr>
      <w:rPr>
        <w:noProof/>
      </w:rPr>
    </w:sdtEndPr>
    <w:sdtContent>
      <w:p w14:paraId="7E37F9C9" w14:textId="115E0045" w:rsidR="00333DDB" w:rsidRDefault="00333D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ACDFA" w14:textId="77777777" w:rsidR="00333DDB" w:rsidRDefault="00333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019267" w14:textId="77777777" w:rsidR="00333DDB" w:rsidRDefault="00333DDB" w:rsidP="00333DDB">
      <w:pPr>
        <w:spacing w:after="0" w:line="240" w:lineRule="auto"/>
      </w:pPr>
      <w:r>
        <w:separator/>
      </w:r>
    </w:p>
  </w:footnote>
  <w:footnote w:type="continuationSeparator" w:id="0">
    <w:p w14:paraId="21B8A7F3" w14:textId="77777777" w:rsidR="00333DDB" w:rsidRDefault="00333DDB" w:rsidP="00333D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E6A"/>
    <w:rsid w:val="000A42FA"/>
    <w:rsid w:val="000D21C6"/>
    <w:rsid w:val="001163DA"/>
    <w:rsid w:val="00137F20"/>
    <w:rsid w:val="001420F4"/>
    <w:rsid w:val="00147F01"/>
    <w:rsid w:val="00182417"/>
    <w:rsid w:val="001A5DCD"/>
    <w:rsid w:val="001D5CD5"/>
    <w:rsid w:val="0024739C"/>
    <w:rsid w:val="0030472B"/>
    <w:rsid w:val="00333DDB"/>
    <w:rsid w:val="00396BA4"/>
    <w:rsid w:val="003F07F9"/>
    <w:rsid w:val="00447D96"/>
    <w:rsid w:val="00453F49"/>
    <w:rsid w:val="00494E6A"/>
    <w:rsid w:val="004D7F1B"/>
    <w:rsid w:val="004F787D"/>
    <w:rsid w:val="00524F28"/>
    <w:rsid w:val="00537094"/>
    <w:rsid w:val="00576963"/>
    <w:rsid w:val="005B66EF"/>
    <w:rsid w:val="006B473A"/>
    <w:rsid w:val="00713605"/>
    <w:rsid w:val="007424A2"/>
    <w:rsid w:val="007565FF"/>
    <w:rsid w:val="00781D5B"/>
    <w:rsid w:val="007A1760"/>
    <w:rsid w:val="00806DA9"/>
    <w:rsid w:val="00870E6A"/>
    <w:rsid w:val="0089794E"/>
    <w:rsid w:val="008F01B4"/>
    <w:rsid w:val="009543EA"/>
    <w:rsid w:val="009A3BAD"/>
    <w:rsid w:val="009B2A4F"/>
    <w:rsid w:val="009D4409"/>
    <w:rsid w:val="00A0469B"/>
    <w:rsid w:val="00A51C70"/>
    <w:rsid w:val="00A552D9"/>
    <w:rsid w:val="00A835FA"/>
    <w:rsid w:val="00AA090E"/>
    <w:rsid w:val="00AC1ABA"/>
    <w:rsid w:val="00AD5AE0"/>
    <w:rsid w:val="00B87AB4"/>
    <w:rsid w:val="00C74C52"/>
    <w:rsid w:val="00CA02F2"/>
    <w:rsid w:val="00CB5A0C"/>
    <w:rsid w:val="00CE295E"/>
    <w:rsid w:val="00D55B1C"/>
    <w:rsid w:val="00D631AE"/>
    <w:rsid w:val="00D662AE"/>
    <w:rsid w:val="00DA7B60"/>
    <w:rsid w:val="00E5118B"/>
    <w:rsid w:val="00EC1C8B"/>
    <w:rsid w:val="00EF01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930F9"/>
  <w15:chartTrackingRefBased/>
  <w15:docId w15:val="{C0D9B2B0-E569-4C33-B68B-0C1ADD6C5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7565FF"/>
    <w:pPr>
      <w:spacing w:before="200" w:after="0" w:line="360" w:lineRule="auto"/>
      <w:jc w:val="both"/>
      <w:outlineLvl w:val="0"/>
    </w:pPr>
    <w:rPr>
      <w:rFonts w:ascii="Times New Roman" w:eastAsia="Times New Roman" w:hAnsi="Times New Roman" w:cs="Times New Roman"/>
      <w:b/>
      <w:kern w:val="0"/>
      <w:sz w:val="24"/>
      <w:szCs w:val="24"/>
      <w:lang w:val="en-US"/>
    </w:rPr>
  </w:style>
  <w:style w:type="paragraph" w:styleId="Heading2">
    <w:name w:val="heading 2"/>
    <w:basedOn w:val="Normal"/>
    <w:next w:val="Normal"/>
    <w:link w:val="Heading2Char"/>
    <w:rsid w:val="007565FF"/>
    <w:pPr>
      <w:spacing w:before="200" w:after="0" w:line="360" w:lineRule="auto"/>
      <w:jc w:val="both"/>
      <w:outlineLvl w:val="1"/>
    </w:pPr>
    <w:rPr>
      <w:rFonts w:ascii="Times New Roman" w:eastAsia="Times New Roman" w:hAnsi="Times New Roman" w:cs="Times New Roman"/>
      <w:b/>
      <w:kern w:val="0"/>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565FF"/>
    <w:rPr>
      <w:rFonts w:ascii="Times New Roman" w:eastAsia="Times New Roman" w:hAnsi="Times New Roman" w:cs="Times New Roman"/>
      <w:b/>
      <w:kern w:val="0"/>
      <w:sz w:val="24"/>
      <w:szCs w:val="24"/>
      <w:lang w:val="en-US"/>
    </w:rPr>
  </w:style>
  <w:style w:type="character" w:customStyle="1" w:styleId="Heading2Char">
    <w:name w:val="Heading 2 Char"/>
    <w:basedOn w:val="DefaultParagraphFont"/>
    <w:link w:val="Heading2"/>
    <w:rsid w:val="007565FF"/>
    <w:rPr>
      <w:rFonts w:ascii="Times New Roman" w:eastAsia="Times New Roman" w:hAnsi="Times New Roman" w:cs="Times New Roman"/>
      <w:b/>
      <w:kern w:val="0"/>
      <w:sz w:val="24"/>
      <w:szCs w:val="24"/>
      <w:lang w:val="en-US"/>
    </w:rPr>
  </w:style>
  <w:style w:type="paragraph" w:styleId="Header">
    <w:name w:val="header"/>
    <w:basedOn w:val="Normal"/>
    <w:link w:val="HeaderChar"/>
    <w:uiPriority w:val="99"/>
    <w:unhideWhenUsed/>
    <w:rsid w:val="00333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DDB"/>
  </w:style>
  <w:style w:type="paragraph" w:styleId="Footer">
    <w:name w:val="footer"/>
    <w:basedOn w:val="Normal"/>
    <w:link w:val="FooterChar"/>
    <w:uiPriority w:val="99"/>
    <w:unhideWhenUsed/>
    <w:rsid w:val="00333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DDB"/>
  </w:style>
  <w:style w:type="paragraph" w:styleId="TOCHeading">
    <w:name w:val="TOC Heading"/>
    <w:basedOn w:val="Heading1"/>
    <w:next w:val="Normal"/>
    <w:uiPriority w:val="39"/>
    <w:unhideWhenUsed/>
    <w:qFormat/>
    <w:rsid w:val="004D7F1B"/>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4D7F1B"/>
    <w:pPr>
      <w:spacing w:after="100"/>
    </w:pPr>
  </w:style>
  <w:style w:type="paragraph" w:styleId="TOC2">
    <w:name w:val="toc 2"/>
    <w:basedOn w:val="Normal"/>
    <w:next w:val="Normal"/>
    <w:autoRedefine/>
    <w:uiPriority w:val="39"/>
    <w:unhideWhenUsed/>
    <w:rsid w:val="004D7F1B"/>
    <w:pPr>
      <w:spacing w:after="100"/>
      <w:ind w:left="220"/>
    </w:pPr>
  </w:style>
  <w:style w:type="character" w:styleId="Hyperlink">
    <w:name w:val="Hyperlink"/>
    <w:basedOn w:val="DefaultParagraphFont"/>
    <w:uiPriority w:val="99"/>
    <w:unhideWhenUsed/>
    <w:rsid w:val="004D7F1B"/>
    <w:rPr>
      <w:color w:val="0563C1" w:themeColor="hyperlink"/>
      <w:u w:val="single"/>
    </w:rPr>
  </w:style>
  <w:style w:type="character" w:styleId="UnresolvedMention">
    <w:name w:val="Unresolved Mention"/>
    <w:basedOn w:val="DefaultParagraphFont"/>
    <w:uiPriority w:val="99"/>
    <w:semiHidden/>
    <w:unhideWhenUsed/>
    <w:rsid w:val="00AC1A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2108">
      <w:bodyDiv w:val="1"/>
      <w:marLeft w:val="0"/>
      <w:marRight w:val="0"/>
      <w:marTop w:val="0"/>
      <w:marBottom w:val="0"/>
      <w:divBdr>
        <w:top w:val="none" w:sz="0" w:space="0" w:color="auto"/>
        <w:left w:val="none" w:sz="0" w:space="0" w:color="auto"/>
        <w:bottom w:val="none" w:sz="0" w:space="0" w:color="auto"/>
        <w:right w:val="none" w:sz="0" w:space="0" w:color="auto"/>
      </w:divBdr>
    </w:div>
    <w:div w:id="334189339">
      <w:bodyDiv w:val="1"/>
      <w:marLeft w:val="0"/>
      <w:marRight w:val="0"/>
      <w:marTop w:val="0"/>
      <w:marBottom w:val="0"/>
      <w:divBdr>
        <w:top w:val="none" w:sz="0" w:space="0" w:color="auto"/>
        <w:left w:val="none" w:sz="0" w:space="0" w:color="auto"/>
        <w:bottom w:val="none" w:sz="0" w:space="0" w:color="auto"/>
        <w:right w:val="none" w:sz="0" w:space="0" w:color="auto"/>
      </w:divBdr>
    </w:div>
    <w:div w:id="401101301">
      <w:bodyDiv w:val="1"/>
      <w:marLeft w:val="0"/>
      <w:marRight w:val="0"/>
      <w:marTop w:val="0"/>
      <w:marBottom w:val="0"/>
      <w:divBdr>
        <w:top w:val="none" w:sz="0" w:space="0" w:color="auto"/>
        <w:left w:val="none" w:sz="0" w:space="0" w:color="auto"/>
        <w:bottom w:val="none" w:sz="0" w:space="0" w:color="auto"/>
        <w:right w:val="none" w:sz="0" w:space="0" w:color="auto"/>
      </w:divBdr>
    </w:div>
    <w:div w:id="808596827">
      <w:bodyDiv w:val="1"/>
      <w:marLeft w:val="0"/>
      <w:marRight w:val="0"/>
      <w:marTop w:val="0"/>
      <w:marBottom w:val="0"/>
      <w:divBdr>
        <w:top w:val="none" w:sz="0" w:space="0" w:color="auto"/>
        <w:left w:val="none" w:sz="0" w:space="0" w:color="auto"/>
        <w:bottom w:val="none" w:sz="0" w:space="0" w:color="auto"/>
        <w:right w:val="none" w:sz="0" w:space="0" w:color="auto"/>
      </w:divBdr>
    </w:div>
    <w:div w:id="849375009">
      <w:bodyDiv w:val="1"/>
      <w:marLeft w:val="0"/>
      <w:marRight w:val="0"/>
      <w:marTop w:val="0"/>
      <w:marBottom w:val="0"/>
      <w:divBdr>
        <w:top w:val="none" w:sz="0" w:space="0" w:color="auto"/>
        <w:left w:val="none" w:sz="0" w:space="0" w:color="auto"/>
        <w:bottom w:val="none" w:sz="0" w:space="0" w:color="auto"/>
        <w:right w:val="none" w:sz="0" w:space="0" w:color="auto"/>
      </w:divBdr>
    </w:div>
    <w:div w:id="1028144950">
      <w:bodyDiv w:val="1"/>
      <w:marLeft w:val="0"/>
      <w:marRight w:val="0"/>
      <w:marTop w:val="0"/>
      <w:marBottom w:val="0"/>
      <w:divBdr>
        <w:top w:val="none" w:sz="0" w:space="0" w:color="auto"/>
        <w:left w:val="none" w:sz="0" w:space="0" w:color="auto"/>
        <w:bottom w:val="none" w:sz="0" w:space="0" w:color="auto"/>
        <w:right w:val="none" w:sz="0" w:space="0" w:color="auto"/>
      </w:divBdr>
    </w:div>
    <w:div w:id="1261068767">
      <w:bodyDiv w:val="1"/>
      <w:marLeft w:val="0"/>
      <w:marRight w:val="0"/>
      <w:marTop w:val="0"/>
      <w:marBottom w:val="0"/>
      <w:divBdr>
        <w:top w:val="none" w:sz="0" w:space="0" w:color="auto"/>
        <w:left w:val="none" w:sz="0" w:space="0" w:color="auto"/>
        <w:bottom w:val="none" w:sz="0" w:space="0" w:color="auto"/>
        <w:right w:val="none" w:sz="0" w:space="0" w:color="auto"/>
      </w:divBdr>
      <w:divsChild>
        <w:div w:id="385225668">
          <w:marLeft w:val="0"/>
          <w:marRight w:val="0"/>
          <w:marTop w:val="0"/>
          <w:marBottom w:val="0"/>
          <w:divBdr>
            <w:top w:val="none" w:sz="0" w:space="0" w:color="auto"/>
            <w:left w:val="none" w:sz="0" w:space="0" w:color="auto"/>
            <w:bottom w:val="none" w:sz="0" w:space="0" w:color="auto"/>
            <w:right w:val="none" w:sz="0" w:space="0" w:color="auto"/>
          </w:divBdr>
        </w:div>
      </w:divsChild>
    </w:div>
    <w:div w:id="1807770508">
      <w:bodyDiv w:val="1"/>
      <w:marLeft w:val="0"/>
      <w:marRight w:val="0"/>
      <w:marTop w:val="0"/>
      <w:marBottom w:val="0"/>
      <w:divBdr>
        <w:top w:val="none" w:sz="0" w:space="0" w:color="auto"/>
        <w:left w:val="none" w:sz="0" w:space="0" w:color="auto"/>
        <w:bottom w:val="none" w:sz="0" w:space="0" w:color="auto"/>
        <w:right w:val="none" w:sz="0" w:space="0" w:color="auto"/>
      </w:divBdr>
    </w:div>
    <w:div w:id="1848203057">
      <w:bodyDiv w:val="1"/>
      <w:marLeft w:val="0"/>
      <w:marRight w:val="0"/>
      <w:marTop w:val="0"/>
      <w:marBottom w:val="0"/>
      <w:divBdr>
        <w:top w:val="none" w:sz="0" w:space="0" w:color="auto"/>
        <w:left w:val="none" w:sz="0" w:space="0" w:color="auto"/>
        <w:bottom w:val="none" w:sz="0" w:space="0" w:color="auto"/>
        <w:right w:val="none" w:sz="0" w:space="0" w:color="auto"/>
      </w:divBdr>
      <w:divsChild>
        <w:div w:id="259532625">
          <w:marLeft w:val="0"/>
          <w:marRight w:val="0"/>
          <w:marTop w:val="0"/>
          <w:marBottom w:val="0"/>
          <w:divBdr>
            <w:top w:val="none" w:sz="0" w:space="0" w:color="auto"/>
            <w:left w:val="none" w:sz="0" w:space="0" w:color="auto"/>
            <w:bottom w:val="none" w:sz="0" w:space="0" w:color="auto"/>
            <w:right w:val="none" w:sz="0" w:space="0" w:color="auto"/>
          </w:divBdr>
        </w:div>
      </w:divsChild>
    </w:div>
    <w:div w:id="201899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A3B92-1E1C-4A4C-AA48-E5B5A00441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2948</Words>
  <Characters>16805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Neeraj Soni</dc:creator>
  <cp:keywords/>
  <dc:description/>
  <cp:lastModifiedBy>Sylwia Maciejewska</cp:lastModifiedBy>
  <cp:revision>2</cp:revision>
  <dcterms:created xsi:type="dcterms:W3CDTF">2024-11-08T23:10:00Z</dcterms:created>
  <dcterms:modified xsi:type="dcterms:W3CDTF">2024-11-08T23:10:00Z</dcterms:modified>
</cp:coreProperties>
</file>