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FCDE560" wp14:paraId="023C26DA" wp14:textId="31686FF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Tucked into the remote uplands of mid-Wales, Abbey Woods is a semi-natural ancient woodland located just south of Pontrhydfendigaid, adjacent to the ruins of Strata Florida Abbey in Ceredigion. Once an integral part of the monastic landscape created by the Cistercian monks in the 12th century, the woodland lies within the Teifi valley, on the edge of the Cambrian Mountains. Today, Abbey Woods spans approximately 80 hectares, though historical records indicate it once extended to 120 acres before being reduced by successive waves of agricultural and industrial change (Austin et al, 2022). The woodland’s topography contributes to its character and historical isolation; the terrain consists of “steep slopes, narrow ridges, and shallow valleys,” creating a naturally enclosed, undisturbed environment that helped preserve its monastic legacy over the centuries (Strata Florida Trust, 2023). This essay explores the historical development, physical features, and cultural significance of Abbey Woods, demonstrating how the landscape itself can be read as a layered text, a record of ecological practice, spiritual belief, and human intervention stretching across time.</w:t>
      </w:r>
    </w:p>
    <w:p xmlns:wp14="http://schemas.microsoft.com/office/word/2010/wordml" w:rsidP="2FCDE560" wp14:paraId="754F03A5" wp14:textId="65E694F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2"/>
          <w:szCs w:val="12"/>
          <w:lang w:val="en-GB"/>
        </w:rPr>
      </w:pPr>
      <w:r w:rsidR="6CF133EE">
        <w:drawing>
          <wp:inline xmlns:wp14="http://schemas.microsoft.com/office/word/2010/wordprocessingDrawing" wp14:editId="32783EF7" wp14:anchorId="6ED5F757">
            <wp:extent cx="5715000" cy="4333875"/>
            <wp:effectExtent l="0" t="0" r="0" b="0"/>
            <wp:docPr id="1935041196" name="" descr="Picture" title=""/>
            <wp:cNvGraphicFramePr>
              <a:graphicFrameLocks noChangeAspect="1"/>
            </wp:cNvGraphicFramePr>
            <a:graphic>
              <a:graphicData uri="http://schemas.openxmlformats.org/drawingml/2006/picture">
                <pic:pic>
                  <pic:nvPicPr>
                    <pic:cNvPr id="0" name=""/>
                    <pic:cNvPicPr/>
                  </pic:nvPicPr>
                  <pic:blipFill>
                    <a:blip r:embed="R5fe80da28cce4334">
                      <a:extLst>
                        <a:ext xmlns:a="http://schemas.openxmlformats.org/drawingml/2006/main" uri="{28A0092B-C50C-407E-A947-70E740481C1C}">
                          <a14:useLocalDpi val="0"/>
                        </a:ext>
                      </a:extLst>
                    </a:blip>
                    <a:stretch>
                      <a:fillRect/>
                    </a:stretch>
                  </pic:blipFill>
                  <pic:spPr>
                    <a:xfrm>
                      <a:off x="0" y="0"/>
                      <a:ext cx="5715000" cy="4333875"/>
                    </a:xfrm>
                    <a:prstGeom prst="rect">
                      <a:avLst/>
                    </a:prstGeom>
                  </pic:spPr>
                </pic:pic>
              </a:graphicData>
            </a:graphic>
          </wp:inline>
        </w:drawing>
      </w:r>
      <w:r w:rsidRPr="2FCDE560" w:rsidR="6CF133EE">
        <w:rPr>
          <w:rFonts w:ascii="Aptos" w:hAnsi="Aptos" w:eastAsia="Aptos" w:cs="Aptos"/>
          <w:b w:val="0"/>
          <w:bCs w:val="0"/>
          <w:i w:val="0"/>
          <w:iCs w:val="0"/>
          <w:caps w:val="0"/>
          <w:smallCaps w:val="0"/>
          <w:noProof w:val="0"/>
          <w:color w:val="000000" w:themeColor="text1" w:themeTint="FF" w:themeShade="FF"/>
          <w:sz w:val="12"/>
          <w:szCs w:val="12"/>
          <w:lang w:val="en-GB"/>
        </w:rPr>
        <w:t>Figure 1 - Aerial view of Abbey Wood looking westwards with the Abbey precinct to the right (north)and Pontrhydfendigaid in the middle distance (Julian Ravest cited in Austin et all 2022)</w:t>
      </w:r>
    </w:p>
    <w:p xmlns:wp14="http://schemas.microsoft.com/office/word/2010/wordml" w:rsidP="2FCDE560" wp14:paraId="11E6C84E" wp14:textId="6E2BE06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The topography of Abbey Woods at Strata Florida is defined by its steep-sided valleys, irregular slopes, and undulating terrain, shaping both the ecological diversity and historic human interaction. Historically, this rugged landscape served as a natural enclosure, aiding Cistercian monks in managing the woodland. According to Austin et al. (2022), the area is marked by "irregular relief" and "natural drainage patterns," which influenced the layout of monastic boundaries and woodland use. The terrain’s complexity also discouraged encroachment, preserving elements like ancient man-made banks and coppiced trees that reflect centuries of sustainable woodland management.</w:t>
      </w:r>
    </w:p>
    <w:p xmlns:wp14="http://schemas.microsoft.com/office/word/2010/wordml" w:rsidP="2FCDE560" wp14:paraId="5D250DA5" wp14:textId="2D9FA52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2"/>
          <w:szCs w:val="12"/>
          <w:lang w:val="en-GB"/>
        </w:rPr>
      </w:pPr>
      <w:r w:rsidR="6CF133EE">
        <w:drawing>
          <wp:inline xmlns:wp14="http://schemas.microsoft.com/office/word/2010/wordprocessingDrawing" wp14:editId="72E8D54F" wp14:anchorId="5A7CBF40">
            <wp:extent cx="5715000" cy="3429000"/>
            <wp:effectExtent l="0" t="0" r="0" b="0"/>
            <wp:docPr id="1881544211" name="" descr="Picture" title=""/>
            <wp:cNvGraphicFramePr>
              <a:graphicFrameLocks noChangeAspect="1"/>
            </wp:cNvGraphicFramePr>
            <a:graphic>
              <a:graphicData uri="http://schemas.openxmlformats.org/drawingml/2006/picture">
                <pic:pic>
                  <pic:nvPicPr>
                    <pic:cNvPr id="0" name=""/>
                    <pic:cNvPicPr/>
                  </pic:nvPicPr>
                  <pic:blipFill>
                    <a:blip r:embed="R0f2b4e5b66294f91">
                      <a:extLst>
                        <a:ext xmlns:a="http://schemas.openxmlformats.org/drawingml/2006/main" uri="{28A0092B-C50C-407E-A947-70E740481C1C}">
                          <a14:useLocalDpi val="0"/>
                        </a:ext>
                      </a:extLst>
                    </a:blip>
                    <a:stretch>
                      <a:fillRect/>
                    </a:stretch>
                  </pic:blipFill>
                  <pic:spPr>
                    <a:xfrm>
                      <a:off x="0" y="0"/>
                      <a:ext cx="5715000" cy="3429000"/>
                    </a:xfrm>
                    <a:prstGeom prst="rect">
                      <a:avLst/>
                    </a:prstGeom>
                  </pic:spPr>
                </pic:pic>
              </a:graphicData>
            </a:graphic>
          </wp:inline>
        </w:drawing>
      </w:r>
      <w:r w:rsidRPr="2FCDE560" w:rsidR="6CF133EE">
        <w:rPr>
          <w:rFonts w:ascii="Aptos" w:hAnsi="Aptos" w:eastAsia="Aptos" w:cs="Aptos"/>
          <w:b w:val="0"/>
          <w:bCs w:val="0"/>
          <w:i w:val="0"/>
          <w:iCs w:val="0"/>
          <w:caps w:val="0"/>
          <w:smallCaps w:val="0"/>
          <w:noProof w:val="0"/>
          <w:color w:val="000000" w:themeColor="text1" w:themeTint="FF" w:themeShade="FF"/>
          <w:sz w:val="12"/>
          <w:szCs w:val="12"/>
          <w:lang w:val="en-GB"/>
        </w:rPr>
        <w:t>Figure 2 - Detail of original topographic survey by Louise Barker (RCAHMW). The linework depicts the woodland features, the earthworks originally surveyed astop and bottom of slopes alongside additional hard details such as water, stone and tracks. From this the 1:1000 scale hachure plan was produced, and, following ground truthing, the ﬁnal interpretative plan. (Louise Barker cited in Austin et al 2022, pg18).</w:t>
      </w:r>
    </w:p>
    <w:p xmlns:wp14="http://schemas.microsoft.com/office/word/2010/wordml" w:rsidP="2FCDE560" wp14:paraId="2AE17C27" wp14:textId="7521B8E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Figure 2 shows a topographical survey of the woodland and gives some idea of the shape of abbey woods as well as the features, earthworks and track ways throughout the woods.</w:t>
      </w:r>
    </w:p>
    <w:p xmlns:wp14="http://schemas.microsoft.com/office/word/2010/wordml" w:rsidP="2FCDE560" wp14:paraId="5381B55B" wp14:textId="11728C4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All landscapes possess a distinct character, shaped not only by natural features but also by centuries of human interaction. From an archaeological perspective, landscapes can be read as historical documents, repositories of memory and human endeavour. As Turner (2007, pp. 40–41) argues, landscapes should be understood as part of material culture: they are constructed, maintained, and modified in response to societal needs and values. This is evident in Abbey Woods, Strata Florida, where topography and vegetation reflect both ecological patterns and anthropogenic influences. Over time, human activity, through practices such as woodland management, farming, and the construction of monastic roads and boundaries, has profoundly shaped this environment.</w:t>
      </w:r>
    </w:p>
    <w:p xmlns:wp14="http://schemas.microsoft.com/office/word/2010/wordml" w:rsidP="2FCDE560" wp14:paraId="3EE07B6B" wp14:textId="119A5B1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The woodland was originally cultivated by Cistercian monks in the 12th century, who actively managed the space for resources like timber and charcoal, giving the area its utility-focused character. Austin et al 2022, suggests that the woodland was planted onto agricultural land. This highlights the value that the woodland would have had to the monks as Austin et al 2022 mentions that the land in and around abbey woods is good arable land. This may well be to do with the site being in the Valley floor of the Teifi valley, they were not short of arable land, but much less woodland was available and possibly restricted to the slopes. In the building of the abbey, they may have used all the large and suitable wood to build their rooves and houses, so thus would be motivated to plant and create a nearby woodland to suit their needs (Austin et al 2022 pg. 38).</w:t>
      </w:r>
    </w:p>
    <w:p xmlns:wp14="http://schemas.microsoft.com/office/word/2010/wordml" w:rsidP="2FCDE560" wp14:paraId="2F9D7AD6" wp14:textId="6518356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Bond cited in Austin et al 2022 pg. 44, makes the argument that monks or monastic communities may have been the first groups of people to plant woodlands deliberately, a practise commonly thought to have started in the sixteenth century. Which certainly seems to the case in Strata Florida.</w:t>
      </w:r>
    </w:p>
    <w:p xmlns:wp14="http://schemas.microsoft.com/office/word/2010/wordml" w:rsidP="2FCDE560" wp14:paraId="5BC04D18" wp14:textId="5D642B2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2"/>
          <w:szCs w:val="12"/>
          <w:lang w:val="en-GB"/>
        </w:rPr>
      </w:pPr>
      <w:r w:rsidR="6CF133EE">
        <w:drawing>
          <wp:inline xmlns:wp14="http://schemas.microsoft.com/office/word/2010/wordprocessingDrawing" wp14:editId="5E23DD7D" wp14:anchorId="67C95545">
            <wp:extent cx="5715000" cy="2914650"/>
            <wp:effectExtent l="0" t="0" r="0" b="0"/>
            <wp:docPr id="705916499" name="" descr="Picture" title=""/>
            <wp:cNvGraphicFramePr>
              <a:graphicFrameLocks noChangeAspect="1"/>
            </wp:cNvGraphicFramePr>
            <a:graphic>
              <a:graphicData uri="http://schemas.openxmlformats.org/drawingml/2006/picture">
                <pic:pic>
                  <pic:nvPicPr>
                    <pic:cNvPr id="0" name=""/>
                    <pic:cNvPicPr/>
                  </pic:nvPicPr>
                  <pic:blipFill>
                    <a:blip r:embed="R25265e7b29664118">
                      <a:extLst>
                        <a:ext xmlns:a="http://schemas.openxmlformats.org/drawingml/2006/main" uri="{28A0092B-C50C-407E-A947-70E740481C1C}">
                          <a14:useLocalDpi val="0"/>
                        </a:ext>
                      </a:extLst>
                    </a:blip>
                    <a:stretch>
                      <a:fillRect/>
                    </a:stretch>
                  </pic:blipFill>
                  <pic:spPr>
                    <a:xfrm>
                      <a:off x="0" y="0"/>
                      <a:ext cx="5715000" cy="2914650"/>
                    </a:xfrm>
                    <a:prstGeom prst="rect">
                      <a:avLst/>
                    </a:prstGeom>
                  </pic:spPr>
                </pic:pic>
              </a:graphicData>
            </a:graphic>
          </wp:inline>
        </w:drawing>
      </w:r>
      <w:r w:rsidRPr="2FCDE560" w:rsidR="6CF133EE">
        <w:rPr>
          <w:rFonts w:ascii="Aptos" w:hAnsi="Aptos" w:eastAsia="Aptos" w:cs="Aptos"/>
          <w:b w:val="0"/>
          <w:bCs w:val="0"/>
          <w:i w:val="0"/>
          <w:iCs w:val="0"/>
          <w:caps w:val="0"/>
          <w:smallCaps w:val="0"/>
          <w:noProof w:val="0"/>
          <w:color w:val="000000" w:themeColor="text1" w:themeTint="FF" w:themeShade="FF"/>
          <w:sz w:val="12"/>
          <w:szCs w:val="12"/>
          <w:lang w:val="en-GB"/>
        </w:rPr>
        <w:t>Figure 3 – Examples of coppiced trees (Woodland trust N.A)</w:t>
      </w:r>
    </w:p>
    <w:p xmlns:wp14="http://schemas.microsoft.com/office/word/2010/wordml" w:rsidP="2FCDE560" wp14:paraId="6507A6EB" wp14:textId="3781D8B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bookmarkStart w:name="_Int_sad4LeCq" w:id="428779925"/>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A number of</w:t>
      </w:r>
      <w:bookmarkEnd w:id="428779925"/>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 xml:space="preserve"> different tree species within abbey woods, these include oak, hazel, </w:t>
      </w: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ash</w:t>
      </w: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 xml:space="preserve"> and birch. The trees that are present in the woods today are </w:t>
      </w: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predominantly unlikely</w:t>
      </w: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 xml:space="preserve"> to be more than seventy to eighty years old, though it is likely that many of the trees there today are descendants of the original trees planted by the monks. It is a deciduous woodland, although there </w:t>
      </w:r>
      <w:bookmarkStart w:name="_Int_pStPrNJd" w:id="28258388"/>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are</w:t>
      </w:r>
      <w:bookmarkEnd w:id="28258388"/>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 xml:space="preserve"> some Sitka spruce due to commercial planting around the abbey. Austin et all 2022 Pg 40 mentions a long list of uses and benefits that a large woodland nearby would provide; as described by William Linnard 2000 cited by Austin et al. Large timber and logging debris (for large structures); underwood (for fuel and smaller construction); coppiced and </w:t>
      </w: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pollarded</w:t>
      </w: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 xml:space="preserve"> poles (also for smaller constructions but also charcoal burning); bark (for tanning); wind-thrown trees and dead wood (buildings, charcoal burning etc); tree foliage (winter fodder); fruits, berries and nuts (for human and animal food as well as medicinal herbs); mast pannage (for feeding pigs); herbage (for grazing animals); hawk nurseries; and wood ash and plants (for dyes).</w:t>
      </w:r>
    </w:p>
    <w:p xmlns:wp14="http://schemas.microsoft.com/office/word/2010/wordml" w:rsidP="2FCDE560" wp14:paraId="76583ABB" wp14:textId="67B97F8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2"/>
          <w:szCs w:val="12"/>
          <w:lang w:val="en-GB"/>
        </w:rPr>
      </w:pPr>
      <w:r w:rsidR="6CF133EE">
        <w:drawing>
          <wp:inline xmlns:wp14="http://schemas.microsoft.com/office/word/2010/wordprocessingDrawing" wp14:editId="15E0FCC0" wp14:anchorId="1E8188F9">
            <wp:extent cx="5715000" cy="2914650"/>
            <wp:effectExtent l="0" t="0" r="0" b="0"/>
            <wp:docPr id="1800122358" name="" descr="Picture" title=""/>
            <wp:cNvGraphicFramePr>
              <a:graphicFrameLocks noChangeAspect="1"/>
            </wp:cNvGraphicFramePr>
            <a:graphic>
              <a:graphicData uri="http://schemas.openxmlformats.org/drawingml/2006/picture">
                <pic:pic>
                  <pic:nvPicPr>
                    <pic:cNvPr id="0" name=""/>
                    <pic:cNvPicPr/>
                  </pic:nvPicPr>
                  <pic:blipFill>
                    <a:blip r:embed="R2d802940a682496f">
                      <a:extLst>
                        <a:ext xmlns:a="http://schemas.openxmlformats.org/drawingml/2006/main" uri="{28A0092B-C50C-407E-A947-70E740481C1C}">
                          <a14:useLocalDpi val="0"/>
                        </a:ext>
                      </a:extLst>
                    </a:blip>
                    <a:stretch>
                      <a:fillRect/>
                    </a:stretch>
                  </pic:blipFill>
                  <pic:spPr>
                    <a:xfrm>
                      <a:off x="0" y="0"/>
                      <a:ext cx="5715000" cy="2914650"/>
                    </a:xfrm>
                    <a:prstGeom prst="rect">
                      <a:avLst/>
                    </a:prstGeom>
                  </pic:spPr>
                </pic:pic>
              </a:graphicData>
            </a:graphic>
          </wp:inline>
        </w:drawing>
      </w:r>
      <w:r w:rsidRPr="2FCDE560" w:rsidR="6CF133EE">
        <w:rPr>
          <w:rFonts w:ascii="Aptos" w:hAnsi="Aptos" w:eastAsia="Aptos" w:cs="Aptos"/>
          <w:b w:val="0"/>
          <w:bCs w:val="0"/>
          <w:i w:val="0"/>
          <w:iCs w:val="0"/>
          <w:caps w:val="0"/>
          <w:smallCaps w:val="0"/>
          <w:noProof w:val="0"/>
          <w:color w:val="000000" w:themeColor="text1" w:themeTint="FF" w:themeShade="FF"/>
          <w:sz w:val="12"/>
          <w:szCs w:val="12"/>
          <w:lang w:val="en-GB"/>
        </w:rPr>
        <w:t>Figure 4 – Examples of Pollarded trees (Woodland trust n.a)</w:t>
      </w:r>
    </w:p>
    <w:p xmlns:wp14="http://schemas.microsoft.com/office/word/2010/wordml" w:rsidP="2FCDE560" wp14:paraId="612B79A4" wp14:textId="7F434D3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 xml:space="preserve">There is evidence of coppicing and pollarding in abbey wood as Austin et all 2022 pg. 40 cites Mont Coll 1893, mentioning the existence of coppicing in Abbey woods “There was an almost perfect classical coppice with ﬁfteen blocks, each of two acres, carrying simple coppice”. This proves there was coppicing taking place in Abbey Woods even centuries ago but also </w:t>
      </w:r>
      <w:bookmarkStart w:name="_Int_tcFxrIs7" w:id="1462162923"/>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supports</w:t>
      </w:r>
      <w:bookmarkEnd w:id="1462162923"/>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 xml:space="preserve"> the argument that Abbey Woods was indeed a utility woodland, carefully managed and </w:t>
      </w: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maintained</w:t>
      </w: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 xml:space="preserve"> by its historical inhabitants for sustainable resource extraction, timber production, and long-term woodland preservation within a broader monastic landscape.</w:t>
      </w:r>
    </w:p>
    <w:p xmlns:wp14="http://schemas.microsoft.com/office/word/2010/wordml" w:rsidP="2FCDE560" wp14:paraId="4A2B49D3" wp14:textId="73563E5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 xml:space="preserve">Coppicing and pollarding are traditional woodland management techniques that support the idea that Abbey Woods was historically a utility woodland. Coppicing, which involves repeatedly cutting trees near ground level to encourage new shoots “Coppicing is a traditional method of woodland management that exploits the capacity of many trees to put out new shoots from their stump or roots.” (Woodland trust </w:t>
      </w: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n.d</w:t>
      </w: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 This allowed for renewable sources of timber and charcoal. Pollarding, by contrast, involves cutting trees at a height above browsing animals “Pollarding was often used to prevent animals eating new shoots and to produce a steady supply of wood or foliage.” (Above All Tree Care 2025), making it ideal for areas where livestock roamed. The presence of ancient stools and shaped tree forms in Abbey Woods strongly suggests these practices were part of a sustainable strategy employed by the Cistercian monks. Such interventions reflect a deliberate shaping of the landscape for both practical and ecological benefits, further reinforcing the woodland’s managed, utilitarian character over centuries.</w:t>
      </w:r>
    </w:p>
    <w:p xmlns:wp14="http://schemas.microsoft.com/office/word/2010/wordml" w:rsidP="2FCDE560" wp14:paraId="0F41C06A" wp14:textId="27446CAA">
      <w:pPr>
        <w:spacing w:before="240" w:beforeAutospacing="off" w:after="240" w:afterAutospacing="off"/>
        <w:rPr>
          <w:sz w:val="12"/>
          <w:szCs w:val="12"/>
        </w:rPr>
      </w:pPr>
      <w:r w:rsidR="49F010F0">
        <w:drawing>
          <wp:inline xmlns:wp14="http://schemas.microsoft.com/office/word/2010/wordprocessingDrawing" wp14:editId="332CE41C" wp14:anchorId="78895810">
            <wp:extent cx="5724524" cy="4514850"/>
            <wp:effectExtent l="0" t="0" r="0" b="0"/>
            <wp:docPr id="1904888230" name="" title=""/>
            <wp:cNvGraphicFramePr>
              <a:graphicFrameLocks noChangeAspect="1"/>
            </wp:cNvGraphicFramePr>
            <a:graphic>
              <a:graphicData uri="http://schemas.openxmlformats.org/drawingml/2006/picture">
                <pic:pic>
                  <pic:nvPicPr>
                    <pic:cNvPr id="0" name=""/>
                    <pic:cNvPicPr/>
                  </pic:nvPicPr>
                  <pic:blipFill>
                    <a:blip r:embed="Re7e659ed6382403b">
                      <a:extLst>
                        <a:ext xmlns:a="http://schemas.openxmlformats.org/drawingml/2006/main" uri="{28A0092B-C50C-407E-A947-70E740481C1C}">
                          <a14:useLocalDpi val="0"/>
                        </a:ext>
                      </a:extLst>
                    </a:blip>
                    <a:stretch>
                      <a:fillRect/>
                    </a:stretch>
                  </pic:blipFill>
                  <pic:spPr>
                    <a:xfrm>
                      <a:off x="0" y="0"/>
                      <a:ext cx="5724524" cy="4514850"/>
                    </a:xfrm>
                    <a:prstGeom prst="rect">
                      <a:avLst/>
                    </a:prstGeom>
                  </pic:spPr>
                </pic:pic>
              </a:graphicData>
            </a:graphic>
          </wp:inline>
        </w:drawing>
      </w:r>
      <w:r w:rsidRPr="2FCDE560" w:rsidR="49F010F0">
        <w:rPr>
          <w:sz w:val="12"/>
          <w:szCs w:val="12"/>
        </w:rPr>
        <w:t>Figure 5 - Abbey Wood by Pete Davis in his Wildwood collection. Part of the earthworks are visible in the foreground. Reproduced by kind permission of Pete Davis. (Austin et al 2022)</w:t>
      </w:r>
    </w:p>
    <w:p xmlns:wp14="http://schemas.microsoft.com/office/word/2010/wordml" w:rsidP="2FCDE560" wp14:paraId="677EE0E2" wp14:textId="3D3DFD2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Abbey Woods is a landscape of enduring cultural and archaeological value, offering more than just natural beauty it is a testament to human interaction with the environment across time. During the medieval period, the woodland played a fundamental role in the daily life and economic functioning of the Cistercian monastery at Strata Florida. Far from untouched wilderness, it was actively maintained for its resources, including timber and fuel, and shaped through woodland techniques such as coppicing and pollarding. These practices not only sustained the abbey materially but also reflected a broader philosophy of harmony between nature and religious labour. The woodland likely served as both a practical resource and a contemplative refuge, deeply embedded in the monastic worldview.</w:t>
      </w:r>
    </w:p>
    <w:p xmlns:wp14="http://schemas.microsoft.com/office/word/2010/wordml" w:rsidP="2FCDE560" wp14:paraId="262BD3BC" wp14:textId="1DF7076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Today, Abbey Woods continues to provide a valuable resource, this time for historical inquiry and education. For archaeologists, it is a rare example of a semi-natural environment that still retains features shaped by medieval land use. The visible remnants of human activity, including earthworks and tree modifications, give researchers a tangible link to the past. Moreover, for students of archaeology and landscape history, the woods function as an immersive learning environment, where complex theories of land use, sustainability, and cultural geography can be experienced firsthand. Its long-term continuity offers a unique perspective on how landscapes evolve while still retaining traces of their earlier functions. In this way, Abbey Woods remains a vital space for understanding the enduring relationship between people and place, linking past practice with contemporary scholarship.</w:t>
      </w:r>
    </w:p>
    <w:p xmlns:wp14="http://schemas.microsoft.com/office/word/2010/wordml" w:rsidP="2FCDE560" wp14:paraId="509B9856" wp14:textId="183BCEA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15C526AD" wp14:textId="3B0E29A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208A04A8" wp14:textId="74D415E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084C0F3A" wp14:textId="7D738C1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5E636829" wp14:textId="1B06142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3445CC9B" wp14:textId="71DDACE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6BC3596D" wp14:textId="79F7DB6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7E2F7401" wp14:textId="2F0A6DE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00301A5D" wp14:textId="5FA54F5D">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2D683306" wp14:textId="28A4E6A9">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21663210" wp14:textId="002E3FCA">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29E15033" wp14:textId="0BB12EB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0C200CF8" wp14:textId="46F42EB3">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2F0C8F37" wp14:textId="63A7C61C">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3CE40721" wp14:textId="7D1FAFE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6ACD66B7" wp14:textId="058090D0">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765AD2E5" wp14:textId="71912956">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1A686BC8" wp14:textId="0245B9E9">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631DE40A" wp14:textId="6A105EE0">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223801C1" wp14:textId="5E8BB07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4CB0BE33" wp14:textId="7080340C">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4767EBF7" wp14:textId="3C57930C">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4E1E544D" wp14:textId="0F9466C4">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475F2449" wp14:textId="73A9C5A4">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06EC7984" wp14:textId="095C8B87">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44ED2104" wp14:textId="19679432">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7D32CD68" wp14:textId="3F2FDE6F">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16B7715D" wp14:textId="65C0D17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64A0E00F" wp14:textId="30470AF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3ABF2960" wp14:textId="7C3287D1">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6D901452" wp14:textId="5C0A8530">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2EF32CFE" wp14:textId="26D3B8A8">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1ADE4CA7" wp14:textId="03DE4656">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41FD0948" wp14:textId="4CCD9D28">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5D137DF8" wp14:textId="0821CA5E">
      <w:pPr>
        <w:rPr>
          <w:rFonts w:ascii="Aptos" w:hAnsi="Aptos" w:eastAsia="Aptos" w:cs="Aptos"/>
          <w:b w:val="0"/>
          <w:bCs w:val="0"/>
          <w:i w:val="0"/>
          <w:iCs w:val="0"/>
          <w:caps w:val="0"/>
          <w:smallCaps w:val="0"/>
          <w:noProof w:val="0"/>
          <w:color w:val="000000" w:themeColor="text1" w:themeTint="FF" w:themeShade="FF"/>
          <w:sz w:val="24"/>
          <w:szCs w:val="24"/>
          <w:lang w:val="en-GB"/>
        </w:rPr>
      </w:pP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Bibliography</w:t>
      </w:r>
    </w:p>
    <w:p xmlns:wp14="http://schemas.microsoft.com/office/word/2010/wordml" w:rsidP="2FCDE560" wp14:paraId="1E3718D3" wp14:textId="542DEA64">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 xml:space="preserve">Anon, (2016). </w:t>
      </w:r>
      <w:r w:rsidRPr="2FCDE560" w:rsidR="6CF133EE">
        <w:rPr>
          <w:rFonts w:ascii="Aptos" w:hAnsi="Aptos" w:eastAsia="Aptos" w:cs="Aptos"/>
          <w:b w:val="0"/>
          <w:bCs w:val="0"/>
          <w:i w:val="1"/>
          <w:iCs w:val="1"/>
          <w:caps w:val="0"/>
          <w:smallCaps w:val="0"/>
          <w:noProof w:val="0"/>
          <w:color w:val="000000" w:themeColor="text1" w:themeTint="FF" w:themeShade="FF"/>
          <w:sz w:val="24"/>
          <w:szCs w:val="24"/>
          <w:lang w:val="en-GB"/>
        </w:rPr>
        <w:t>About</w:t>
      </w: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 xml:space="preserve">. [online] Available at: </w:t>
      </w:r>
      <w:hyperlink r:id="R1e6f6ed28e954729">
        <w:r w:rsidRPr="2FCDE560" w:rsidR="6CF133EE">
          <w:rPr>
            <w:rStyle w:val="Hyperlink"/>
            <w:rFonts w:ascii="Aptos" w:hAnsi="Aptos" w:eastAsia="Aptos" w:cs="Aptos"/>
            <w:b w:val="0"/>
            <w:bCs w:val="0"/>
            <w:i w:val="0"/>
            <w:iCs w:val="0"/>
            <w:caps w:val="0"/>
            <w:smallCaps w:val="0"/>
            <w:strike w:val="0"/>
            <w:dstrike w:val="0"/>
            <w:noProof w:val="0"/>
            <w:sz w:val="24"/>
            <w:szCs w:val="24"/>
            <w:lang w:val="en-GB"/>
          </w:rPr>
          <w:t>https://www.strataflorida.org.uk/about.html</w:t>
        </w:r>
      </w:hyperlink>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FCDE560" wp14:paraId="14843D97" wp14:textId="3EB1AA3F">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1A95A976" wp14:textId="713D2120">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 xml:space="preserve">Austin, D., Bezant, J. and Barker, L. (2022). The Archaeology of Abbey Wood, Strata Florida, Ceredigion, Wales. </w:t>
      </w:r>
      <w:r w:rsidRPr="2FCDE560" w:rsidR="6CF133EE">
        <w:rPr>
          <w:rFonts w:ascii="Aptos" w:hAnsi="Aptos" w:eastAsia="Aptos" w:cs="Aptos"/>
          <w:b w:val="0"/>
          <w:bCs w:val="0"/>
          <w:i w:val="1"/>
          <w:iCs w:val="1"/>
          <w:caps w:val="0"/>
          <w:smallCaps w:val="0"/>
          <w:noProof w:val="0"/>
          <w:color w:val="000000" w:themeColor="text1" w:themeTint="FF" w:themeShade="FF"/>
          <w:sz w:val="24"/>
          <w:szCs w:val="24"/>
          <w:lang w:val="en-GB"/>
        </w:rPr>
        <w:t>Landscapes</w:t>
      </w: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 23(1), pp.1–47. doi:https://doi.org/10.1080/14662035.2022.2145863.</w:t>
      </w:r>
    </w:p>
    <w:p xmlns:wp14="http://schemas.microsoft.com/office/word/2010/wordml" w:rsidP="2FCDE560" wp14:paraId="0E2F4D4F" wp14:textId="6DC4D01B">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396C8C20" wp14:textId="1D4F389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 xml:space="preserve">Turner, S. (2007). Landscape Archaeology for the Past and Future: The Place of Historic Landscape Characterisation. </w:t>
      </w:r>
      <w:r w:rsidRPr="2FCDE560" w:rsidR="6CF133EE">
        <w:rPr>
          <w:rFonts w:ascii="Aptos" w:hAnsi="Aptos" w:eastAsia="Aptos" w:cs="Aptos"/>
          <w:b w:val="0"/>
          <w:bCs w:val="0"/>
          <w:i w:val="1"/>
          <w:iCs w:val="1"/>
          <w:caps w:val="0"/>
          <w:smallCaps w:val="0"/>
          <w:noProof w:val="0"/>
          <w:color w:val="000000" w:themeColor="text1" w:themeTint="FF" w:themeShade="FF"/>
          <w:sz w:val="24"/>
          <w:szCs w:val="24"/>
          <w:lang w:val="en-GB"/>
        </w:rPr>
        <w:t>Landscapes</w:t>
      </w: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 8(2), pp.40–49. doi:https://doi.org/10.1179/lan.2007.8.2.40.</w:t>
      </w:r>
    </w:p>
    <w:p xmlns:wp14="http://schemas.microsoft.com/office/word/2010/wordml" w:rsidP="2FCDE560" wp14:paraId="71F6FD0F" wp14:textId="50A50EFF">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4BBFBC51" wp14:textId="2179D103">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 xml:space="preserve">Woodland Trust (2023). </w:t>
      </w:r>
      <w:r w:rsidRPr="2FCDE560" w:rsidR="6CF133EE">
        <w:rPr>
          <w:rFonts w:ascii="Aptos" w:hAnsi="Aptos" w:eastAsia="Aptos" w:cs="Aptos"/>
          <w:b w:val="0"/>
          <w:bCs w:val="0"/>
          <w:i w:val="1"/>
          <w:iCs w:val="1"/>
          <w:caps w:val="0"/>
          <w:smallCaps w:val="0"/>
          <w:noProof w:val="0"/>
          <w:color w:val="000000" w:themeColor="text1" w:themeTint="FF" w:themeShade="FF"/>
          <w:sz w:val="24"/>
          <w:szCs w:val="24"/>
          <w:lang w:val="en-GB"/>
        </w:rPr>
        <w:t>Types of woodland management</w:t>
      </w: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 xml:space="preserve">. [online] Woodland Trust. Available at: </w:t>
      </w:r>
      <w:hyperlink r:id="R797a44ce795f48b1">
        <w:r w:rsidRPr="2FCDE560" w:rsidR="6CF133EE">
          <w:rPr>
            <w:rStyle w:val="Hyperlink"/>
            <w:rFonts w:ascii="Aptos" w:hAnsi="Aptos" w:eastAsia="Aptos" w:cs="Aptos"/>
            <w:b w:val="0"/>
            <w:bCs w:val="0"/>
            <w:i w:val="0"/>
            <w:iCs w:val="0"/>
            <w:caps w:val="0"/>
            <w:smallCaps w:val="0"/>
            <w:strike w:val="0"/>
            <w:dstrike w:val="0"/>
            <w:noProof w:val="0"/>
            <w:sz w:val="24"/>
            <w:szCs w:val="24"/>
            <w:lang w:val="en-GB"/>
          </w:rPr>
          <w:t>https://www.woodlandtrust.org.uk/plant-trees/managing-trees-and-woods/types-of-woodland-management/</w:t>
        </w:r>
      </w:hyperlink>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w:t>
      </w:r>
    </w:p>
    <w:p xmlns:wp14="http://schemas.microsoft.com/office/word/2010/wordml" w:rsidP="2FCDE560" wp14:paraId="645027FE" wp14:textId="372A4839">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71173420" wp14:textId="7E50E111">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hyperlink r:id="Rd47305215b4c4e83">
        <w:r w:rsidRPr="2FCDE560" w:rsidR="6CF133EE">
          <w:rPr>
            <w:rStyle w:val="Hyperlink"/>
            <w:rFonts w:ascii="Aptos" w:hAnsi="Aptos" w:eastAsia="Aptos" w:cs="Aptos"/>
            <w:b w:val="0"/>
            <w:bCs w:val="0"/>
            <w:i w:val="0"/>
            <w:iCs w:val="0"/>
            <w:caps w:val="0"/>
            <w:smallCaps w:val="0"/>
            <w:strike w:val="0"/>
            <w:dstrike w:val="0"/>
            <w:noProof w:val="0"/>
            <w:sz w:val="24"/>
            <w:szCs w:val="24"/>
            <w:lang w:val="en-GB"/>
          </w:rPr>
          <w:t>support@intertecdatasolutions.com</w:t>
        </w:r>
      </w:hyperlink>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 xml:space="preserve"> (2025). </w:t>
      </w:r>
      <w:r w:rsidRPr="2FCDE560" w:rsidR="6CF133EE">
        <w:rPr>
          <w:rFonts w:ascii="Aptos" w:hAnsi="Aptos" w:eastAsia="Aptos" w:cs="Aptos"/>
          <w:b w:val="0"/>
          <w:bCs w:val="0"/>
          <w:i w:val="1"/>
          <w:iCs w:val="1"/>
          <w:caps w:val="0"/>
          <w:smallCaps w:val="0"/>
          <w:noProof w:val="0"/>
          <w:color w:val="000000" w:themeColor="text1" w:themeTint="FF" w:themeShade="FF"/>
          <w:sz w:val="24"/>
          <w:szCs w:val="24"/>
          <w:lang w:val="en-GB"/>
        </w:rPr>
        <w:t>What is the Difference Between Pollarding and Coppicing? | Above All Tree Care</w:t>
      </w:r>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 xml:space="preserve">. [online] Above All Tree Care. Available at: </w:t>
      </w:r>
      <w:hyperlink r:id="Rfa5e0f7c7c6242e3">
        <w:r w:rsidRPr="2FCDE560" w:rsidR="6CF133EE">
          <w:rPr>
            <w:rStyle w:val="Hyperlink"/>
            <w:rFonts w:ascii="Aptos" w:hAnsi="Aptos" w:eastAsia="Aptos" w:cs="Aptos"/>
            <w:b w:val="0"/>
            <w:bCs w:val="0"/>
            <w:i w:val="0"/>
            <w:iCs w:val="0"/>
            <w:caps w:val="0"/>
            <w:smallCaps w:val="0"/>
            <w:strike w:val="0"/>
            <w:dstrike w:val="0"/>
            <w:noProof w:val="0"/>
            <w:sz w:val="24"/>
            <w:szCs w:val="24"/>
            <w:lang w:val="en-GB"/>
          </w:rPr>
          <w:t>https://www.abovealltreecare.co.uk/what-is-the-difference-between-pollarding-and-coppicing/</w:t>
        </w:r>
      </w:hyperlink>
      <w:r w:rsidRPr="2FCDE560" w:rsidR="6CF133E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FCDE560" wp14:paraId="56A58017" wp14:textId="6E016572">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FCDE560" w:rsidR="6CF133EE">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2FCDE560" wp14:paraId="47702702" wp14:textId="002A33A4">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xmlns:wp14="http://schemas.microsoft.com/office/word/2010/wordml" w:rsidP="2FCDE560" wp14:paraId="71C92599" wp14:textId="2860D0A3">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2FCDE560" w:rsidR="6CF133EE">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2FCDE560" wp14:paraId="5B54E995" wp14:textId="3D987A68">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06E5D84A" wp14:textId="0173924B">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507023E4" wp14:textId="2D62B3E5">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2FCDE560" w:rsidR="6CF133EE">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2FCDE560" wp14:paraId="3CCFA895" wp14:textId="4763A426">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xmlns:wp14="http://schemas.microsoft.com/office/word/2010/wordml" w:rsidP="2FCDE560" wp14:paraId="54D9740C" wp14:textId="3551FE33">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2FCDE560" w:rsidR="6CF133EE">
        <w:rPr>
          <w:rFonts w:ascii="Calibri" w:hAnsi="Calibri" w:eastAsia="Calibri" w:cs="Calibri"/>
          <w:b w:val="0"/>
          <w:bCs w:val="0"/>
          <w:i w:val="0"/>
          <w:iCs w:val="0"/>
          <w:caps w:val="0"/>
          <w:smallCaps w:val="0"/>
          <w:noProof w:val="0"/>
          <w:color w:val="000000" w:themeColor="text1" w:themeTint="FF" w:themeShade="FF"/>
          <w:sz w:val="24"/>
          <w:szCs w:val="24"/>
          <w:lang w:val="en-GB"/>
        </w:rPr>
        <w:t>‌</w:t>
      </w:r>
    </w:p>
    <w:p xmlns:wp14="http://schemas.microsoft.com/office/word/2010/wordml" w:rsidP="2FCDE560" wp14:paraId="67689740" wp14:textId="4671ADFB">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FCDE560" wp14:paraId="61C32D36" wp14:textId="388A1ADB">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3003F52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Dl6/FGEdad4mbj" int2:id="lqk7sAPL">
      <int2:state int2:type="AugLoop_Text_Critique" int2:value="Rejected"/>
    </int2:textHash>
    <int2:textHash int2:hashCode="5/ZFx9R7NF1wxb" int2:id="rjCG2JsJ">
      <int2:state int2:type="AugLoop_Text_Critique" int2:value="Rejected"/>
    </int2:textHash>
    <int2:textHash int2:hashCode="YYLF6VFjtusISr" int2:id="LLbygrml">
      <int2:state int2:type="AugLoop_Text_Critique" int2:value="Rejected"/>
    </int2:textHash>
    <int2:bookmark int2:bookmarkName="_Int_pStPrNJd" int2:invalidationBookmarkName="" int2:hashCode="X55YArurxx+Sdf" int2:id="hw80zGF2">
      <int2:state int2:type="AugLoop_Text_Critique" int2:value="Rejected"/>
    </int2:bookmark>
    <int2:bookmark int2:bookmarkName="_Int_sad4LeCq" int2:invalidationBookmarkName="" int2:hashCode="WnZTP6IPvFw6Ut" int2:id="WgtkRWwT">
      <int2:state int2:type="AugLoop_Text_Critique" int2:value="Rejected"/>
    </int2:bookmark>
    <int2:bookmark int2:bookmarkName="_Int_tcFxrIs7" int2:invalidationBookmarkName="" int2:hashCode="ihRxHai4ZMC4j7" int2:id="eNivnLO6">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30FFA3"/>
    <w:rsid w:val="2FCDE560"/>
    <w:rsid w:val="333C90F7"/>
    <w:rsid w:val="3C30FFA3"/>
    <w:rsid w:val="49F010F0"/>
    <w:rsid w:val="6CF133EE"/>
    <w:rsid w:val="6E1E15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0FFA3"/>
  <w15:chartTrackingRefBased/>
  <w15:docId w15:val="{1E52F44C-D630-4ACD-B8BA-6C562EE91C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FCDE56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fe80da28cce4334" /><Relationship Type="http://schemas.openxmlformats.org/officeDocument/2006/relationships/image" Target="/media/image2.png" Id="R0f2b4e5b66294f91" /><Relationship Type="http://schemas.openxmlformats.org/officeDocument/2006/relationships/image" Target="/media/image3.png" Id="R25265e7b29664118" /><Relationship Type="http://schemas.openxmlformats.org/officeDocument/2006/relationships/image" Target="/media/image4.png" Id="R2d802940a682496f" /><Relationship Type="http://schemas.openxmlformats.org/officeDocument/2006/relationships/image" Target="/media/image5.png" Id="Re7e659ed6382403b" /><Relationship Type="http://schemas.openxmlformats.org/officeDocument/2006/relationships/hyperlink" Target="https://www.strataflorida.org.uk/about.html" TargetMode="External" Id="R1e6f6ed28e954729" /><Relationship Type="http://schemas.openxmlformats.org/officeDocument/2006/relationships/hyperlink" Target="https://www.woodlandtrust.org.uk/plant-trees/managing-trees-and-woods/types-of-woodland-management/" TargetMode="External" Id="R797a44ce795f48b1" /><Relationship Type="http://schemas.openxmlformats.org/officeDocument/2006/relationships/hyperlink" Target="mailto:support@intertecdatasolutions.com" TargetMode="External" Id="Rd47305215b4c4e83" /><Relationship Type="http://schemas.openxmlformats.org/officeDocument/2006/relationships/hyperlink" Target="https://www.abovealltreecare.co.uk/what-is-the-difference-between-pollarding-and-coppicing/" TargetMode="External" Id="Rfa5e0f7c7c6242e3" /><Relationship Type="http://schemas.microsoft.com/office/2020/10/relationships/intelligence" Target="/word/intelligence2.xml" Id="R2188d27ccce047a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Leon Griffiths (2401193)</dc:creator>
  <keywords/>
  <dc:description/>
  <lastModifiedBy>Leon Griffiths (2401193)</lastModifiedBy>
  <revision>2</revision>
  <dcterms:created xsi:type="dcterms:W3CDTF">2025-05-29T14:43:41.8236182Z</dcterms:created>
  <dcterms:modified xsi:type="dcterms:W3CDTF">2025-05-29T14:47:03.7851861Z</dcterms:modified>
</coreProperties>
</file>