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2F24C" w14:textId="3F1B7CEC" w:rsidR="007E08D8" w:rsidRDefault="008774BD" w:rsidP="008774BD">
      <w:pPr>
        <w:jc w:val="center"/>
        <w:rPr>
          <w:rFonts w:ascii="Arial" w:hAnsi="Arial" w:cs="Arial"/>
          <w:b/>
          <w:bCs/>
          <w:sz w:val="24"/>
          <w:szCs w:val="24"/>
          <w:u w:val="single"/>
        </w:rPr>
      </w:pPr>
      <w:r w:rsidRPr="008774BD">
        <w:rPr>
          <w:rFonts w:ascii="Arial" w:hAnsi="Arial" w:cs="Arial"/>
          <w:b/>
          <w:bCs/>
          <w:sz w:val="24"/>
          <w:szCs w:val="24"/>
          <w:u w:val="single"/>
        </w:rPr>
        <w:t>C</w:t>
      </w:r>
      <w:r w:rsidRPr="008774BD">
        <w:rPr>
          <w:rFonts w:ascii="Arial" w:hAnsi="Arial" w:cs="Arial"/>
          <w:b/>
          <w:bCs/>
          <w:sz w:val="24"/>
          <w:szCs w:val="24"/>
          <w:u w:val="single"/>
        </w:rPr>
        <w:t xml:space="preserve">riminal </w:t>
      </w:r>
      <w:r w:rsidRPr="008774BD">
        <w:rPr>
          <w:rFonts w:ascii="Arial" w:hAnsi="Arial" w:cs="Arial"/>
          <w:b/>
          <w:bCs/>
          <w:sz w:val="24"/>
          <w:szCs w:val="24"/>
          <w:u w:val="single"/>
        </w:rPr>
        <w:t>L</w:t>
      </w:r>
      <w:r w:rsidRPr="008774BD">
        <w:rPr>
          <w:rFonts w:ascii="Arial" w:hAnsi="Arial" w:cs="Arial"/>
          <w:b/>
          <w:bCs/>
          <w:sz w:val="24"/>
          <w:szCs w:val="24"/>
          <w:u w:val="single"/>
        </w:rPr>
        <w:t>iability</w:t>
      </w:r>
    </w:p>
    <w:p w14:paraId="1A4542F3" w14:textId="7CBCFB77" w:rsidR="00F822A9" w:rsidRDefault="00E951A2" w:rsidP="008774BD">
      <w:pPr>
        <w:rPr>
          <w:rFonts w:ascii="Arial" w:hAnsi="Arial" w:cs="Arial"/>
          <w:sz w:val="24"/>
          <w:szCs w:val="24"/>
        </w:rPr>
      </w:pPr>
      <w:r>
        <w:rPr>
          <w:rFonts w:ascii="Arial" w:hAnsi="Arial" w:cs="Arial"/>
          <w:sz w:val="24"/>
          <w:szCs w:val="24"/>
        </w:rPr>
        <w:t xml:space="preserve">Criminal liability is known as a person being responsible or even liable towards a crime </w:t>
      </w:r>
      <w:r w:rsidR="00AC5419">
        <w:rPr>
          <w:rFonts w:ascii="Arial" w:hAnsi="Arial" w:cs="Arial"/>
          <w:sz w:val="24"/>
          <w:szCs w:val="24"/>
        </w:rPr>
        <w:t xml:space="preserve">that they have acted within criminal intention, </w:t>
      </w:r>
      <w:r w:rsidR="008845A7" w:rsidRPr="008845A7">
        <w:rPr>
          <w:rFonts w:ascii="Arial" w:hAnsi="Arial" w:cs="Arial"/>
          <w:sz w:val="24"/>
          <w:szCs w:val="24"/>
        </w:rPr>
        <w:t xml:space="preserve">as opposed to </w:t>
      </w:r>
      <w:r w:rsidR="008845A7">
        <w:rPr>
          <w:rFonts w:ascii="Arial" w:hAnsi="Arial" w:cs="Arial"/>
          <w:sz w:val="24"/>
          <w:szCs w:val="24"/>
        </w:rPr>
        <w:t>carrying out the act</w:t>
      </w:r>
      <w:r w:rsidR="008845A7" w:rsidRPr="008845A7">
        <w:rPr>
          <w:rFonts w:ascii="Arial" w:hAnsi="Arial" w:cs="Arial"/>
          <w:sz w:val="24"/>
          <w:szCs w:val="24"/>
        </w:rPr>
        <w:t xml:space="preserve"> accidentally or lacking the </w:t>
      </w:r>
      <w:r w:rsidR="008845A7" w:rsidRPr="008845A7">
        <w:rPr>
          <w:rFonts w:ascii="Arial" w:hAnsi="Arial" w:cs="Arial"/>
          <w:sz w:val="24"/>
          <w:szCs w:val="24"/>
        </w:rPr>
        <w:t>capability</w:t>
      </w:r>
      <w:r w:rsidR="008845A7" w:rsidRPr="008845A7">
        <w:rPr>
          <w:rFonts w:ascii="Arial" w:hAnsi="Arial" w:cs="Arial"/>
          <w:sz w:val="24"/>
          <w:szCs w:val="24"/>
        </w:rPr>
        <w:t xml:space="preserve"> to act </w:t>
      </w:r>
      <w:r w:rsidR="008845A7" w:rsidRPr="008845A7">
        <w:rPr>
          <w:rFonts w:ascii="Arial" w:hAnsi="Arial" w:cs="Arial"/>
          <w:sz w:val="24"/>
          <w:szCs w:val="24"/>
        </w:rPr>
        <w:t>knowingly</w:t>
      </w:r>
      <w:r w:rsidR="001040BE">
        <w:rPr>
          <w:rFonts w:ascii="Arial" w:hAnsi="Arial" w:cs="Arial"/>
          <w:sz w:val="24"/>
          <w:szCs w:val="24"/>
        </w:rPr>
        <w:t xml:space="preserve"> </w:t>
      </w:r>
      <w:r w:rsidR="001040BE" w:rsidRPr="001040BE">
        <w:rPr>
          <w:rFonts w:ascii="Arial" w:hAnsi="Arial" w:cs="Arial"/>
          <w:sz w:val="24"/>
          <w:szCs w:val="24"/>
        </w:rPr>
        <w:t>(England, 2014)</w:t>
      </w:r>
      <w:r w:rsidR="008845A7" w:rsidRPr="008845A7">
        <w:rPr>
          <w:rFonts w:ascii="Arial" w:hAnsi="Arial" w:cs="Arial"/>
          <w:sz w:val="24"/>
          <w:szCs w:val="24"/>
        </w:rPr>
        <w:t>.</w:t>
      </w:r>
      <w:r w:rsidR="008845A7">
        <w:rPr>
          <w:rFonts w:ascii="Arial" w:hAnsi="Arial" w:cs="Arial"/>
          <w:sz w:val="24"/>
          <w:szCs w:val="24"/>
        </w:rPr>
        <w:t xml:space="preserve"> </w:t>
      </w:r>
      <w:r w:rsidR="001040BE">
        <w:rPr>
          <w:rFonts w:ascii="Arial" w:hAnsi="Arial" w:cs="Arial"/>
          <w:sz w:val="24"/>
          <w:szCs w:val="24"/>
        </w:rPr>
        <w:t xml:space="preserve">Within the many legal system individuals will only be </w:t>
      </w:r>
      <w:r w:rsidR="001040BE" w:rsidRPr="001040BE">
        <w:rPr>
          <w:rFonts w:ascii="Arial" w:hAnsi="Arial" w:cs="Arial"/>
          <w:sz w:val="24"/>
          <w:szCs w:val="24"/>
        </w:rPr>
        <w:t>punished for a crime if they</w:t>
      </w:r>
      <w:r w:rsidR="001040BE">
        <w:rPr>
          <w:rFonts w:ascii="Arial" w:hAnsi="Arial" w:cs="Arial"/>
          <w:sz w:val="24"/>
          <w:szCs w:val="24"/>
        </w:rPr>
        <w:t xml:space="preserve"> have </w:t>
      </w:r>
      <w:r w:rsidR="00B037A8">
        <w:rPr>
          <w:rFonts w:ascii="Arial" w:hAnsi="Arial" w:cs="Arial"/>
          <w:sz w:val="24"/>
          <w:szCs w:val="24"/>
        </w:rPr>
        <w:t>been</w:t>
      </w:r>
      <w:r w:rsidR="001040BE" w:rsidRPr="001040BE">
        <w:rPr>
          <w:rFonts w:ascii="Arial" w:hAnsi="Arial" w:cs="Arial"/>
          <w:sz w:val="24"/>
          <w:szCs w:val="24"/>
        </w:rPr>
        <w:t xml:space="preserve"> convicted of a crime</w:t>
      </w:r>
      <w:r w:rsidR="001040BE">
        <w:rPr>
          <w:rFonts w:ascii="Arial" w:hAnsi="Arial" w:cs="Arial"/>
          <w:sz w:val="24"/>
          <w:szCs w:val="24"/>
        </w:rPr>
        <w:t xml:space="preserve">, which was </w:t>
      </w:r>
      <w:r w:rsidR="001040BE" w:rsidRPr="001040BE">
        <w:rPr>
          <w:rFonts w:ascii="Arial" w:hAnsi="Arial" w:cs="Arial"/>
          <w:sz w:val="24"/>
          <w:szCs w:val="24"/>
        </w:rPr>
        <w:t xml:space="preserve">found </w:t>
      </w:r>
      <w:r w:rsidR="001040BE">
        <w:rPr>
          <w:rFonts w:ascii="Arial" w:hAnsi="Arial" w:cs="Arial"/>
          <w:sz w:val="24"/>
          <w:szCs w:val="24"/>
        </w:rPr>
        <w:t xml:space="preserve">as </w:t>
      </w:r>
      <w:r w:rsidR="001040BE" w:rsidRPr="001040BE">
        <w:rPr>
          <w:rFonts w:ascii="Arial" w:hAnsi="Arial" w:cs="Arial"/>
          <w:sz w:val="24"/>
          <w:szCs w:val="24"/>
        </w:rPr>
        <w:t>criminally liable.</w:t>
      </w:r>
    </w:p>
    <w:p w14:paraId="7907F897" w14:textId="3416057A" w:rsidR="00151111" w:rsidRDefault="00151111" w:rsidP="008774BD">
      <w:pPr>
        <w:rPr>
          <w:rFonts w:ascii="Arial" w:hAnsi="Arial" w:cs="Arial"/>
          <w:sz w:val="24"/>
          <w:szCs w:val="24"/>
        </w:rPr>
      </w:pPr>
      <w:r w:rsidRPr="00151111">
        <w:rPr>
          <w:rFonts w:ascii="Arial" w:hAnsi="Arial" w:cs="Arial"/>
          <w:sz w:val="24"/>
          <w:szCs w:val="24"/>
        </w:rPr>
        <w:t xml:space="preserve">Mens Rea </w:t>
      </w:r>
      <w:r w:rsidRPr="00151111">
        <w:rPr>
          <w:rFonts w:ascii="Arial" w:hAnsi="Arial" w:cs="Arial"/>
          <w:sz w:val="24"/>
          <w:szCs w:val="24"/>
        </w:rPr>
        <w:t>implies</w:t>
      </w:r>
      <w:r w:rsidRPr="00151111">
        <w:rPr>
          <w:rFonts w:ascii="Arial" w:hAnsi="Arial" w:cs="Arial"/>
          <w:sz w:val="24"/>
          <w:szCs w:val="24"/>
        </w:rPr>
        <w:t xml:space="preserve"> to criminal intent</w:t>
      </w:r>
      <w:r>
        <w:rPr>
          <w:rFonts w:ascii="Arial" w:hAnsi="Arial" w:cs="Arial"/>
          <w:sz w:val="24"/>
          <w:szCs w:val="24"/>
        </w:rPr>
        <w:t>, which can be known as the guilty mind</w:t>
      </w:r>
      <w:r w:rsidR="00E04B11">
        <w:rPr>
          <w:rFonts w:ascii="Arial" w:hAnsi="Arial" w:cs="Arial"/>
          <w:sz w:val="24"/>
          <w:szCs w:val="24"/>
        </w:rPr>
        <w:t xml:space="preserve"> </w:t>
      </w:r>
      <w:r w:rsidR="00E04B11" w:rsidRPr="00E04B11">
        <w:rPr>
          <w:rFonts w:ascii="Arial" w:hAnsi="Arial" w:cs="Arial"/>
          <w:sz w:val="24"/>
          <w:szCs w:val="24"/>
        </w:rPr>
        <w:t>(Staff, 2017)</w:t>
      </w:r>
      <w:r>
        <w:rPr>
          <w:rFonts w:ascii="Arial" w:hAnsi="Arial" w:cs="Arial"/>
          <w:sz w:val="24"/>
          <w:szCs w:val="24"/>
        </w:rPr>
        <w:t xml:space="preserve">. In the case of Paula’s action through the case study, it can certainly be known that she indeed </w:t>
      </w:r>
      <w:r w:rsidR="00E04B11">
        <w:rPr>
          <w:rFonts w:ascii="Arial" w:hAnsi="Arial" w:cs="Arial"/>
          <w:sz w:val="24"/>
          <w:szCs w:val="24"/>
        </w:rPr>
        <w:t>has</w:t>
      </w:r>
      <w:r>
        <w:rPr>
          <w:rFonts w:ascii="Arial" w:hAnsi="Arial" w:cs="Arial"/>
          <w:sz w:val="24"/>
          <w:szCs w:val="24"/>
        </w:rPr>
        <w:t xml:space="preserve"> the intention and the guilty mind in committing the crime of stealing Christine’s designer bag. </w:t>
      </w:r>
      <w:r w:rsidR="00C62F00">
        <w:rPr>
          <w:rFonts w:ascii="Arial" w:hAnsi="Arial" w:cs="Arial"/>
          <w:sz w:val="24"/>
          <w:szCs w:val="24"/>
        </w:rPr>
        <w:t>Actus Reus is known as undertaking a criminal act</w:t>
      </w:r>
      <w:r w:rsidR="00D16DA2">
        <w:rPr>
          <w:rFonts w:ascii="Arial" w:hAnsi="Arial" w:cs="Arial"/>
          <w:sz w:val="24"/>
          <w:szCs w:val="24"/>
        </w:rPr>
        <w:t xml:space="preserve"> </w:t>
      </w:r>
      <w:r w:rsidR="00D16DA2" w:rsidRPr="00D16DA2">
        <w:rPr>
          <w:rFonts w:ascii="Arial" w:hAnsi="Arial" w:cs="Arial"/>
          <w:sz w:val="24"/>
          <w:szCs w:val="24"/>
        </w:rPr>
        <w:t>(Crime Museum, 2013)</w:t>
      </w:r>
      <w:r w:rsidR="00C62F00">
        <w:rPr>
          <w:rFonts w:ascii="Arial" w:hAnsi="Arial" w:cs="Arial"/>
          <w:sz w:val="24"/>
          <w:szCs w:val="24"/>
        </w:rPr>
        <w:t>, in this case Paula has definitely committed a criminal and with intention too, so both Mens Rea and Actus Reus will be parallel with each other, but they have be proven before any actions can be taken.</w:t>
      </w:r>
      <w:r w:rsidR="00D16DA2">
        <w:rPr>
          <w:rFonts w:ascii="Arial" w:hAnsi="Arial" w:cs="Arial"/>
          <w:sz w:val="24"/>
          <w:szCs w:val="24"/>
        </w:rPr>
        <w:t xml:space="preserve"> The only aspect that will tie Actus Reus to Paula is her criminal act and not physical harm.</w:t>
      </w:r>
      <w:r w:rsidR="00C62F00">
        <w:rPr>
          <w:rFonts w:ascii="Arial" w:hAnsi="Arial" w:cs="Arial"/>
          <w:sz w:val="24"/>
          <w:szCs w:val="24"/>
        </w:rPr>
        <w:t xml:space="preserve"> In regards Harriet, she has not committed any crimes with intention, even though she has taken few crucial </w:t>
      </w:r>
      <w:r w:rsidR="00813953">
        <w:rPr>
          <w:rFonts w:ascii="Arial" w:hAnsi="Arial" w:cs="Arial"/>
          <w:sz w:val="24"/>
          <w:szCs w:val="24"/>
        </w:rPr>
        <w:t>actions,</w:t>
      </w:r>
      <w:r w:rsidR="00C62F00">
        <w:rPr>
          <w:rFonts w:ascii="Arial" w:hAnsi="Arial" w:cs="Arial"/>
          <w:sz w:val="24"/>
          <w:szCs w:val="24"/>
        </w:rPr>
        <w:t xml:space="preserve"> but she was not in her conscious state.  </w:t>
      </w:r>
    </w:p>
    <w:p w14:paraId="36520B68" w14:textId="77777777" w:rsidR="00813953" w:rsidRDefault="00B037A8" w:rsidP="008774BD">
      <w:pPr>
        <w:rPr>
          <w:rFonts w:ascii="Arial" w:hAnsi="Arial" w:cs="Arial"/>
          <w:sz w:val="24"/>
          <w:szCs w:val="24"/>
        </w:rPr>
      </w:pPr>
      <w:r>
        <w:rPr>
          <w:rFonts w:ascii="Arial" w:hAnsi="Arial" w:cs="Arial"/>
          <w:sz w:val="24"/>
          <w:szCs w:val="24"/>
        </w:rPr>
        <w:t xml:space="preserve">The prosecution will have to prove that </w:t>
      </w:r>
      <w:r w:rsidRPr="00B037A8">
        <w:rPr>
          <w:rFonts w:ascii="Arial" w:hAnsi="Arial" w:cs="Arial"/>
          <w:sz w:val="24"/>
          <w:szCs w:val="24"/>
        </w:rPr>
        <w:t>Paula and Harriet</w:t>
      </w:r>
      <w:r>
        <w:rPr>
          <w:rFonts w:ascii="Arial" w:hAnsi="Arial" w:cs="Arial"/>
          <w:sz w:val="24"/>
          <w:szCs w:val="24"/>
        </w:rPr>
        <w:t xml:space="preserve"> have committed a criminal act</w:t>
      </w:r>
      <w:r w:rsidR="0096244B">
        <w:rPr>
          <w:rFonts w:ascii="Arial" w:hAnsi="Arial" w:cs="Arial"/>
          <w:sz w:val="24"/>
          <w:szCs w:val="24"/>
        </w:rPr>
        <w:t>.</w:t>
      </w:r>
      <w:r>
        <w:rPr>
          <w:rFonts w:ascii="Arial" w:hAnsi="Arial" w:cs="Arial"/>
          <w:sz w:val="24"/>
          <w:szCs w:val="24"/>
        </w:rPr>
        <w:t xml:space="preserve"> </w:t>
      </w:r>
      <w:r w:rsidR="0096244B">
        <w:rPr>
          <w:rFonts w:ascii="Arial" w:hAnsi="Arial" w:cs="Arial"/>
          <w:sz w:val="24"/>
          <w:szCs w:val="24"/>
        </w:rPr>
        <w:t>I</w:t>
      </w:r>
      <w:r>
        <w:rPr>
          <w:rFonts w:ascii="Arial" w:hAnsi="Arial" w:cs="Arial"/>
          <w:sz w:val="24"/>
          <w:szCs w:val="24"/>
        </w:rPr>
        <w:t>n this case</w:t>
      </w:r>
      <w:r w:rsidR="0096244B">
        <w:rPr>
          <w:rFonts w:ascii="Arial" w:hAnsi="Arial" w:cs="Arial"/>
          <w:sz w:val="24"/>
          <w:szCs w:val="24"/>
        </w:rPr>
        <w:t xml:space="preserve"> Christine will have to prove that Paula was the one who stole her bag, this could be through any reliable </w:t>
      </w:r>
      <w:r w:rsidR="00920CAE">
        <w:rPr>
          <w:rFonts w:ascii="Arial" w:hAnsi="Arial" w:cs="Arial"/>
          <w:sz w:val="24"/>
          <w:szCs w:val="24"/>
        </w:rPr>
        <w:t>eyewitnesses</w:t>
      </w:r>
      <w:r w:rsidR="0096244B">
        <w:rPr>
          <w:rFonts w:ascii="Arial" w:hAnsi="Arial" w:cs="Arial"/>
          <w:sz w:val="24"/>
          <w:szCs w:val="24"/>
        </w:rPr>
        <w:t xml:space="preserve"> </w:t>
      </w:r>
      <w:r w:rsidR="00920CAE">
        <w:rPr>
          <w:rFonts w:ascii="Arial" w:hAnsi="Arial" w:cs="Arial"/>
          <w:sz w:val="24"/>
          <w:szCs w:val="24"/>
        </w:rPr>
        <w:t>or if any cameras has picked up Paula with the bag. Even if the bag is found in Paula’s possession, it can be said in Paula’s defence that she did not intend to take the bag and that she has picked it up by mistake, as there were alcohol present</w:t>
      </w:r>
      <w:r w:rsidR="00102EE4">
        <w:rPr>
          <w:rFonts w:ascii="Arial" w:hAnsi="Arial" w:cs="Arial"/>
          <w:sz w:val="24"/>
          <w:szCs w:val="24"/>
        </w:rPr>
        <w:t xml:space="preserve"> in the party so Paula may have been drunk. In Paula’s defence it can be said that someone else might have taken the bag and put it into Paula’s possession</w:t>
      </w:r>
      <w:r w:rsidR="00C2013E">
        <w:rPr>
          <w:rFonts w:ascii="Arial" w:hAnsi="Arial" w:cs="Arial"/>
          <w:sz w:val="24"/>
          <w:szCs w:val="24"/>
        </w:rPr>
        <w:t xml:space="preserve">. These can rule out the Mens Rea. </w:t>
      </w:r>
      <w:r w:rsidR="00920CAE">
        <w:rPr>
          <w:rFonts w:ascii="Arial" w:hAnsi="Arial" w:cs="Arial"/>
          <w:sz w:val="24"/>
          <w:szCs w:val="24"/>
        </w:rPr>
        <w:t xml:space="preserve"> </w:t>
      </w:r>
    </w:p>
    <w:p w14:paraId="395C117B" w14:textId="72DF1174" w:rsidR="0013776D" w:rsidRDefault="00813953" w:rsidP="008774BD">
      <w:pPr>
        <w:rPr>
          <w:rFonts w:ascii="Arial" w:hAnsi="Arial" w:cs="Arial"/>
          <w:sz w:val="24"/>
          <w:szCs w:val="24"/>
        </w:rPr>
      </w:pPr>
      <w:r>
        <w:rPr>
          <w:rFonts w:ascii="Arial" w:hAnsi="Arial" w:cs="Arial"/>
          <w:sz w:val="24"/>
          <w:szCs w:val="24"/>
        </w:rPr>
        <w:t xml:space="preserve">Out of Paula and Harriet, Harriet’s actions have caused the most damage towards Christine’s property and her guests. In Harriet’s defence, she is allergic to alcohol, and she was not aware of her drink being spiked. It can be said that Harriet did not have the intention of consuming alcohol, so the actions she has taken was because of the allergic reaction, which controlled and baffled her mind. </w:t>
      </w:r>
      <w:r w:rsidR="00D16DA2">
        <w:rPr>
          <w:rFonts w:ascii="Arial" w:hAnsi="Arial" w:cs="Arial"/>
          <w:sz w:val="24"/>
          <w:szCs w:val="24"/>
        </w:rPr>
        <w:t xml:space="preserve">Mens Rea will be ruled out for Harriet </w:t>
      </w:r>
      <w:r w:rsidR="00A05781">
        <w:rPr>
          <w:rFonts w:ascii="Arial" w:hAnsi="Arial" w:cs="Arial"/>
          <w:sz w:val="24"/>
          <w:szCs w:val="24"/>
        </w:rPr>
        <w:t>as she did not have any direct intention of committing those crime, but instead Actus Reus will fit her case.</w:t>
      </w:r>
      <w:r w:rsidR="004C4BC6">
        <w:rPr>
          <w:rFonts w:ascii="Arial" w:hAnsi="Arial" w:cs="Arial"/>
          <w:sz w:val="24"/>
          <w:szCs w:val="24"/>
        </w:rPr>
        <w:t xml:space="preserve"> There will be an exception of Actus Reus upon Harriet, as her actions were </w:t>
      </w:r>
      <w:r w:rsidR="004C4BC6" w:rsidRPr="004C4BC6">
        <w:rPr>
          <w:rFonts w:ascii="Arial" w:hAnsi="Arial" w:cs="Arial"/>
          <w:sz w:val="24"/>
          <w:szCs w:val="24"/>
        </w:rPr>
        <w:t>involuntary</w:t>
      </w:r>
      <w:r w:rsidR="000237E7">
        <w:rPr>
          <w:rFonts w:ascii="Arial" w:hAnsi="Arial" w:cs="Arial"/>
          <w:sz w:val="24"/>
          <w:szCs w:val="24"/>
        </w:rPr>
        <w:t xml:space="preserve">. Involuntary criminal acts </w:t>
      </w:r>
      <w:r w:rsidR="009C1D3B">
        <w:rPr>
          <w:rFonts w:ascii="Arial" w:hAnsi="Arial" w:cs="Arial"/>
          <w:sz w:val="24"/>
          <w:szCs w:val="24"/>
        </w:rPr>
        <w:t>mean</w:t>
      </w:r>
      <w:r w:rsidR="000237E7">
        <w:rPr>
          <w:rFonts w:ascii="Arial" w:hAnsi="Arial" w:cs="Arial"/>
          <w:sz w:val="24"/>
          <w:szCs w:val="24"/>
        </w:rPr>
        <w:t xml:space="preserve"> when a individual undertakes a action </w:t>
      </w:r>
      <w:r w:rsidR="00FB7E49" w:rsidRPr="000237E7">
        <w:rPr>
          <w:rFonts w:ascii="Arial" w:hAnsi="Arial" w:cs="Arial"/>
          <w:sz w:val="24"/>
          <w:szCs w:val="24"/>
        </w:rPr>
        <w:t>because of</w:t>
      </w:r>
      <w:r w:rsidR="000237E7" w:rsidRPr="000237E7">
        <w:rPr>
          <w:rFonts w:ascii="Arial" w:hAnsi="Arial" w:cs="Arial"/>
          <w:sz w:val="24"/>
          <w:szCs w:val="24"/>
        </w:rPr>
        <w:t xml:space="preserve"> a spasm or convulsion, or unconscious, or </w:t>
      </w:r>
      <w:r w:rsidR="000237E7">
        <w:rPr>
          <w:rFonts w:ascii="Arial" w:hAnsi="Arial" w:cs="Arial"/>
          <w:sz w:val="24"/>
          <w:szCs w:val="24"/>
        </w:rPr>
        <w:t xml:space="preserve">actions that were done when an individual is under influence of </w:t>
      </w:r>
      <w:r w:rsidR="000237E7" w:rsidRPr="000237E7">
        <w:rPr>
          <w:rFonts w:ascii="Arial" w:hAnsi="Arial" w:cs="Arial"/>
          <w:sz w:val="24"/>
          <w:szCs w:val="24"/>
        </w:rPr>
        <w:t>hypnotic trance</w:t>
      </w:r>
      <w:r w:rsidR="00D94DAB">
        <w:rPr>
          <w:rFonts w:ascii="Arial" w:hAnsi="Arial" w:cs="Arial"/>
          <w:sz w:val="24"/>
          <w:szCs w:val="24"/>
        </w:rPr>
        <w:t xml:space="preserve"> </w:t>
      </w:r>
      <w:r w:rsidR="00D94DAB" w:rsidRPr="00D94DAB">
        <w:rPr>
          <w:rFonts w:ascii="Arial" w:hAnsi="Arial" w:cs="Arial"/>
          <w:sz w:val="24"/>
          <w:szCs w:val="24"/>
        </w:rPr>
        <w:t>(Crime Museum, 2013)</w:t>
      </w:r>
      <w:r w:rsidR="000237E7">
        <w:rPr>
          <w:rFonts w:ascii="Arial" w:hAnsi="Arial" w:cs="Arial"/>
          <w:sz w:val="24"/>
          <w:szCs w:val="24"/>
        </w:rPr>
        <w:t>.</w:t>
      </w:r>
      <w:r w:rsidR="00D94DAB">
        <w:rPr>
          <w:rFonts w:ascii="Arial" w:hAnsi="Arial" w:cs="Arial"/>
          <w:sz w:val="24"/>
          <w:szCs w:val="24"/>
        </w:rPr>
        <w:t xml:space="preserve"> </w:t>
      </w:r>
    </w:p>
    <w:p w14:paraId="2347CAAD" w14:textId="7D20726E" w:rsidR="00F52E2B" w:rsidRDefault="00D94DAB" w:rsidP="008774BD">
      <w:pPr>
        <w:rPr>
          <w:rFonts w:ascii="Arial" w:hAnsi="Arial" w:cs="Arial"/>
          <w:sz w:val="24"/>
          <w:szCs w:val="24"/>
        </w:rPr>
      </w:pPr>
      <w:r w:rsidRPr="00D94DAB">
        <w:rPr>
          <w:rFonts w:ascii="Arial" w:hAnsi="Arial" w:cs="Arial"/>
          <w:sz w:val="24"/>
          <w:szCs w:val="24"/>
        </w:rPr>
        <w:t>Morris [1983]</w:t>
      </w:r>
      <w:r>
        <w:rPr>
          <w:rFonts w:ascii="Arial" w:hAnsi="Arial" w:cs="Arial"/>
          <w:sz w:val="24"/>
          <w:szCs w:val="24"/>
        </w:rPr>
        <w:t xml:space="preserve"> case can be</w:t>
      </w:r>
      <w:r w:rsidR="009C1D3B">
        <w:rPr>
          <w:rFonts w:ascii="Arial" w:hAnsi="Arial" w:cs="Arial"/>
          <w:sz w:val="24"/>
          <w:szCs w:val="24"/>
        </w:rPr>
        <w:t xml:space="preserve"> linked a little with Paula’s case as Morris has swapped price tags in order to save money</w:t>
      </w:r>
      <w:r w:rsidR="00F52E2B">
        <w:rPr>
          <w:rFonts w:ascii="Arial" w:hAnsi="Arial" w:cs="Arial"/>
          <w:sz w:val="24"/>
          <w:szCs w:val="24"/>
        </w:rPr>
        <w:t xml:space="preserve"> or not to pay the full price</w:t>
      </w:r>
      <w:r w:rsidR="009C1D3B">
        <w:rPr>
          <w:rFonts w:ascii="Arial" w:hAnsi="Arial" w:cs="Arial"/>
          <w:sz w:val="24"/>
          <w:szCs w:val="24"/>
        </w:rPr>
        <w:t xml:space="preserve">, but it was considered </w:t>
      </w:r>
      <w:r w:rsidR="00D52898">
        <w:rPr>
          <w:rFonts w:ascii="Arial" w:hAnsi="Arial" w:cs="Arial"/>
          <w:sz w:val="24"/>
          <w:szCs w:val="24"/>
        </w:rPr>
        <w:t>as theft</w:t>
      </w:r>
      <w:r w:rsidR="00F52E2B">
        <w:rPr>
          <w:rFonts w:ascii="Arial" w:hAnsi="Arial" w:cs="Arial"/>
          <w:sz w:val="24"/>
          <w:szCs w:val="24"/>
        </w:rPr>
        <w:t xml:space="preserve"> </w:t>
      </w:r>
      <w:r w:rsidR="00F52E2B" w:rsidRPr="00F52E2B">
        <w:rPr>
          <w:rFonts w:ascii="Arial" w:hAnsi="Arial" w:cs="Arial"/>
          <w:sz w:val="24"/>
          <w:szCs w:val="24"/>
        </w:rPr>
        <w:t>(Law Teacher, 2021)</w:t>
      </w:r>
      <w:r w:rsidR="00D52898">
        <w:rPr>
          <w:rFonts w:ascii="Arial" w:hAnsi="Arial" w:cs="Arial"/>
          <w:sz w:val="24"/>
          <w:szCs w:val="24"/>
        </w:rPr>
        <w:t xml:space="preserve">. The connections can be that Paula could not afford a designer </w:t>
      </w:r>
      <w:r w:rsidR="00FD531B">
        <w:rPr>
          <w:rFonts w:ascii="Arial" w:hAnsi="Arial" w:cs="Arial"/>
          <w:sz w:val="24"/>
          <w:szCs w:val="24"/>
        </w:rPr>
        <w:t>bag,</w:t>
      </w:r>
      <w:r w:rsidR="00D52898">
        <w:rPr>
          <w:rFonts w:ascii="Arial" w:hAnsi="Arial" w:cs="Arial"/>
          <w:sz w:val="24"/>
          <w:szCs w:val="24"/>
        </w:rPr>
        <w:t xml:space="preserve"> so she stole it and in Morris case maybe he did not have the money to pay for the correct </w:t>
      </w:r>
      <w:r w:rsidR="00D91F0B">
        <w:rPr>
          <w:rFonts w:ascii="Arial" w:hAnsi="Arial" w:cs="Arial"/>
          <w:sz w:val="24"/>
          <w:szCs w:val="24"/>
        </w:rPr>
        <w:t>price,</w:t>
      </w:r>
      <w:r w:rsidR="00D52898">
        <w:rPr>
          <w:rFonts w:ascii="Arial" w:hAnsi="Arial" w:cs="Arial"/>
          <w:sz w:val="24"/>
          <w:szCs w:val="24"/>
        </w:rPr>
        <w:t xml:space="preserve"> so he swapped the tag in order to have product in possession.</w:t>
      </w:r>
      <w:r w:rsidR="00D91F0B">
        <w:rPr>
          <w:rFonts w:ascii="Arial" w:hAnsi="Arial" w:cs="Arial"/>
          <w:sz w:val="24"/>
          <w:szCs w:val="24"/>
        </w:rPr>
        <w:t xml:space="preserve"> They both have committed a criminal act so Actus Reus can be linked with them.</w:t>
      </w:r>
    </w:p>
    <w:p w14:paraId="60D2F18D" w14:textId="67D02C04" w:rsidR="00EB4367" w:rsidRDefault="00EB4367" w:rsidP="008774BD">
      <w:pPr>
        <w:rPr>
          <w:rFonts w:ascii="Arial" w:hAnsi="Arial" w:cs="Arial"/>
          <w:sz w:val="24"/>
          <w:szCs w:val="24"/>
        </w:rPr>
      </w:pPr>
      <w:r>
        <w:rPr>
          <w:rFonts w:ascii="Arial" w:hAnsi="Arial" w:cs="Arial"/>
          <w:sz w:val="24"/>
          <w:szCs w:val="24"/>
        </w:rPr>
        <w:lastRenderedPageBreak/>
        <w:t xml:space="preserve">In </w:t>
      </w:r>
      <w:r w:rsidRPr="00EB4367">
        <w:rPr>
          <w:rFonts w:ascii="Arial" w:hAnsi="Arial" w:cs="Arial"/>
          <w:sz w:val="24"/>
          <w:szCs w:val="24"/>
        </w:rPr>
        <w:t xml:space="preserve">R v Gomez </w:t>
      </w:r>
      <w:r>
        <w:rPr>
          <w:rFonts w:ascii="Arial" w:hAnsi="Arial" w:cs="Arial"/>
          <w:sz w:val="24"/>
          <w:szCs w:val="24"/>
        </w:rPr>
        <w:t>–</w:t>
      </w:r>
      <w:r w:rsidRPr="00EB4367">
        <w:rPr>
          <w:rFonts w:ascii="Arial" w:hAnsi="Arial" w:cs="Arial"/>
          <w:sz w:val="24"/>
          <w:szCs w:val="24"/>
        </w:rPr>
        <w:t xml:space="preserve"> 1993</w:t>
      </w:r>
      <w:r>
        <w:rPr>
          <w:rFonts w:ascii="Arial" w:hAnsi="Arial" w:cs="Arial"/>
          <w:sz w:val="24"/>
          <w:szCs w:val="24"/>
        </w:rPr>
        <w:t xml:space="preserve"> case Gomez was approached by individuals who came to purchase items with stolen cheque, Gomez was fully aware that those cheques were</w:t>
      </w:r>
      <w:r w:rsidR="00014EB8">
        <w:rPr>
          <w:rFonts w:ascii="Arial" w:hAnsi="Arial" w:cs="Arial"/>
          <w:sz w:val="24"/>
          <w:szCs w:val="24"/>
        </w:rPr>
        <w:t xml:space="preserve"> stolen</w:t>
      </w:r>
      <w:r>
        <w:rPr>
          <w:rFonts w:ascii="Arial" w:hAnsi="Arial" w:cs="Arial"/>
          <w:sz w:val="24"/>
          <w:szCs w:val="24"/>
        </w:rPr>
        <w:t>, but he still encouraged the shop manager to carry out the transactions</w:t>
      </w:r>
      <w:r w:rsidR="00CC304C">
        <w:rPr>
          <w:rFonts w:ascii="Arial" w:hAnsi="Arial" w:cs="Arial"/>
          <w:sz w:val="24"/>
          <w:szCs w:val="24"/>
        </w:rPr>
        <w:t xml:space="preserve"> </w:t>
      </w:r>
      <w:r w:rsidR="00CC304C" w:rsidRPr="00CC304C">
        <w:rPr>
          <w:rFonts w:ascii="Arial" w:hAnsi="Arial" w:cs="Arial"/>
          <w:sz w:val="24"/>
          <w:szCs w:val="24"/>
        </w:rPr>
        <w:t>(Law Teacher, 2021)</w:t>
      </w:r>
      <w:r>
        <w:rPr>
          <w:rFonts w:ascii="Arial" w:hAnsi="Arial" w:cs="Arial"/>
          <w:sz w:val="24"/>
          <w:szCs w:val="24"/>
        </w:rPr>
        <w:t xml:space="preserve">. This automatically makes Gomez an accomplice of theft. In Paula’s case she was fully aware of what she was undertaking, even though she knows it would be regarded as theft she still went ahead with the act. Gomez and Paula Mens Rea are linked as both had the intention of committing the act, </w:t>
      </w:r>
      <w:r w:rsidR="00014EB8">
        <w:rPr>
          <w:rFonts w:ascii="Arial" w:hAnsi="Arial" w:cs="Arial"/>
          <w:sz w:val="24"/>
          <w:szCs w:val="24"/>
        </w:rPr>
        <w:t xml:space="preserve">and upon Actus Reus they </w:t>
      </w:r>
      <w:r w:rsidR="00CC304C">
        <w:rPr>
          <w:rFonts w:ascii="Arial" w:hAnsi="Arial" w:cs="Arial"/>
          <w:sz w:val="24"/>
          <w:szCs w:val="24"/>
        </w:rPr>
        <w:t>committed</w:t>
      </w:r>
      <w:r w:rsidR="00014EB8">
        <w:rPr>
          <w:rFonts w:ascii="Arial" w:hAnsi="Arial" w:cs="Arial"/>
          <w:sz w:val="24"/>
          <w:szCs w:val="24"/>
        </w:rPr>
        <w:t xml:space="preserve"> the act physically.</w:t>
      </w:r>
      <w:r w:rsidR="00CC304C">
        <w:rPr>
          <w:rFonts w:ascii="Arial" w:hAnsi="Arial" w:cs="Arial"/>
          <w:sz w:val="24"/>
          <w:szCs w:val="24"/>
        </w:rPr>
        <w:t xml:space="preserve"> </w:t>
      </w:r>
      <w:r w:rsidR="00014EB8">
        <w:rPr>
          <w:rFonts w:ascii="Arial" w:hAnsi="Arial" w:cs="Arial"/>
          <w:sz w:val="24"/>
          <w:szCs w:val="24"/>
        </w:rPr>
        <w:t xml:space="preserve"> </w:t>
      </w:r>
      <w:r>
        <w:rPr>
          <w:rFonts w:ascii="Arial" w:hAnsi="Arial" w:cs="Arial"/>
          <w:sz w:val="24"/>
          <w:szCs w:val="24"/>
        </w:rPr>
        <w:t xml:space="preserve"> </w:t>
      </w:r>
    </w:p>
    <w:p w14:paraId="3835749D" w14:textId="3E32883D" w:rsidR="002E1EE8" w:rsidRDefault="002E1EE8" w:rsidP="008774BD">
      <w:pPr>
        <w:rPr>
          <w:rFonts w:ascii="Arial" w:hAnsi="Arial" w:cs="Arial"/>
          <w:sz w:val="24"/>
          <w:szCs w:val="24"/>
        </w:rPr>
      </w:pPr>
      <w:r w:rsidRPr="002E1EE8">
        <w:rPr>
          <w:rFonts w:ascii="Arial" w:hAnsi="Arial" w:cs="Arial"/>
          <w:sz w:val="24"/>
          <w:szCs w:val="24"/>
        </w:rPr>
        <w:t>Gayford v Chouler [1898]</w:t>
      </w:r>
      <w:r>
        <w:rPr>
          <w:rFonts w:ascii="Arial" w:hAnsi="Arial" w:cs="Arial"/>
          <w:sz w:val="24"/>
          <w:szCs w:val="24"/>
        </w:rPr>
        <w:t xml:space="preserve"> case can be linked with Harriet’s case as both have undertaken property damage. In th</w:t>
      </w:r>
      <w:r w:rsidR="00E6235F">
        <w:rPr>
          <w:rFonts w:ascii="Arial" w:hAnsi="Arial" w:cs="Arial"/>
          <w:sz w:val="24"/>
          <w:szCs w:val="24"/>
        </w:rPr>
        <w:t>is</w:t>
      </w:r>
      <w:r>
        <w:rPr>
          <w:rFonts w:ascii="Arial" w:hAnsi="Arial" w:cs="Arial"/>
          <w:sz w:val="24"/>
          <w:szCs w:val="24"/>
        </w:rPr>
        <w:t xml:space="preserve"> case </w:t>
      </w:r>
      <w:r w:rsidR="00E6235F">
        <w:rPr>
          <w:rFonts w:ascii="Arial" w:hAnsi="Arial" w:cs="Arial"/>
          <w:sz w:val="24"/>
          <w:szCs w:val="24"/>
        </w:rPr>
        <w:t>the defendant trespassed and trampled</w:t>
      </w:r>
      <w:r w:rsidR="009D417B">
        <w:rPr>
          <w:rFonts w:ascii="Arial" w:hAnsi="Arial" w:cs="Arial"/>
          <w:sz w:val="24"/>
          <w:szCs w:val="24"/>
        </w:rPr>
        <w:t xml:space="preserve"> the long grass, which was considered as property damaged</w:t>
      </w:r>
      <w:r w:rsidR="00D170D6">
        <w:rPr>
          <w:rFonts w:ascii="Arial" w:hAnsi="Arial" w:cs="Arial"/>
          <w:sz w:val="24"/>
          <w:szCs w:val="24"/>
        </w:rPr>
        <w:t xml:space="preserve"> </w:t>
      </w:r>
      <w:r w:rsidR="00D170D6" w:rsidRPr="00D170D6">
        <w:rPr>
          <w:rFonts w:ascii="Arial" w:hAnsi="Arial" w:cs="Arial"/>
          <w:sz w:val="24"/>
          <w:szCs w:val="24"/>
        </w:rPr>
        <w:t>(Anon, n.d.)</w:t>
      </w:r>
      <w:r w:rsidR="00D170D6">
        <w:rPr>
          <w:rFonts w:ascii="Arial" w:hAnsi="Arial" w:cs="Arial"/>
          <w:sz w:val="24"/>
          <w:szCs w:val="24"/>
        </w:rPr>
        <w:t xml:space="preserve"> </w:t>
      </w:r>
      <w:r w:rsidR="00D170D6" w:rsidRPr="00D170D6">
        <w:rPr>
          <w:rFonts w:ascii="Arial" w:hAnsi="Arial" w:cs="Arial"/>
          <w:sz w:val="24"/>
          <w:szCs w:val="24"/>
        </w:rPr>
        <w:t>(IPSA LOQUITUR, n.d.)</w:t>
      </w:r>
      <w:r w:rsidR="009D417B">
        <w:rPr>
          <w:rFonts w:ascii="Arial" w:hAnsi="Arial" w:cs="Arial"/>
          <w:sz w:val="24"/>
          <w:szCs w:val="24"/>
        </w:rPr>
        <w:t xml:space="preserve">. Even though the damage was not severe in the courts it still turned out to be property damage. in Harriet’s case this could be linked even though Harriet did not intentionally damage Christine’s property, but it still will be considered as criminal act. There were eyewitnesses who saw the actions which were carried out by Harriet. If this was to go into </w:t>
      </w:r>
      <w:r w:rsidR="00F75BA8">
        <w:rPr>
          <w:rFonts w:ascii="Arial" w:hAnsi="Arial" w:cs="Arial"/>
          <w:sz w:val="24"/>
          <w:szCs w:val="24"/>
        </w:rPr>
        <w:t>court,</w:t>
      </w:r>
      <w:r w:rsidR="009D417B">
        <w:rPr>
          <w:rFonts w:ascii="Arial" w:hAnsi="Arial" w:cs="Arial"/>
          <w:sz w:val="24"/>
          <w:szCs w:val="24"/>
        </w:rPr>
        <w:t xml:space="preserve"> then </w:t>
      </w:r>
      <w:r w:rsidR="009D417B" w:rsidRPr="002E1EE8">
        <w:rPr>
          <w:rFonts w:ascii="Arial" w:hAnsi="Arial" w:cs="Arial"/>
          <w:sz w:val="24"/>
          <w:szCs w:val="24"/>
        </w:rPr>
        <w:t>Gayford v Chouler [1898]</w:t>
      </w:r>
      <w:r w:rsidR="009D417B">
        <w:rPr>
          <w:rFonts w:ascii="Arial" w:hAnsi="Arial" w:cs="Arial"/>
          <w:sz w:val="24"/>
          <w:szCs w:val="24"/>
        </w:rPr>
        <w:t xml:space="preserve"> case</w:t>
      </w:r>
      <w:r w:rsidR="009D417B">
        <w:rPr>
          <w:rFonts w:ascii="Arial" w:hAnsi="Arial" w:cs="Arial"/>
          <w:sz w:val="24"/>
          <w:szCs w:val="24"/>
        </w:rPr>
        <w:t xml:space="preserve"> can be used against Harriet to prove her crime. </w:t>
      </w:r>
      <w:r w:rsidR="00E6235F">
        <w:rPr>
          <w:rFonts w:ascii="Arial" w:hAnsi="Arial" w:cs="Arial"/>
          <w:sz w:val="24"/>
          <w:szCs w:val="24"/>
        </w:rPr>
        <w:t xml:space="preserve"> </w:t>
      </w:r>
      <w:r>
        <w:rPr>
          <w:rFonts w:ascii="Arial" w:hAnsi="Arial" w:cs="Arial"/>
          <w:sz w:val="24"/>
          <w:szCs w:val="24"/>
        </w:rPr>
        <w:t xml:space="preserve"> </w:t>
      </w:r>
    </w:p>
    <w:p w14:paraId="6BF69500" w14:textId="3A80EFA8" w:rsidR="00046F5E" w:rsidRDefault="00171275" w:rsidP="008774BD">
      <w:pPr>
        <w:rPr>
          <w:rFonts w:ascii="Arial" w:hAnsi="Arial" w:cs="Arial"/>
          <w:sz w:val="24"/>
          <w:szCs w:val="24"/>
        </w:rPr>
      </w:pPr>
      <w:r>
        <w:rPr>
          <w:rFonts w:ascii="Arial" w:hAnsi="Arial" w:cs="Arial"/>
          <w:sz w:val="24"/>
          <w:szCs w:val="24"/>
        </w:rPr>
        <w:t xml:space="preserve">Some aspects of </w:t>
      </w:r>
      <w:r w:rsidRPr="00171275">
        <w:rPr>
          <w:rFonts w:ascii="Arial" w:hAnsi="Arial" w:cs="Arial"/>
          <w:sz w:val="24"/>
          <w:szCs w:val="24"/>
        </w:rPr>
        <w:t xml:space="preserve">R v Cunningham </w:t>
      </w:r>
      <w:r>
        <w:rPr>
          <w:rFonts w:ascii="Arial" w:hAnsi="Arial" w:cs="Arial"/>
          <w:sz w:val="24"/>
          <w:szCs w:val="24"/>
        </w:rPr>
        <w:t>–</w:t>
      </w:r>
      <w:r w:rsidRPr="00171275">
        <w:rPr>
          <w:rFonts w:ascii="Arial" w:hAnsi="Arial" w:cs="Arial"/>
          <w:sz w:val="24"/>
          <w:szCs w:val="24"/>
        </w:rPr>
        <w:t xml:space="preserve"> 1957</w:t>
      </w:r>
      <w:r>
        <w:rPr>
          <w:rFonts w:ascii="Arial" w:hAnsi="Arial" w:cs="Arial"/>
          <w:sz w:val="24"/>
          <w:szCs w:val="24"/>
        </w:rPr>
        <w:t xml:space="preserve"> case can be linked with Harriet’s case, both appellant and Harriet did not intend to cause harm to anyone</w:t>
      </w:r>
      <w:r w:rsidR="00AE0211">
        <w:rPr>
          <w:rFonts w:ascii="Arial" w:hAnsi="Arial" w:cs="Arial"/>
          <w:sz w:val="24"/>
          <w:szCs w:val="24"/>
        </w:rPr>
        <w:t xml:space="preserve"> but unfortunately in both cases someone was harmed. In </w:t>
      </w:r>
      <w:r w:rsidR="00AE0211" w:rsidRPr="00171275">
        <w:rPr>
          <w:rFonts w:ascii="Arial" w:hAnsi="Arial" w:cs="Arial"/>
          <w:sz w:val="24"/>
          <w:szCs w:val="24"/>
        </w:rPr>
        <w:t xml:space="preserve">R v Cunningham </w:t>
      </w:r>
      <w:r w:rsidR="00AE0211">
        <w:rPr>
          <w:rFonts w:ascii="Arial" w:hAnsi="Arial" w:cs="Arial"/>
          <w:sz w:val="24"/>
          <w:szCs w:val="24"/>
        </w:rPr>
        <w:t>–</w:t>
      </w:r>
      <w:r w:rsidR="00AE0211" w:rsidRPr="00171275">
        <w:rPr>
          <w:rFonts w:ascii="Arial" w:hAnsi="Arial" w:cs="Arial"/>
          <w:sz w:val="24"/>
          <w:szCs w:val="24"/>
        </w:rPr>
        <w:t xml:space="preserve"> 1957</w:t>
      </w:r>
      <w:r w:rsidR="00AE0211">
        <w:rPr>
          <w:rFonts w:ascii="Arial" w:hAnsi="Arial" w:cs="Arial"/>
          <w:sz w:val="24"/>
          <w:szCs w:val="24"/>
        </w:rPr>
        <w:t xml:space="preserve"> case</w:t>
      </w:r>
      <w:r w:rsidR="00AE0211">
        <w:rPr>
          <w:rFonts w:ascii="Arial" w:hAnsi="Arial" w:cs="Arial"/>
          <w:sz w:val="24"/>
          <w:szCs w:val="24"/>
        </w:rPr>
        <w:t xml:space="preserve"> the mother-in-law got poisoned by the actions taken by appellant</w:t>
      </w:r>
      <w:r w:rsidR="00046F5E">
        <w:rPr>
          <w:rFonts w:ascii="Arial" w:hAnsi="Arial" w:cs="Arial"/>
          <w:sz w:val="24"/>
          <w:szCs w:val="24"/>
        </w:rPr>
        <w:t xml:space="preserve"> </w:t>
      </w:r>
      <w:r w:rsidR="00046F5E" w:rsidRPr="00046F5E">
        <w:rPr>
          <w:rFonts w:ascii="Arial" w:hAnsi="Arial" w:cs="Arial"/>
          <w:sz w:val="24"/>
          <w:szCs w:val="24"/>
        </w:rPr>
        <w:t>(Law Teacher, 2021)</w:t>
      </w:r>
      <w:r w:rsidR="00AE0211">
        <w:rPr>
          <w:rFonts w:ascii="Arial" w:hAnsi="Arial" w:cs="Arial"/>
          <w:sz w:val="24"/>
          <w:szCs w:val="24"/>
        </w:rPr>
        <w:t xml:space="preserve">, and in Harriet’s case one of Christine’s guests got a broken cheek bone. The intentions were not there but the actions have caused severe damage to individuals, which can be treated as Actus Reus. </w:t>
      </w:r>
      <w:r>
        <w:rPr>
          <w:rFonts w:ascii="Arial" w:hAnsi="Arial" w:cs="Arial"/>
          <w:sz w:val="24"/>
          <w:szCs w:val="24"/>
        </w:rPr>
        <w:t xml:space="preserve"> </w:t>
      </w:r>
    </w:p>
    <w:p w14:paraId="7F76DA17" w14:textId="66E19E8C" w:rsidR="004C22F8" w:rsidRDefault="004C22F8" w:rsidP="008774BD">
      <w:pPr>
        <w:rPr>
          <w:rFonts w:ascii="Arial" w:hAnsi="Arial" w:cs="Arial"/>
          <w:sz w:val="24"/>
          <w:szCs w:val="24"/>
        </w:rPr>
      </w:pPr>
      <w:r>
        <w:rPr>
          <w:rFonts w:ascii="Arial" w:hAnsi="Arial" w:cs="Arial"/>
          <w:sz w:val="24"/>
          <w:szCs w:val="24"/>
        </w:rPr>
        <w:t xml:space="preserve">Some aspects of </w:t>
      </w:r>
      <w:r w:rsidRPr="004C22F8">
        <w:rPr>
          <w:rFonts w:ascii="Arial" w:hAnsi="Arial" w:cs="Arial"/>
          <w:sz w:val="24"/>
          <w:szCs w:val="24"/>
        </w:rPr>
        <w:t xml:space="preserve">R v Fiak </w:t>
      </w:r>
      <w:r>
        <w:rPr>
          <w:rFonts w:ascii="Arial" w:hAnsi="Arial" w:cs="Arial"/>
          <w:sz w:val="24"/>
          <w:szCs w:val="24"/>
        </w:rPr>
        <w:t>–</w:t>
      </w:r>
      <w:r w:rsidRPr="004C22F8">
        <w:rPr>
          <w:rFonts w:ascii="Arial" w:hAnsi="Arial" w:cs="Arial"/>
          <w:sz w:val="24"/>
          <w:szCs w:val="24"/>
        </w:rPr>
        <w:t xml:space="preserve"> 2005</w:t>
      </w:r>
      <w:r>
        <w:rPr>
          <w:rFonts w:ascii="Arial" w:hAnsi="Arial" w:cs="Arial"/>
          <w:sz w:val="24"/>
          <w:szCs w:val="24"/>
        </w:rPr>
        <w:t xml:space="preserve"> can be linked with Harriet’s case, as Fiak was accused of driving the car while consuming alcohol </w:t>
      </w:r>
      <w:r w:rsidR="007804D2" w:rsidRPr="007804D2">
        <w:rPr>
          <w:rFonts w:ascii="Arial" w:hAnsi="Arial" w:cs="Arial"/>
          <w:sz w:val="24"/>
          <w:szCs w:val="24"/>
        </w:rPr>
        <w:t>(Law Teacher, 2019)</w:t>
      </w:r>
      <w:r>
        <w:rPr>
          <w:rFonts w:ascii="Arial" w:hAnsi="Arial" w:cs="Arial"/>
          <w:sz w:val="24"/>
          <w:szCs w:val="24"/>
        </w:rPr>
        <w:t xml:space="preserve">. Harriet did not consume alcohol intentionally but then again; she was under influence from the alcohol that she has been spiked with. Harriet can be accused of consuming too much alcohol that had let her to be drunk and undertake those criminal acts. </w:t>
      </w:r>
    </w:p>
    <w:p w14:paraId="483B83E5" w14:textId="6F2DEE7B" w:rsidR="00780F40" w:rsidRDefault="007804D2" w:rsidP="008774BD">
      <w:pPr>
        <w:rPr>
          <w:rFonts w:ascii="Arial" w:hAnsi="Arial" w:cs="Arial"/>
          <w:sz w:val="24"/>
          <w:szCs w:val="24"/>
        </w:rPr>
      </w:pPr>
      <w:r>
        <w:rPr>
          <w:rFonts w:ascii="Arial" w:hAnsi="Arial" w:cs="Arial"/>
          <w:sz w:val="24"/>
          <w:szCs w:val="24"/>
        </w:rPr>
        <w:t xml:space="preserve">There are many cases, which have occurred in the past that can used in order to find Paula and Harriet guilty of the actions they have undertaken. In one side Paula is guilty and she should be punished for her actions accordingly, and in Harriet’s case it is a tricky, as she has caused severe damage to property and </w:t>
      </w:r>
      <w:r w:rsidR="003D4993">
        <w:rPr>
          <w:rFonts w:ascii="Arial" w:hAnsi="Arial" w:cs="Arial"/>
          <w:sz w:val="24"/>
          <w:szCs w:val="24"/>
        </w:rPr>
        <w:t>an</w:t>
      </w:r>
      <w:r>
        <w:rPr>
          <w:rFonts w:ascii="Arial" w:hAnsi="Arial" w:cs="Arial"/>
          <w:sz w:val="24"/>
          <w:szCs w:val="24"/>
        </w:rPr>
        <w:t xml:space="preserve"> individual.</w:t>
      </w:r>
      <w:r w:rsidR="003D4993">
        <w:rPr>
          <w:rFonts w:ascii="Arial" w:hAnsi="Arial" w:cs="Arial"/>
          <w:sz w:val="24"/>
          <w:szCs w:val="24"/>
        </w:rPr>
        <w:t xml:space="preserve"> In Paula’s case it would be difficult to prove her innocence</w:t>
      </w:r>
      <w:r w:rsidR="0048729C">
        <w:rPr>
          <w:rFonts w:ascii="Arial" w:hAnsi="Arial" w:cs="Arial"/>
          <w:sz w:val="24"/>
          <w:szCs w:val="24"/>
        </w:rPr>
        <w:t xml:space="preserve">, but then again can anyone including Christine prove of Paula’s action. If the designer bag is retrieved from Paula, then she will be questioned by the police and Christine can press charges and take it to court. If Christine cannot provide with solid evidence, then jury may favour with Paula but then again Paula can be trapped under the </w:t>
      </w:r>
      <w:r w:rsidR="0048729C" w:rsidRPr="0048729C">
        <w:rPr>
          <w:rFonts w:ascii="Arial" w:hAnsi="Arial" w:cs="Arial"/>
          <w:sz w:val="24"/>
          <w:szCs w:val="24"/>
        </w:rPr>
        <w:t>Theft Act 1968</w:t>
      </w:r>
      <w:r w:rsidR="00F04458">
        <w:rPr>
          <w:rFonts w:ascii="Arial" w:hAnsi="Arial" w:cs="Arial"/>
          <w:sz w:val="24"/>
          <w:szCs w:val="24"/>
        </w:rPr>
        <w:t xml:space="preserve"> as she has intentionally committed this crime of stealing </w:t>
      </w:r>
      <w:r w:rsidR="00F04458" w:rsidRPr="00F04458">
        <w:rPr>
          <w:rFonts w:ascii="Arial" w:hAnsi="Arial" w:cs="Arial"/>
          <w:sz w:val="24"/>
          <w:szCs w:val="24"/>
        </w:rPr>
        <w:t>(CPS, 2019)</w:t>
      </w:r>
      <w:r w:rsidR="00F04458">
        <w:rPr>
          <w:rFonts w:ascii="Arial" w:hAnsi="Arial" w:cs="Arial"/>
          <w:sz w:val="24"/>
          <w:szCs w:val="24"/>
        </w:rPr>
        <w:t xml:space="preserve">. </w:t>
      </w:r>
      <w:r w:rsidR="0048729C">
        <w:rPr>
          <w:rFonts w:ascii="Arial" w:hAnsi="Arial" w:cs="Arial"/>
          <w:sz w:val="24"/>
          <w:szCs w:val="24"/>
        </w:rPr>
        <w:t xml:space="preserve"> </w:t>
      </w:r>
      <w:r w:rsidR="003D4993">
        <w:rPr>
          <w:rFonts w:ascii="Arial" w:hAnsi="Arial" w:cs="Arial"/>
          <w:sz w:val="24"/>
          <w:szCs w:val="24"/>
        </w:rPr>
        <w:t xml:space="preserve"> </w:t>
      </w:r>
      <w:r>
        <w:rPr>
          <w:rFonts w:ascii="Arial" w:hAnsi="Arial" w:cs="Arial"/>
          <w:sz w:val="24"/>
          <w:szCs w:val="24"/>
        </w:rPr>
        <w:t xml:space="preserve"> </w:t>
      </w:r>
    </w:p>
    <w:p w14:paraId="788C53A5" w14:textId="24BB26FF" w:rsidR="007804D2" w:rsidRDefault="007804D2" w:rsidP="008774BD">
      <w:pPr>
        <w:rPr>
          <w:rFonts w:ascii="Arial" w:hAnsi="Arial" w:cs="Arial"/>
          <w:sz w:val="24"/>
          <w:szCs w:val="24"/>
        </w:rPr>
      </w:pPr>
      <w:r>
        <w:rPr>
          <w:rFonts w:ascii="Arial" w:hAnsi="Arial" w:cs="Arial"/>
          <w:sz w:val="24"/>
          <w:szCs w:val="24"/>
        </w:rPr>
        <w:t>The person who spiked Harriet’s drink may not have been aware of the allergies Harriet had, but it can also be said maybe he knew about it and still went ahead with it to see what would happen. Leon should be the one who is questioned and punished, as he did intentionally spike the drink with alcohol</w:t>
      </w:r>
      <w:r w:rsidR="00780F40">
        <w:rPr>
          <w:rFonts w:ascii="Arial" w:hAnsi="Arial" w:cs="Arial"/>
          <w:sz w:val="24"/>
          <w:szCs w:val="24"/>
        </w:rPr>
        <w:t xml:space="preserve">. Medical reports can be gathered by Harriet in order to prove that she is allergic to alcohol, so she would not </w:t>
      </w:r>
      <w:r w:rsidR="00780F40">
        <w:rPr>
          <w:rFonts w:ascii="Arial" w:hAnsi="Arial" w:cs="Arial"/>
          <w:sz w:val="24"/>
          <w:szCs w:val="24"/>
        </w:rPr>
        <w:lastRenderedPageBreak/>
        <w:t>risk in drinking alcohol as it will cause harm to herself. This can also prove that the way she has acted was due to consuming alcohol unknowingly</w:t>
      </w:r>
      <w:r w:rsidR="003D4993">
        <w:rPr>
          <w:rFonts w:ascii="Arial" w:hAnsi="Arial" w:cs="Arial"/>
          <w:sz w:val="24"/>
          <w:szCs w:val="24"/>
        </w:rPr>
        <w:t>.</w:t>
      </w:r>
      <w:r w:rsidR="0046199D">
        <w:rPr>
          <w:rFonts w:ascii="Arial" w:hAnsi="Arial" w:cs="Arial"/>
          <w:sz w:val="24"/>
          <w:szCs w:val="24"/>
        </w:rPr>
        <w:t xml:space="preserve">  </w:t>
      </w:r>
      <w:r w:rsidR="003D4993">
        <w:rPr>
          <w:rFonts w:ascii="Arial" w:hAnsi="Arial" w:cs="Arial"/>
          <w:sz w:val="24"/>
          <w:szCs w:val="24"/>
        </w:rPr>
        <w:t xml:space="preserve"> </w:t>
      </w:r>
      <w:r w:rsidR="00780F40">
        <w:rPr>
          <w:rFonts w:ascii="Arial" w:hAnsi="Arial" w:cs="Arial"/>
          <w:sz w:val="24"/>
          <w:szCs w:val="24"/>
        </w:rPr>
        <w:t xml:space="preserve"> </w:t>
      </w:r>
      <w:r>
        <w:rPr>
          <w:rFonts w:ascii="Arial" w:hAnsi="Arial" w:cs="Arial"/>
          <w:sz w:val="24"/>
          <w:szCs w:val="24"/>
        </w:rPr>
        <w:t xml:space="preserve"> </w:t>
      </w:r>
    </w:p>
    <w:p w14:paraId="33A15451" w14:textId="44A0E824" w:rsidR="00171275" w:rsidRDefault="00171275" w:rsidP="008774BD">
      <w:pPr>
        <w:rPr>
          <w:rFonts w:ascii="Arial" w:hAnsi="Arial" w:cs="Arial"/>
          <w:sz w:val="24"/>
          <w:szCs w:val="24"/>
        </w:rPr>
      </w:pPr>
      <w:r>
        <w:rPr>
          <w:rFonts w:ascii="Arial" w:hAnsi="Arial" w:cs="Arial"/>
          <w:sz w:val="24"/>
          <w:szCs w:val="24"/>
        </w:rPr>
        <w:t xml:space="preserve"> </w:t>
      </w:r>
    </w:p>
    <w:p w14:paraId="1EE9E589" w14:textId="2E98497B" w:rsidR="00D94DAB" w:rsidRDefault="00D91F0B" w:rsidP="008774BD">
      <w:pPr>
        <w:rPr>
          <w:rFonts w:ascii="Arial" w:hAnsi="Arial" w:cs="Arial"/>
          <w:sz w:val="24"/>
          <w:szCs w:val="24"/>
        </w:rPr>
      </w:pPr>
      <w:r>
        <w:rPr>
          <w:rFonts w:ascii="Arial" w:hAnsi="Arial" w:cs="Arial"/>
          <w:sz w:val="24"/>
          <w:szCs w:val="24"/>
        </w:rPr>
        <w:t xml:space="preserve">  </w:t>
      </w:r>
      <w:r w:rsidR="00D52898">
        <w:rPr>
          <w:rFonts w:ascii="Arial" w:hAnsi="Arial" w:cs="Arial"/>
          <w:sz w:val="24"/>
          <w:szCs w:val="24"/>
        </w:rPr>
        <w:t xml:space="preserve"> </w:t>
      </w:r>
      <w:r w:rsidR="009C1D3B">
        <w:rPr>
          <w:rFonts w:ascii="Arial" w:hAnsi="Arial" w:cs="Arial"/>
          <w:sz w:val="24"/>
          <w:szCs w:val="24"/>
        </w:rPr>
        <w:t xml:space="preserve"> </w:t>
      </w:r>
    </w:p>
    <w:p w14:paraId="1C943437" w14:textId="57718730" w:rsidR="008774BD" w:rsidRDefault="00813953" w:rsidP="008774BD">
      <w:pPr>
        <w:rPr>
          <w:rFonts w:ascii="Arial" w:hAnsi="Arial" w:cs="Arial"/>
          <w:sz w:val="24"/>
          <w:szCs w:val="24"/>
        </w:rPr>
      </w:pPr>
      <w:r>
        <w:rPr>
          <w:rFonts w:ascii="Arial" w:hAnsi="Arial" w:cs="Arial"/>
          <w:sz w:val="24"/>
          <w:szCs w:val="24"/>
        </w:rPr>
        <w:t xml:space="preserve"> </w:t>
      </w:r>
      <w:r w:rsidR="00B037A8">
        <w:rPr>
          <w:rFonts w:ascii="Arial" w:hAnsi="Arial" w:cs="Arial"/>
          <w:sz w:val="24"/>
          <w:szCs w:val="24"/>
        </w:rPr>
        <w:t xml:space="preserve"> </w:t>
      </w:r>
      <w:r w:rsidR="00E951A2">
        <w:rPr>
          <w:rFonts w:ascii="Arial" w:hAnsi="Arial" w:cs="Arial"/>
          <w:sz w:val="24"/>
          <w:szCs w:val="24"/>
        </w:rPr>
        <w:t xml:space="preserve"> </w:t>
      </w:r>
    </w:p>
    <w:p w14:paraId="0A8C611F" w14:textId="46769D61" w:rsidR="001040BE" w:rsidRPr="001040BE" w:rsidRDefault="001040BE" w:rsidP="001040BE">
      <w:pPr>
        <w:rPr>
          <w:rFonts w:ascii="Arial" w:hAnsi="Arial" w:cs="Arial"/>
          <w:sz w:val="24"/>
          <w:szCs w:val="24"/>
        </w:rPr>
      </w:pPr>
    </w:p>
    <w:p w14:paraId="4F807824" w14:textId="0E8DD81F" w:rsidR="001040BE" w:rsidRPr="001040BE" w:rsidRDefault="001040BE" w:rsidP="001040BE">
      <w:pPr>
        <w:rPr>
          <w:rFonts w:ascii="Arial" w:hAnsi="Arial" w:cs="Arial"/>
          <w:sz w:val="24"/>
          <w:szCs w:val="24"/>
        </w:rPr>
      </w:pPr>
    </w:p>
    <w:p w14:paraId="72A8C4F9" w14:textId="4F9968A3" w:rsidR="001040BE" w:rsidRPr="001040BE" w:rsidRDefault="001040BE" w:rsidP="001040BE">
      <w:pPr>
        <w:rPr>
          <w:rFonts w:ascii="Arial" w:hAnsi="Arial" w:cs="Arial"/>
          <w:sz w:val="24"/>
          <w:szCs w:val="24"/>
        </w:rPr>
      </w:pPr>
    </w:p>
    <w:p w14:paraId="4B500982" w14:textId="5889A754" w:rsidR="001040BE" w:rsidRPr="001040BE" w:rsidRDefault="001040BE" w:rsidP="001040BE">
      <w:pPr>
        <w:rPr>
          <w:rFonts w:ascii="Arial" w:hAnsi="Arial" w:cs="Arial"/>
          <w:sz w:val="24"/>
          <w:szCs w:val="24"/>
        </w:rPr>
      </w:pPr>
    </w:p>
    <w:p w14:paraId="2100F9D3" w14:textId="13780017" w:rsidR="001040BE" w:rsidRDefault="001040BE" w:rsidP="001040BE">
      <w:pPr>
        <w:rPr>
          <w:rFonts w:ascii="Arial" w:hAnsi="Arial" w:cs="Arial"/>
          <w:sz w:val="24"/>
          <w:szCs w:val="24"/>
        </w:rPr>
      </w:pPr>
      <w:r>
        <w:rPr>
          <w:rFonts w:ascii="Arial" w:hAnsi="Arial" w:cs="Arial"/>
          <w:sz w:val="24"/>
          <w:szCs w:val="24"/>
        </w:rPr>
        <w:t xml:space="preserve">References: </w:t>
      </w:r>
    </w:p>
    <w:p w14:paraId="3B43F7CD" w14:textId="5022DD05" w:rsidR="00D170D6" w:rsidRDefault="00D170D6" w:rsidP="001040BE">
      <w:pPr>
        <w:rPr>
          <w:rFonts w:ascii="Arial" w:hAnsi="Arial" w:cs="Arial"/>
          <w:sz w:val="24"/>
          <w:szCs w:val="24"/>
        </w:rPr>
      </w:pPr>
      <w:r w:rsidRPr="00D170D6">
        <w:rPr>
          <w:rFonts w:ascii="Arial" w:hAnsi="Arial" w:cs="Arial"/>
          <w:sz w:val="24"/>
          <w:szCs w:val="24"/>
        </w:rPr>
        <w:t xml:space="preserve">Anon, (n.d.). </w:t>
      </w:r>
      <w:r w:rsidRPr="00D170D6">
        <w:rPr>
          <w:rFonts w:ascii="Arial" w:hAnsi="Arial" w:cs="Arial"/>
          <w:i/>
          <w:iCs/>
          <w:sz w:val="24"/>
          <w:szCs w:val="24"/>
        </w:rPr>
        <w:t>CRIMINAL DAMAGE</w:t>
      </w:r>
      <w:r w:rsidRPr="00D170D6">
        <w:rPr>
          <w:rFonts w:ascii="Arial" w:hAnsi="Arial" w:cs="Arial"/>
          <w:sz w:val="24"/>
          <w:szCs w:val="24"/>
        </w:rPr>
        <w:t xml:space="preserve"> |. [online] Available at: </w:t>
      </w:r>
      <w:hyperlink r:id="rId6" w:history="1">
        <w:r w:rsidRPr="00993088">
          <w:rPr>
            <w:rStyle w:val="Hyperlink"/>
            <w:rFonts w:ascii="Arial" w:hAnsi="Arial" w:cs="Arial"/>
            <w:sz w:val="24"/>
            <w:szCs w:val="24"/>
          </w:rPr>
          <w:t>https://lawexplores.com/criminal-damage/</w:t>
        </w:r>
      </w:hyperlink>
      <w:r>
        <w:rPr>
          <w:rFonts w:ascii="Arial" w:hAnsi="Arial" w:cs="Arial"/>
          <w:sz w:val="24"/>
          <w:szCs w:val="24"/>
        </w:rPr>
        <w:t>.</w:t>
      </w:r>
      <w:r w:rsidRPr="00D170D6">
        <w:rPr>
          <w:rFonts w:ascii="Arial" w:hAnsi="Arial" w:cs="Arial"/>
          <w:sz w:val="24"/>
          <w:szCs w:val="24"/>
        </w:rPr>
        <w:t xml:space="preserve"> </w:t>
      </w:r>
      <w:r w:rsidRPr="00F52E2B">
        <w:rPr>
          <w:rFonts w:ascii="Arial" w:hAnsi="Arial" w:cs="Arial"/>
          <w:sz w:val="24"/>
          <w:szCs w:val="24"/>
        </w:rPr>
        <w:t>[Accessed 26 Dec. 2021].</w:t>
      </w:r>
    </w:p>
    <w:p w14:paraId="7C7A5973" w14:textId="669E3F61" w:rsidR="00F04458" w:rsidRDefault="00F04458" w:rsidP="001040BE">
      <w:pPr>
        <w:rPr>
          <w:rFonts w:ascii="Arial" w:hAnsi="Arial" w:cs="Arial"/>
          <w:sz w:val="24"/>
          <w:szCs w:val="24"/>
        </w:rPr>
      </w:pPr>
      <w:r w:rsidRPr="00F04458">
        <w:rPr>
          <w:rFonts w:ascii="Arial" w:hAnsi="Arial" w:cs="Arial"/>
          <w:sz w:val="24"/>
          <w:szCs w:val="24"/>
        </w:rPr>
        <w:t xml:space="preserve">CPS (2019). </w:t>
      </w:r>
      <w:r w:rsidRPr="00F04458">
        <w:rPr>
          <w:rFonts w:ascii="Arial" w:hAnsi="Arial" w:cs="Arial"/>
          <w:i/>
          <w:iCs/>
          <w:sz w:val="24"/>
          <w:szCs w:val="24"/>
        </w:rPr>
        <w:t>Theft Act Offences | The Crown Prosecution Service.</w:t>
      </w:r>
      <w:r w:rsidRPr="00F04458">
        <w:rPr>
          <w:rFonts w:ascii="Arial" w:hAnsi="Arial" w:cs="Arial"/>
          <w:sz w:val="24"/>
          <w:szCs w:val="24"/>
        </w:rPr>
        <w:t xml:space="preserve"> [online] Cps.gov.uk. Available at: </w:t>
      </w:r>
      <w:hyperlink r:id="rId7" w:history="1">
        <w:r w:rsidRPr="00993088">
          <w:rPr>
            <w:rStyle w:val="Hyperlink"/>
            <w:rFonts w:ascii="Arial" w:hAnsi="Arial" w:cs="Arial"/>
            <w:sz w:val="24"/>
            <w:szCs w:val="24"/>
          </w:rPr>
          <w:t>https://www.cps.gov.uk/legal-guidance/theft-act-offences</w:t>
        </w:r>
      </w:hyperlink>
      <w:r w:rsidRPr="00F04458">
        <w:rPr>
          <w:rFonts w:ascii="Arial" w:hAnsi="Arial" w:cs="Arial"/>
          <w:sz w:val="24"/>
          <w:szCs w:val="24"/>
        </w:rPr>
        <w:t>.</w:t>
      </w:r>
      <w:r>
        <w:rPr>
          <w:rFonts w:ascii="Arial" w:hAnsi="Arial" w:cs="Arial"/>
          <w:sz w:val="24"/>
          <w:szCs w:val="24"/>
        </w:rPr>
        <w:t xml:space="preserve"> </w:t>
      </w:r>
      <w:r w:rsidRPr="00F52E2B">
        <w:rPr>
          <w:rFonts w:ascii="Arial" w:hAnsi="Arial" w:cs="Arial"/>
          <w:sz w:val="24"/>
          <w:szCs w:val="24"/>
        </w:rPr>
        <w:t>[Accessed 26 Dec. 2021].</w:t>
      </w:r>
    </w:p>
    <w:p w14:paraId="5FF24A7F" w14:textId="1FF0BE21" w:rsidR="00F04458" w:rsidRDefault="00F04458" w:rsidP="001040BE">
      <w:pPr>
        <w:rPr>
          <w:rFonts w:ascii="Arial" w:hAnsi="Arial" w:cs="Arial"/>
          <w:sz w:val="24"/>
          <w:szCs w:val="24"/>
        </w:rPr>
      </w:pPr>
      <w:r w:rsidRPr="00D16DA2">
        <w:rPr>
          <w:rFonts w:ascii="Arial" w:hAnsi="Arial" w:cs="Arial"/>
          <w:sz w:val="24"/>
          <w:szCs w:val="24"/>
        </w:rPr>
        <w:t xml:space="preserve">Crime Museum. (2013). </w:t>
      </w:r>
      <w:r w:rsidRPr="00D16DA2">
        <w:rPr>
          <w:rFonts w:ascii="Arial" w:hAnsi="Arial" w:cs="Arial"/>
          <w:i/>
          <w:iCs/>
          <w:sz w:val="24"/>
          <w:szCs w:val="24"/>
        </w:rPr>
        <w:t>Actus Reus</w:t>
      </w:r>
      <w:r w:rsidRPr="00D16DA2">
        <w:rPr>
          <w:rFonts w:ascii="Arial" w:hAnsi="Arial" w:cs="Arial"/>
          <w:sz w:val="24"/>
          <w:szCs w:val="24"/>
        </w:rPr>
        <w:t xml:space="preserve"> - Crime Museum. [online] Available at: </w:t>
      </w:r>
      <w:hyperlink r:id="rId8" w:history="1">
        <w:r w:rsidRPr="00993088">
          <w:rPr>
            <w:rStyle w:val="Hyperlink"/>
            <w:rFonts w:ascii="Arial" w:hAnsi="Arial" w:cs="Arial"/>
            <w:sz w:val="24"/>
            <w:szCs w:val="24"/>
          </w:rPr>
          <w:t>https://www.crimemuseum.org/crime-library/criminal-law/actus-reus/</w:t>
        </w:r>
      </w:hyperlink>
      <w:r w:rsidRPr="00D16DA2">
        <w:rPr>
          <w:rFonts w:ascii="Arial" w:hAnsi="Arial" w:cs="Arial"/>
          <w:sz w:val="24"/>
          <w:szCs w:val="24"/>
        </w:rPr>
        <w:t>.</w:t>
      </w:r>
      <w:r>
        <w:rPr>
          <w:rFonts w:ascii="Arial" w:hAnsi="Arial" w:cs="Arial"/>
          <w:sz w:val="24"/>
          <w:szCs w:val="24"/>
        </w:rPr>
        <w:t xml:space="preserve"> </w:t>
      </w:r>
      <w:r w:rsidRPr="00F52E2B">
        <w:rPr>
          <w:rFonts w:ascii="Arial" w:hAnsi="Arial" w:cs="Arial"/>
          <w:sz w:val="24"/>
          <w:szCs w:val="24"/>
        </w:rPr>
        <w:t>[Accessed 26 Dec. 2021].</w:t>
      </w:r>
    </w:p>
    <w:p w14:paraId="4D57CED3" w14:textId="173DDC95" w:rsidR="001040BE" w:rsidRDefault="001040BE" w:rsidP="001040BE">
      <w:pPr>
        <w:rPr>
          <w:rFonts w:ascii="Arial" w:hAnsi="Arial" w:cs="Arial"/>
          <w:sz w:val="24"/>
          <w:szCs w:val="24"/>
        </w:rPr>
      </w:pPr>
      <w:r w:rsidRPr="001040BE">
        <w:rPr>
          <w:rFonts w:ascii="Arial" w:hAnsi="Arial" w:cs="Arial"/>
          <w:sz w:val="24"/>
          <w:szCs w:val="24"/>
        </w:rPr>
        <w:t xml:space="preserve">England, D.C. (2014). </w:t>
      </w:r>
      <w:r w:rsidRPr="00E04B11">
        <w:rPr>
          <w:rFonts w:ascii="Arial" w:hAnsi="Arial" w:cs="Arial"/>
          <w:i/>
          <w:iCs/>
          <w:sz w:val="24"/>
          <w:szCs w:val="24"/>
        </w:rPr>
        <w:t>Criminal Liability</w:t>
      </w:r>
      <w:r w:rsidRPr="001040BE">
        <w:rPr>
          <w:rFonts w:ascii="Arial" w:hAnsi="Arial" w:cs="Arial"/>
          <w:sz w:val="24"/>
          <w:szCs w:val="24"/>
        </w:rPr>
        <w:t xml:space="preserve">. [online] www.criminaldefenselawyer.com. Available at: </w:t>
      </w:r>
      <w:hyperlink r:id="rId9" w:history="1">
        <w:r w:rsidRPr="00993088">
          <w:rPr>
            <w:rStyle w:val="Hyperlink"/>
            <w:rFonts w:ascii="Arial" w:hAnsi="Arial" w:cs="Arial"/>
            <w:sz w:val="24"/>
            <w:szCs w:val="24"/>
          </w:rPr>
          <w:t>https://www.criminaldefenselawyer.com/resources/criminal-liability.htm</w:t>
        </w:r>
      </w:hyperlink>
      <w:r w:rsidRPr="001040BE">
        <w:rPr>
          <w:rFonts w:ascii="Arial" w:hAnsi="Arial" w:cs="Arial"/>
          <w:sz w:val="24"/>
          <w:szCs w:val="24"/>
        </w:rPr>
        <w:t>.</w:t>
      </w:r>
      <w:r w:rsidR="00F52E2B">
        <w:rPr>
          <w:rFonts w:ascii="Arial" w:hAnsi="Arial" w:cs="Arial"/>
          <w:sz w:val="24"/>
          <w:szCs w:val="24"/>
        </w:rPr>
        <w:t xml:space="preserve"> </w:t>
      </w:r>
      <w:r w:rsidR="00F52E2B" w:rsidRPr="00F52E2B">
        <w:rPr>
          <w:rFonts w:ascii="Arial" w:hAnsi="Arial" w:cs="Arial"/>
          <w:sz w:val="24"/>
          <w:szCs w:val="24"/>
        </w:rPr>
        <w:t>[Accessed 26 Dec. 2021].</w:t>
      </w:r>
    </w:p>
    <w:p w14:paraId="3B9CE188" w14:textId="5AA11E9A" w:rsidR="00D170D6" w:rsidRDefault="00D170D6" w:rsidP="00D170D6">
      <w:pPr>
        <w:rPr>
          <w:rFonts w:ascii="Arial" w:hAnsi="Arial" w:cs="Arial"/>
          <w:sz w:val="24"/>
          <w:szCs w:val="24"/>
        </w:rPr>
      </w:pPr>
      <w:r w:rsidRPr="00D170D6">
        <w:rPr>
          <w:rFonts w:ascii="Arial" w:hAnsi="Arial" w:cs="Arial"/>
          <w:sz w:val="24"/>
          <w:szCs w:val="24"/>
        </w:rPr>
        <w:t xml:space="preserve">IPSA LOQUITUR. (n.d.). </w:t>
      </w:r>
      <w:r w:rsidRPr="00D170D6">
        <w:rPr>
          <w:rFonts w:ascii="Arial" w:hAnsi="Arial" w:cs="Arial"/>
          <w:i/>
          <w:iCs/>
          <w:sz w:val="24"/>
          <w:szCs w:val="24"/>
        </w:rPr>
        <w:t>Gayford v Chouler - Case Summary</w:t>
      </w:r>
      <w:r w:rsidRPr="00D170D6">
        <w:rPr>
          <w:rFonts w:ascii="Arial" w:hAnsi="Arial" w:cs="Arial"/>
          <w:sz w:val="24"/>
          <w:szCs w:val="24"/>
        </w:rPr>
        <w:t xml:space="preserve">. [online] Available at: </w:t>
      </w:r>
      <w:hyperlink r:id="rId10" w:history="1">
        <w:r w:rsidRPr="00993088">
          <w:rPr>
            <w:rStyle w:val="Hyperlink"/>
            <w:rFonts w:ascii="Arial" w:hAnsi="Arial" w:cs="Arial"/>
            <w:sz w:val="24"/>
            <w:szCs w:val="24"/>
          </w:rPr>
          <w:t>https://ipsaloquitur.com/criminal-law/cases/gayford-v-chouler/</w:t>
        </w:r>
      </w:hyperlink>
      <w:r>
        <w:rPr>
          <w:rFonts w:ascii="Arial" w:hAnsi="Arial" w:cs="Arial"/>
          <w:sz w:val="24"/>
          <w:szCs w:val="24"/>
        </w:rPr>
        <w:t xml:space="preserve">. </w:t>
      </w:r>
      <w:proofErr w:type="gramStart"/>
      <w:r w:rsidRPr="00F52E2B">
        <w:rPr>
          <w:rFonts w:ascii="Arial" w:hAnsi="Arial" w:cs="Arial"/>
          <w:sz w:val="24"/>
          <w:szCs w:val="24"/>
        </w:rPr>
        <w:t>[</w:t>
      </w:r>
      <w:proofErr w:type="gramEnd"/>
      <w:r w:rsidRPr="00F52E2B">
        <w:rPr>
          <w:rFonts w:ascii="Arial" w:hAnsi="Arial" w:cs="Arial"/>
          <w:sz w:val="24"/>
          <w:szCs w:val="24"/>
        </w:rPr>
        <w:t>Accessed 26 Dec. 2021].</w:t>
      </w:r>
    </w:p>
    <w:p w14:paraId="65421C17" w14:textId="3218EBC0" w:rsidR="00F52E2B" w:rsidRDefault="00F52E2B" w:rsidP="001040BE">
      <w:pPr>
        <w:rPr>
          <w:rFonts w:ascii="Arial" w:hAnsi="Arial" w:cs="Arial"/>
          <w:sz w:val="24"/>
          <w:szCs w:val="24"/>
        </w:rPr>
      </w:pPr>
      <w:r w:rsidRPr="00F52E2B">
        <w:rPr>
          <w:rFonts w:ascii="Arial" w:hAnsi="Arial" w:cs="Arial"/>
          <w:sz w:val="24"/>
          <w:szCs w:val="24"/>
        </w:rPr>
        <w:t xml:space="preserve">Law Teacher. (2021). </w:t>
      </w:r>
      <w:r w:rsidRPr="00F52E2B">
        <w:rPr>
          <w:rFonts w:ascii="Arial" w:hAnsi="Arial" w:cs="Arial"/>
          <w:i/>
          <w:iCs/>
          <w:sz w:val="24"/>
          <w:szCs w:val="24"/>
        </w:rPr>
        <w:t>R v Morris - 1983</w:t>
      </w:r>
      <w:r w:rsidRPr="00F52E2B">
        <w:rPr>
          <w:rFonts w:ascii="Arial" w:hAnsi="Arial" w:cs="Arial"/>
          <w:sz w:val="24"/>
          <w:szCs w:val="24"/>
        </w:rPr>
        <w:t xml:space="preserve">. [online] Available at: </w:t>
      </w:r>
      <w:hyperlink r:id="rId11" w:history="1">
        <w:r w:rsidRPr="00993088">
          <w:rPr>
            <w:rStyle w:val="Hyperlink"/>
            <w:rFonts w:ascii="Arial" w:hAnsi="Arial" w:cs="Arial"/>
            <w:sz w:val="24"/>
            <w:szCs w:val="24"/>
          </w:rPr>
          <w:t>https://www.lawteacher.net/cases/r-v-morris.php</w:t>
        </w:r>
      </w:hyperlink>
      <w:r w:rsidRPr="00F52E2B">
        <w:rPr>
          <w:rFonts w:ascii="Arial" w:hAnsi="Arial" w:cs="Arial"/>
          <w:sz w:val="24"/>
          <w:szCs w:val="24"/>
        </w:rPr>
        <w:t xml:space="preserve"> [Accessed 26 Dec. 2021].</w:t>
      </w:r>
    </w:p>
    <w:p w14:paraId="0118FA3F" w14:textId="1E564E8B" w:rsidR="00CC304C" w:rsidRDefault="00CC304C" w:rsidP="001040BE">
      <w:pPr>
        <w:rPr>
          <w:rFonts w:ascii="Arial" w:hAnsi="Arial" w:cs="Arial"/>
          <w:sz w:val="24"/>
          <w:szCs w:val="24"/>
        </w:rPr>
      </w:pPr>
      <w:r w:rsidRPr="00CC304C">
        <w:rPr>
          <w:rFonts w:ascii="Arial" w:hAnsi="Arial" w:cs="Arial"/>
          <w:sz w:val="24"/>
          <w:szCs w:val="24"/>
        </w:rPr>
        <w:t xml:space="preserve">Law Teacher. (2021). </w:t>
      </w:r>
      <w:r w:rsidRPr="00CC304C">
        <w:rPr>
          <w:rFonts w:ascii="Arial" w:hAnsi="Arial" w:cs="Arial"/>
          <w:i/>
          <w:iCs/>
          <w:sz w:val="24"/>
          <w:szCs w:val="24"/>
        </w:rPr>
        <w:t>R v Gomez - 1993</w:t>
      </w:r>
      <w:r w:rsidRPr="00CC304C">
        <w:rPr>
          <w:rFonts w:ascii="Arial" w:hAnsi="Arial" w:cs="Arial"/>
          <w:sz w:val="24"/>
          <w:szCs w:val="24"/>
        </w:rPr>
        <w:t xml:space="preserve">. [online] Available at: </w:t>
      </w:r>
      <w:hyperlink r:id="rId12" w:history="1">
        <w:r w:rsidR="003D4993" w:rsidRPr="00993088">
          <w:rPr>
            <w:rStyle w:val="Hyperlink"/>
            <w:rFonts w:ascii="Arial" w:hAnsi="Arial" w:cs="Arial"/>
            <w:sz w:val="24"/>
            <w:szCs w:val="24"/>
          </w:rPr>
          <w:t>https://www.lawteacher.net/cases/r-v-gomez.php</w:t>
        </w:r>
      </w:hyperlink>
      <w:r w:rsidRPr="00CC304C">
        <w:rPr>
          <w:rFonts w:ascii="Arial" w:hAnsi="Arial" w:cs="Arial"/>
          <w:sz w:val="24"/>
          <w:szCs w:val="24"/>
        </w:rPr>
        <w:t xml:space="preserve"> [Accessed 26 Dec. 2021].</w:t>
      </w:r>
    </w:p>
    <w:p w14:paraId="6033CDC9" w14:textId="59679334" w:rsidR="00046F5E" w:rsidRDefault="00046F5E" w:rsidP="001040BE">
      <w:pPr>
        <w:rPr>
          <w:rFonts w:ascii="Arial" w:hAnsi="Arial" w:cs="Arial"/>
          <w:sz w:val="24"/>
          <w:szCs w:val="24"/>
        </w:rPr>
      </w:pPr>
      <w:r w:rsidRPr="00046F5E">
        <w:rPr>
          <w:rFonts w:ascii="Arial" w:hAnsi="Arial" w:cs="Arial"/>
          <w:sz w:val="24"/>
          <w:szCs w:val="24"/>
        </w:rPr>
        <w:t xml:space="preserve">Law Teacher. (2021). </w:t>
      </w:r>
      <w:r w:rsidRPr="00046F5E">
        <w:rPr>
          <w:rFonts w:ascii="Arial" w:hAnsi="Arial" w:cs="Arial"/>
          <w:i/>
          <w:iCs/>
          <w:sz w:val="24"/>
          <w:szCs w:val="24"/>
        </w:rPr>
        <w:t>R v Cunningham - 1957.</w:t>
      </w:r>
      <w:r w:rsidRPr="00046F5E">
        <w:rPr>
          <w:rFonts w:ascii="Arial" w:hAnsi="Arial" w:cs="Arial"/>
          <w:sz w:val="24"/>
          <w:szCs w:val="24"/>
        </w:rPr>
        <w:t xml:space="preserve"> [online] Available at: </w:t>
      </w:r>
      <w:hyperlink r:id="rId13" w:history="1">
        <w:r w:rsidRPr="00993088">
          <w:rPr>
            <w:rStyle w:val="Hyperlink"/>
            <w:rFonts w:ascii="Arial" w:hAnsi="Arial" w:cs="Arial"/>
            <w:sz w:val="24"/>
            <w:szCs w:val="24"/>
          </w:rPr>
          <w:t>https://www.lawteacher.net/cases/r-v-cunningham.php</w:t>
        </w:r>
      </w:hyperlink>
      <w:r w:rsidRPr="00046F5E">
        <w:rPr>
          <w:rFonts w:ascii="Arial" w:hAnsi="Arial" w:cs="Arial"/>
          <w:sz w:val="24"/>
          <w:szCs w:val="24"/>
        </w:rPr>
        <w:t xml:space="preserve"> [Accessed 26 Dec. 2021].</w:t>
      </w:r>
    </w:p>
    <w:p w14:paraId="7587129F" w14:textId="5EB40E24" w:rsidR="007804D2" w:rsidRDefault="007804D2" w:rsidP="001040BE">
      <w:pPr>
        <w:rPr>
          <w:rFonts w:ascii="Arial" w:hAnsi="Arial" w:cs="Arial"/>
          <w:sz w:val="24"/>
          <w:szCs w:val="24"/>
        </w:rPr>
      </w:pPr>
      <w:r w:rsidRPr="007804D2">
        <w:rPr>
          <w:rFonts w:ascii="Arial" w:hAnsi="Arial" w:cs="Arial"/>
          <w:sz w:val="24"/>
          <w:szCs w:val="24"/>
        </w:rPr>
        <w:t xml:space="preserve">Law Teacher. (2019). </w:t>
      </w:r>
      <w:r w:rsidRPr="007804D2">
        <w:rPr>
          <w:rFonts w:ascii="Arial" w:hAnsi="Arial" w:cs="Arial"/>
          <w:i/>
          <w:iCs/>
          <w:sz w:val="24"/>
          <w:szCs w:val="24"/>
        </w:rPr>
        <w:t xml:space="preserve">R v Fiak - 2005. </w:t>
      </w:r>
      <w:r w:rsidRPr="007804D2">
        <w:rPr>
          <w:rFonts w:ascii="Arial" w:hAnsi="Arial" w:cs="Arial"/>
          <w:sz w:val="24"/>
          <w:szCs w:val="24"/>
        </w:rPr>
        <w:t xml:space="preserve">[online] Available at: </w:t>
      </w:r>
      <w:hyperlink r:id="rId14" w:history="1">
        <w:r w:rsidR="003D4993" w:rsidRPr="00993088">
          <w:rPr>
            <w:rStyle w:val="Hyperlink"/>
            <w:rFonts w:ascii="Arial" w:hAnsi="Arial" w:cs="Arial"/>
            <w:sz w:val="24"/>
            <w:szCs w:val="24"/>
          </w:rPr>
          <w:t>https://www.lawteacher.net/cases/r-v-fiak.php</w:t>
        </w:r>
      </w:hyperlink>
      <w:r w:rsidRPr="007804D2">
        <w:rPr>
          <w:rFonts w:ascii="Arial" w:hAnsi="Arial" w:cs="Arial"/>
          <w:sz w:val="24"/>
          <w:szCs w:val="24"/>
        </w:rPr>
        <w:t xml:space="preserve"> [Accessed 26 Dec. 2021].</w:t>
      </w:r>
    </w:p>
    <w:p w14:paraId="679F45B8" w14:textId="7C6E4D4C" w:rsidR="00E04B11" w:rsidRPr="001040BE" w:rsidRDefault="00E04B11" w:rsidP="001040BE">
      <w:pPr>
        <w:rPr>
          <w:rFonts w:ascii="Arial" w:hAnsi="Arial" w:cs="Arial"/>
          <w:sz w:val="24"/>
          <w:szCs w:val="24"/>
        </w:rPr>
      </w:pPr>
      <w:r w:rsidRPr="00E04B11">
        <w:rPr>
          <w:rFonts w:ascii="Arial" w:hAnsi="Arial" w:cs="Arial"/>
          <w:sz w:val="24"/>
          <w:szCs w:val="24"/>
        </w:rPr>
        <w:t xml:space="preserve">Staff, L. (2017). </w:t>
      </w:r>
      <w:r w:rsidRPr="00E04B11">
        <w:rPr>
          <w:rFonts w:ascii="Arial" w:hAnsi="Arial" w:cs="Arial"/>
          <w:i/>
          <w:iCs/>
          <w:sz w:val="24"/>
          <w:szCs w:val="24"/>
        </w:rPr>
        <w:t>Mens Rea.</w:t>
      </w:r>
      <w:r w:rsidRPr="00E04B11">
        <w:rPr>
          <w:rFonts w:ascii="Arial" w:hAnsi="Arial" w:cs="Arial"/>
          <w:sz w:val="24"/>
          <w:szCs w:val="24"/>
        </w:rPr>
        <w:t xml:space="preserve"> [online] LII / Legal Information Institute. Available at: </w:t>
      </w:r>
      <w:hyperlink r:id="rId15" w:history="1">
        <w:r w:rsidRPr="00993088">
          <w:rPr>
            <w:rStyle w:val="Hyperlink"/>
            <w:rFonts w:ascii="Arial" w:hAnsi="Arial" w:cs="Arial"/>
            <w:sz w:val="24"/>
            <w:szCs w:val="24"/>
          </w:rPr>
          <w:t>https://www.law.cornell.edu/wex/mens_rea</w:t>
        </w:r>
      </w:hyperlink>
      <w:r w:rsidRPr="00E04B11">
        <w:rPr>
          <w:rFonts w:ascii="Arial" w:hAnsi="Arial" w:cs="Arial"/>
          <w:sz w:val="24"/>
          <w:szCs w:val="24"/>
        </w:rPr>
        <w:t>.</w:t>
      </w:r>
      <w:r w:rsidR="00F52E2B">
        <w:rPr>
          <w:rFonts w:ascii="Arial" w:hAnsi="Arial" w:cs="Arial"/>
          <w:sz w:val="24"/>
          <w:szCs w:val="24"/>
        </w:rPr>
        <w:t xml:space="preserve"> </w:t>
      </w:r>
      <w:r w:rsidR="00F52E2B" w:rsidRPr="00F52E2B">
        <w:rPr>
          <w:rFonts w:ascii="Arial" w:hAnsi="Arial" w:cs="Arial"/>
          <w:sz w:val="24"/>
          <w:szCs w:val="24"/>
        </w:rPr>
        <w:t>[Accessed 26 Dec. 2021].</w:t>
      </w:r>
    </w:p>
    <w:p w14:paraId="6F9596CB" w14:textId="77777777" w:rsidR="001040BE" w:rsidRPr="001040BE" w:rsidRDefault="001040BE" w:rsidP="001040BE">
      <w:pPr>
        <w:rPr>
          <w:rFonts w:ascii="Arial" w:hAnsi="Arial" w:cs="Arial"/>
          <w:sz w:val="24"/>
          <w:szCs w:val="24"/>
        </w:rPr>
      </w:pPr>
    </w:p>
    <w:sectPr w:rsidR="001040BE" w:rsidRPr="001040B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2DEF6" w14:textId="77777777" w:rsidR="00085F2C" w:rsidRDefault="00085F2C" w:rsidP="0046199D">
      <w:pPr>
        <w:spacing w:after="0" w:line="240" w:lineRule="auto"/>
      </w:pPr>
      <w:r>
        <w:separator/>
      </w:r>
    </w:p>
  </w:endnote>
  <w:endnote w:type="continuationSeparator" w:id="0">
    <w:p w14:paraId="473D062E" w14:textId="77777777" w:rsidR="00085F2C" w:rsidRDefault="00085F2C" w:rsidP="00461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471653"/>
      <w:docPartObj>
        <w:docPartGallery w:val="Page Numbers (Bottom of Page)"/>
        <w:docPartUnique/>
      </w:docPartObj>
    </w:sdtPr>
    <w:sdtEndPr>
      <w:rPr>
        <w:color w:val="7F7F7F" w:themeColor="background1" w:themeShade="7F"/>
        <w:spacing w:val="60"/>
      </w:rPr>
    </w:sdtEndPr>
    <w:sdtContent>
      <w:p w14:paraId="50B3129A" w14:textId="5A5CD8FC" w:rsidR="0046199D" w:rsidRDefault="0046199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Pr>
            <w:color w:val="7F7F7F" w:themeColor="background1" w:themeShade="7F"/>
            <w:spacing w:val="60"/>
          </w:rPr>
          <w:tab/>
        </w:r>
        <w:r>
          <w:rPr>
            <w:color w:val="7F7F7F" w:themeColor="background1" w:themeShade="7F"/>
            <w:spacing w:val="60"/>
          </w:rPr>
          <w:tab/>
          <w:t>Muhammad Omar</w:t>
        </w:r>
      </w:p>
    </w:sdtContent>
  </w:sdt>
  <w:p w14:paraId="479A0B90" w14:textId="77777777" w:rsidR="0046199D" w:rsidRDefault="004619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EB1F8" w14:textId="77777777" w:rsidR="00085F2C" w:rsidRDefault="00085F2C" w:rsidP="0046199D">
      <w:pPr>
        <w:spacing w:after="0" w:line="240" w:lineRule="auto"/>
      </w:pPr>
      <w:r>
        <w:separator/>
      </w:r>
    </w:p>
  </w:footnote>
  <w:footnote w:type="continuationSeparator" w:id="0">
    <w:p w14:paraId="1E328E3B" w14:textId="77777777" w:rsidR="00085F2C" w:rsidRDefault="00085F2C" w:rsidP="004619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4BD"/>
    <w:rsid w:val="00014EB8"/>
    <w:rsid w:val="000237E7"/>
    <w:rsid w:val="00046F5E"/>
    <w:rsid w:val="000477DB"/>
    <w:rsid w:val="00085F2C"/>
    <w:rsid w:val="00102EE4"/>
    <w:rsid w:val="001040BE"/>
    <w:rsid w:val="0013776D"/>
    <w:rsid w:val="00151111"/>
    <w:rsid w:val="00171275"/>
    <w:rsid w:val="002E1EE8"/>
    <w:rsid w:val="003D4993"/>
    <w:rsid w:val="0046199D"/>
    <w:rsid w:val="00485F6E"/>
    <w:rsid w:val="0048729C"/>
    <w:rsid w:val="004C22F8"/>
    <w:rsid w:val="004C4BC6"/>
    <w:rsid w:val="007804D2"/>
    <w:rsid w:val="00780F40"/>
    <w:rsid w:val="007E08D8"/>
    <w:rsid w:val="00813953"/>
    <w:rsid w:val="008774BD"/>
    <w:rsid w:val="008845A7"/>
    <w:rsid w:val="00920CAE"/>
    <w:rsid w:val="0096244B"/>
    <w:rsid w:val="009C1D3B"/>
    <w:rsid w:val="009D417B"/>
    <w:rsid w:val="00A05781"/>
    <w:rsid w:val="00AC5419"/>
    <w:rsid w:val="00AE0211"/>
    <w:rsid w:val="00B037A8"/>
    <w:rsid w:val="00C2013E"/>
    <w:rsid w:val="00C62F00"/>
    <w:rsid w:val="00CC304C"/>
    <w:rsid w:val="00D16DA2"/>
    <w:rsid w:val="00D170D6"/>
    <w:rsid w:val="00D52898"/>
    <w:rsid w:val="00D91F0B"/>
    <w:rsid w:val="00D94DAB"/>
    <w:rsid w:val="00E04B11"/>
    <w:rsid w:val="00E6235F"/>
    <w:rsid w:val="00E951A2"/>
    <w:rsid w:val="00EB4367"/>
    <w:rsid w:val="00F04458"/>
    <w:rsid w:val="00F52E2B"/>
    <w:rsid w:val="00F75BA8"/>
    <w:rsid w:val="00F822A9"/>
    <w:rsid w:val="00FB7E49"/>
    <w:rsid w:val="00FD5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DF73E"/>
  <w15:chartTrackingRefBased/>
  <w15:docId w15:val="{C42B86B6-6538-46DF-A882-C6CC043A9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40BE"/>
    <w:rPr>
      <w:color w:val="0563C1" w:themeColor="hyperlink"/>
      <w:u w:val="single"/>
    </w:rPr>
  </w:style>
  <w:style w:type="character" w:styleId="UnresolvedMention">
    <w:name w:val="Unresolved Mention"/>
    <w:basedOn w:val="DefaultParagraphFont"/>
    <w:uiPriority w:val="99"/>
    <w:semiHidden/>
    <w:unhideWhenUsed/>
    <w:rsid w:val="001040BE"/>
    <w:rPr>
      <w:color w:val="605E5C"/>
      <w:shd w:val="clear" w:color="auto" w:fill="E1DFDD"/>
    </w:rPr>
  </w:style>
  <w:style w:type="paragraph" w:styleId="Header">
    <w:name w:val="header"/>
    <w:basedOn w:val="Normal"/>
    <w:link w:val="HeaderChar"/>
    <w:uiPriority w:val="99"/>
    <w:unhideWhenUsed/>
    <w:rsid w:val="004619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99D"/>
  </w:style>
  <w:style w:type="paragraph" w:styleId="Footer">
    <w:name w:val="footer"/>
    <w:basedOn w:val="Normal"/>
    <w:link w:val="FooterChar"/>
    <w:uiPriority w:val="99"/>
    <w:unhideWhenUsed/>
    <w:rsid w:val="004619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9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141353">
      <w:bodyDiv w:val="1"/>
      <w:marLeft w:val="0"/>
      <w:marRight w:val="0"/>
      <w:marTop w:val="0"/>
      <w:marBottom w:val="0"/>
      <w:divBdr>
        <w:top w:val="none" w:sz="0" w:space="0" w:color="auto"/>
        <w:left w:val="none" w:sz="0" w:space="0" w:color="auto"/>
        <w:bottom w:val="none" w:sz="0" w:space="0" w:color="auto"/>
        <w:right w:val="none" w:sz="0" w:space="0" w:color="auto"/>
      </w:divBdr>
    </w:div>
    <w:div w:id="745032532">
      <w:bodyDiv w:val="1"/>
      <w:marLeft w:val="0"/>
      <w:marRight w:val="0"/>
      <w:marTop w:val="0"/>
      <w:marBottom w:val="0"/>
      <w:divBdr>
        <w:top w:val="none" w:sz="0" w:space="0" w:color="auto"/>
        <w:left w:val="none" w:sz="0" w:space="0" w:color="auto"/>
        <w:bottom w:val="none" w:sz="0" w:space="0" w:color="auto"/>
        <w:right w:val="none" w:sz="0" w:space="0" w:color="auto"/>
      </w:divBdr>
    </w:div>
    <w:div w:id="1047140238">
      <w:bodyDiv w:val="1"/>
      <w:marLeft w:val="0"/>
      <w:marRight w:val="0"/>
      <w:marTop w:val="0"/>
      <w:marBottom w:val="0"/>
      <w:divBdr>
        <w:top w:val="none" w:sz="0" w:space="0" w:color="auto"/>
        <w:left w:val="none" w:sz="0" w:space="0" w:color="auto"/>
        <w:bottom w:val="none" w:sz="0" w:space="0" w:color="auto"/>
        <w:right w:val="none" w:sz="0" w:space="0" w:color="auto"/>
      </w:divBdr>
    </w:div>
    <w:div w:id="1935359762">
      <w:bodyDiv w:val="1"/>
      <w:marLeft w:val="0"/>
      <w:marRight w:val="0"/>
      <w:marTop w:val="0"/>
      <w:marBottom w:val="0"/>
      <w:divBdr>
        <w:top w:val="none" w:sz="0" w:space="0" w:color="auto"/>
        <w:left w:val="none" w:sz="0" w:space="0" w:color="auto"/>
        <w:bottom w:val="none" w:sz="0" w:space="0" w:color="auto"/>
        <w:right w:val="none" w:sz="0" w:space="0" w:color="auto"/>
      </w:divBdr>
      <w:divsChild>
        <w:div w:id="1871841670">
          <w:marLeft w:val="0"/>
          <w:marRight w:val="0"/>
          <w:marTop w:val="0"/>
          <w:marBottom w:val="150"/>
          <w:divBdr>
            <w:top w:val="none" w:sz="0" w:space="0" w:color="auto"/>
            <w:left w:val="none" w:sz="0" w:space="0" w:color="auto"/>
            <w:bottom w:val="none" w:sz="0" w:space="0" w:color="auto"/>
            <w:right w:val="none" w:sz="0" w:space="0" w:color="auto"/>
          </w:divBdr>
        </w:div>
      </w:divsChild>
    </w:div>
    <w:div w:id="200758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imemuseum.org/crime-library/criminal-law/actus-reus/" TargetMode="External"/><Relationship Id="rId13" Type="http://schemas.openxmlformats.org/officeDocument/2006/relationships/hyperlink" Target="https://www.lawteacher.net/cases/r-v-cunningham.php"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ps.gov.uk/legal-guidance/theft-act-offences" TargetMode="External"/><Relationship Id="rId12" Type="http://schemas.openxmlformats.org/officeDocument/2006/relationships/hyperlink" Target="https://www.lawteacher.net/cases/r-v-gomez.php"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lawexplores.com/criminal-damage/" TargetMode="External"/><Relationship Id="rId11" Type="http://schemas.openxmlformats.org/officeDocument/2006/relationships/hyperlink" Target="https://www.lawteacher.net/cases/r-v-morris.php" TargetMode="External"/><Relationship Id="rId5" Type="http://schemas.openxmlformats.org/officeDocument/2006/relationships/endnotes" Target="endnotes.xml"/><Relationship Id="rId15" Type="http://schemas.openxmlformats.org/officeDocument/2006/relationships/hyperlink" Target="https://www.law.cornell.edu/wex/mens_rea" TargetMode="External"/><Relationship Id="rId10" Type="http://schemas.openxmlformats.org/officeDocument/2006/relationships/hyperlink" Target="https://ipsaloquitur.com/criminal-law/cases/gayford-v-chouler/" TargetMode="External"/><Relationship Id="rId4" Type="http://schemas.openxmlformats.org/officeDocument/2006/relationships/footnotes" Target="footnotes.xml"/><Relationship Id="rId9" Type="http://schemas.openxmlformats.org/officeDocument/2006/relationships/hyperlink" Target="https://www.criminaldefenselawyer.com/resources/criminal-liability.htm" TargetMode="External"/><Relationship Id="rId14" Type="http://schemas.openxmlformats.org/officeDocument/2006/relationships/hyperlink" Target="https://www.lawteacher.net/cases/r-v-fiak.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1359</Words>
  <Characters>7750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Omar (2110726)</dc:creator>
  <cp:keywords/>
  <dc:description/>
  <cp:lastModifiedBy>Muhammad Omar (2110726)</cp:lastModifiedBy>
  <cp:revision>2</cp:revision>
  <dcterms:created xsi:type="dcterms:W3CDTF">2022-01-07T23:34:00Z</dcterms:created>
  <dcterms:modified xsi:type="dcterms:W3CDTF">2022-01-07T23:34:00Z</dcterms:modified>
</cp:coreProperties>
</file>