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10"/>
      </w:tblGrid>
      <w:tr w:rsidR="00F927A1" w:rsidRPr="005D3F07" w14:paraId="68CAA39D" w14:textId="77777777" w:rsidTr="003459B3">
        <w:tc>
          <w:tcPr>
            <w:tcW w:w="10910" w:type="dxa"/>
            <w:shd w:val="clear" w:color="auto" w:fill="auto"/>
          </w:tcPr>
          <w:p w14:paraId="02F8EE88" w14:textId="469FFC9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459B3">
              <w:rPr>
                <w:rFonts w:ascii="Times New Roman" w:hAnsi="Times New Roman" w:cs="Times New Roman"/>
                <w:b/>
                <w:color w:val="auto"/>
                <w:sz w:val="48"/>
              </w:rPr>
              <w:t>Catrin Haf Jones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0A2DC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3459B3">
              <w:t xml:space="preserve"> </w:t>
            </w:r>
            <w:r w:rsidR="003459B3" w:rsidRPr="003459B3">
              <w:rPr>
                <w:rFonts w:ascii="Times New Roman" w:hAnsi="Times New Roman" w:cs="Times New Roman"/>
                <w:b/>
                <w:color w:val="auto"/>
                <w:sz w:val="48"/>
              </w:rPr>
              <w:t>2330035@student.uwtsd.ac.uk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65FA23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459B3" w:rsidRPr="003459B3">
              <w:rPr>
                <w:rFonts w:ascii="Times New Roman" w:hAnsi="Times New Roman" w:cs="Times New Roman"/>
                <w:b/>
                <w:color w:val="auto"/>
                <w:sz w:val="48"/>
              </w:rPr>
              <w:t xml:space="preserve"> </w:t>
            </w:r>
            <w:r w:rsidR="003459B3" w:rsidRPr="003459B3">
              <w:rPr>
                <w:rFonts w:ascii="Times New Roman" w:hAnsi="Times New Roman" w:cs="Times New Roman"/>
                <w:b/>
                <w:color w:val="auto"/>
                <w:sz w:val="48"/>
              </w:rPr>
              <w:t>2330035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 xml:space="preserve">demonstrate your </w:t>
            </w:r>
            <w:r w:rsidR="00354B6D" w:rsidRPr="003459B3">
              <w:rPr>
                <w:sz w:val="24"/>
                <w:szCs w:val="24"/>
              </w:rPr>
              <w:t>understanding of</w:t>
            </w:r>
            <w:r w:rsidR="00F34C86" w:rsidRPr="003459B3">
              <w:rPr>
                <w:sz w:val="24"/>
                <w:szCs w:val="24"/>
              </w:rPr>
              <w:t xml:space="preserve"> </w:t>
            </w:r>
            <w:r w:rsidR="00411EF7" w:rsidRPr="003459B3">
              <w:rPr>
                <w:sz w:val="24"/>
                <w:szCs w:val="24"/>
              </w:rPr>
              <w:t xml:space="preserve">the </w:t>
            </w:r>
            <w:r w:rsidR="00216563" w:rsidRPr="003459B3">
              <w:rPr>
                <w:sz w:val="24"/>
                <w:szCs w:val="24"/>
              </w:rPr>
              <w:t xml:space="preserve">integration of </w:t>
            </w:r>
            <w:r w:rsidR="6A854C79" w:rsidRPr="003459B3">
              <w:rPr>
                <w:sz w:val="24"/>
                <w:szCs w:val="24"/>
              </w:rPr>
              <w:t>analysis in asses</w:t>
            </w:r>
            <w:r w:rsidR="0F77E214" w:rsidRPr="003459B3">
              <w:rPr>
                <w:sz w:val="24"/>
                <w:szCs w:val="24"/>
              </w:rPr>
              <w:t>sment, collabo</w:t>
            </w:r>
            <w:r w:rsidR="6A854C79" w:rsidRPr="003459B3">
              <w:rPr>
                <w:sz w:val="24"/>
                <w:szCs w:val="24"/>
              </w:rPr>
              <w:t>rative work</w:t>
            </w:r>
            <w:r w:rsidR="0F77E214" w:rsidRPr="003459B3">
              <w:rPr>
                <w:sz w:val="24"/>
                <w:szCs w:val="24"/>
              </w:rPr>
              <w:t>ing</w:t>
            </w:r>
            <w:r w:rsidR="6A854C79" w:rsidRPr="003459B3">
              <w:rPr>
                <w:sz w:val="24"/>
                <w:szCs w:val="24"/>
              </w:rPr>
              <w:t xml:space="preserve"> a</w:t>
            </w:r>
            <w:r w:rsidR="0F77E214" w:rsidRPr="003459B3">
              <w:rPr>
                <w:sz w:val="24"/>
                <w:szCs w:val="24"/>
              </w:rPr>
              <w:t xml:space="preserve">nd </w:t>
            </w:r>
            <w:r w:rsidR="6A854C79" w:rsidRPr="003459B3">
              <w:rPr>
                <w:sz w:val="24"/>
                <w:szCs w:val="24"/>
              </w:rPr>
              <w:t>professional</w:t>
            </w:r>
            <w:r w:rsidR="00F34C86" w:rsidRPr="003459B3">
              <w:rPr>
                <w:sz w:val="24"/>
                <w:szCs w:val="24"/>
              </w:rPr>
              <w:t xml:space="preserve"> </w:t>
            </w:r>
            <w:r w:rsidR="00216563" w:rsidRPr="003459B3">
              <w:rPr>
                <w:sz w:val="24"/>
                <w:szCs w:val="24"/>
              </w:rPr>
              <w:t>judgements</w:t>
            </w:r>
            <w:r w:rsidR="0F77E214" w:rsidRPr="003459B3">
              <w:rPr>
                <w:sz w:val="24"/>
                <w:szCs w:val="24"/>
              </w:rPr>
              <w:t xml:space="preserve"> in increasingly complex situations </w:t>
            </w:r>
            <w:r w:rsidR="00E5498A" w:rsidRPr="003459B3">
              <w:rPr>
                <w:sz w:val="24"/>
                <w:szCs w:val="24"/>
              </w:rPr>
              <w:t>and</w:t>
            </w:r>
            <w:r w:rsidR="1D6670C0" w:rsidRPr="003459B3">
              <w:rPr>
                <w:sz w:val="24"/>
                <w:szCs w:val="24"/>
              </w:rPr>
              <w:t xml:space="preserve"> </w:t>
            </w:r>
            <w:r w:rsidR="39C47EB7" w:rsidRPr="003459B3">
              <w:rPr>
                <w:sz w:val="24"/>
                <w:szCs w:val="24"/>
              </w:rPr>
              <w:t>the</w:t>
            </w:r>
            <w:r w:rsidR="25F327FB" w:rsidRPr="003459B3">
              <w:rPr>
                <w:sz w:val="24"/>
                <w:szCs w:val="24"/>
              </w:rPr>
              <w:t xml:space="preserve"> </w:t>
            </w:r>
            <w:r w:rsidR="00F34C86" w:rsidRPr="003459B3">
              <w:rPr>
                <w:sz w:val="24"/>
                <w:szCs w:val="24"/>
              </w:rPr>
              <w:t>use of social work theories</w:t>
            </w:r>
            <w:r w:rsidR="756EEE2D" w:rsidRPr="003459B3">
              <w:rPr>
                <w:sz w:val="24"/>
                <w:szCs w:val="24"/>
              </w:rPr>
              <w:t>.</w:t>
            </w:r>
            <w:r w:rsidR="00216563" w:rsidRPr="003459B3">
              <w:rPr>
                <w:sz w:val="24"/>
                <w:szCs w:val="24"/>
              </w:rPr>
              <w:t xml:space="preserve"> </w:t>
            </w:r>
            <w:r w:rsidR="756EEE2D" w:rsidRPr="003459B3">
              <w:rPr>
                <w:sz w:val="24"/>
                <w:szCs w:val="24"/>
              </w:rPr>
              <w:t>You</w:t>
            </w:r>
            <w:r w:rsidR="00216563" w:rsidRPr="003459B3">
              <w:rPr>
                <w:sz w:val="24"/>
                <w:szCs w:val="24"/>
              </w:rPr>
              <w:t xml:space="preserve"> </w:t>
            </w:r>
            <w:r w:rsidR="00E5498A" w:rsidRPr="003459B3">
              <w:rPr>
                <w:sz w:val="24"/>
                <w:szCs w:val="24"/>
              </w:rPr>
              <w:t xml:space="preserve">must </w:t>
            </w:r>
            <w:r w:rsidR="00F030D4" w:rsidRPr="003459B3">
              <w:rPr>
                <w:sz w:val="24"/>
                <w:szCs w:val="24"/>
              </w:rPr>
              <w:t>refer to</w:t>
            </w:r>
            <w:r w:rsidR="00216563" w:rsidRPr="003459B3">
              <w:rPr>
                <w:sz w:val="24"/>
                <w:szCs w:val="24"/>
              </w:rPr>
              <w:t xml:space="preserve"> </w:t>
            </w:r>
            <w:r w:rsidR="00F34C86" w:rsidRPr="003459B3">
              <w:rPr>
                <w:sz w:val="24"/>
                <w:szCs w:val="24"/>
              </w:rPr>
              <w:t>the specific dimensions of working in Wales</w:t>
            </w:r>
            <w:r w:rsidR="00411EF7" w:rsidRPr="003459B3">
              <w:rPr>
                <w:sz w:val="24"/>
                <w:szCs w:val="24"/>
              </w:rPr>
              <w:t>.</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0768EAC9"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My chosen case study will be critically reflected upon throughout this assignment based upon the Weather Model (Maclean, 2015). </w:t>
            </w:r>
          </w:p>
          <w:p w14:paraId="5F03CFEC"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This case study consists of a family of seven living in rural Wales, the children will be referred to as (1,2,3,4,5,), their mother as (6) and their mother’s partner as (7). The children and their mother live in a rural village immersed in the Welsh culture being part of the 64.4% of the population that are fluent Welsh speakers (Welsh Government, 2022). The Active Offer was vital, and service was provided in the medium of Welsh automatically to the family as I the Children’s Social Worker am a fluent Welsh speaker (Welsh Government, 2015).  The mother’s partner also lives in Wales but prefers his method of communication to be English. At times this would be challenging as communication had to switch to English to meet his needs during visits, professional meetings etc. The More than Just Words Policy ensured that I would be able to create the right environment for everyone involved.  Respecting that people feel more comfortable discussing matters in their first language. A person-centred approach was utilised to ensure Welsh was delivered to meet the children and mother’s needs accordingly, whilst also respecting 7’s wishes (Welsh Government, 2015). </w:t>
            </w:r>
          </w:p>
          <w:p w14:paraId="304C85B3"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Concerns were shared by probation in terms of 6 and 7’s new relationship, following his release from prison. 7’s past criminal history was also a concern as several offences had been committed resulting in 7 being a high risk towards children. Probation had a duty to </w:t>
            </w:r>
            <w:r w:rsidRPr="003459B3">
              <w:rPr>
                <w:rFonts w:eastAsiaTheme="minorHAnsi"/>
                <w:color w:val="auto"/>
                <w:kern w:val="2"/>
                <w:sz w:val="24"/>
                <w:szCs w:val="24"/>
                <w:lang w:eastAsia="en-US"/>
                <w14:ligatures w14:val="standardContextual"/>
              </w:rPr>
              <w:lastRenderedPageBreak/>
              <w:t>refer the children to Social Services under section 2 of the Wales Safeguarding Procedures (2019) and section 130 of Social Services Well-being (Wales) Act (SSWBA) 2014. Probation’s professional judgement deemed it necessary to share 7’s past criminal history to safeguard the children, therefore consent was not obtained under the Data Protection Act (2018). There is a duty to work collaboratively as part of a multi-agency approach to promote the welfare and safety of children, by promptly raising concerns if a child is in need (HM Government, 2023).</w:t>
            </w:r>
          </w:p>
          <w:p w14:paraId="02B1EC43"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Initially a part 3 assessment was completed following probation’s referral to assess the need for care and support (section 21 of SSWBA, 2014). A strategy discussion referral was completed, which resulted in a strategy discussion with the Police and first line manager being held (Section 5 of the Wales Safeguarding Procedures, 2019). It was agreed to commence with a single agency section 47 as part of the Children’s Act, (1989). Threshold to instigate a section 47 investigation was identified within the assessment which resulted in the case being allocated to me. The Domestic Abuse Disclosure Scheme known as Claire’s Law was provided to 6 as part of conducting the section 47 investigation. Thus, allowed 6 to be fully informed about previous history of violence or abuse 7 might have (North Wales Police, 2024). The disclosure provided was minimised by 6, she refused to acknowledge 7’s very concerning criminal background disputing he might be a risk towards the children. Upon reflection this was considered as lightning as I was surprised by 6’s calm response when addressing 7’s criminal history utilising the Weather model (Mclean, 2016). My analysis concluded that the children were at risk of significant harm during discussions with my manager following my investigation. Threshold was met to proceed to Initial Child Protection Case Conference (ICPCC). A Case Conference meeting will determine whether the children’s names should be placed on the Child Protection Register (CPR) and under which category (NSPCC, 2024).</w:t>
            </w:r>
          </w:p>
          <w:p w14:paraId="7EC17DB5"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Prior to attending an ICPCC I was required to complete a detailed report addressing current concerns. The report included proportionate information as I analysed and explained information gathered from my investigation. Thus, enabling me to summarise my report with important relevant points to share my views based on evidence (Wales Safeguarding Procedures, 2025). The report is required to be shared with parents 48hrs before the conference, a home visit was completed with 6 to go over the report, allowing her to become fully informed about my report. </w:t>
            </w:r>
          </w:p>
          <w:p w14:paraId="600091E0"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During the conference I was asked to explain and summarise my report alongside other relevant agencies to support the family. 6 was asked to share her views and opinion after each summary by professionals. A discussion in terms of ‘what’s not good enough’ happened with an ambition to agree on goals to reach a desired outcome in future, formulating a Child Protection Plan to safeguard the children. Since 7 did not share Parental Rights over the children, or was their biological father, he was only present to address and discuss concerns about him. </w:t>
            </w:r>
          </w:p>
          <w:p w14:paraId="10E9185E"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children’s wishes and feelings were vital for me to consider throughout. During the investigation they were seen at school and at home enabling me to briefly analyse their </w:t>
            </w:r>
            <w:r w:rsidRPr="003459B3">
              <w:rPr>
                <w:rFonts w:eastAsiaTheme="minorHAnsi"/>
                <w:color w:val="auto"/>
                <w:kern w:val="2"/>
                <w:sz w:val="24"/>
                <w:szCs w:val="24"/>
                <w:lang w:eastAsia="en-US"/>
                <w14:ligatures w14:val="standardContextual"/>
              </w:rPr>
              <w:lastRenderedPageBreak/>
              <w:t xml:space="preserve">relationship with 6, including their views in terms of 7 being a part of their lives. Every child in Wales who are part of CP enquiries have the right to advocacy from a Statutory Independent Professional Advocate (IPA) (Welsh Government, 2025). The service was refused by the children therefore it was key that I built upon the trust and honesty to empower the children. They were discussed individually during the conference, sharing input in terms of promoting their voice, choice, and control (SSWBA, 2014). It was agreed to place the children’s names on the CP register due to concerns in terms of 6 &amp; 7’s relationship. </w:t>
            </w:r>
          </w:p>
          <w:p w14:paraId="59588764"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A Core Group (CG) meeting was required to be arranged within the first 10 days of registration with relevant agencies required to attend. Education, School nurse, Probation, and the Edge of Care Team, were members of the CG. The CP plan was reviewed with actions agreed to be taken to support the family and make necessary changes / progress. Co-Production is one of the main principles of the (SSWBA, 2014) working equally to deliver care and support. Working as part of a CG presented its challenges. It is a multiagency responsibility to deliver and develop the CP plan (Wales Safeguarding Procedures, 2025). At times I would have to remind other professionals of this, that it’s not the Social Worker’s role entirely to manage the plan. Through reflection I identify this as the thunder as their views had to be challenged professionally to resolve areas of disagreement (Mclean, 2016). The strengths of the CG meeting entailed the family being well informed of what is expected as progress to reach a desired outcome / children to be safeguarded. Unfortunately, 7 would refuse to acknowledge his level of risk towards the children causing conflict and barriers co-working with other agencies. Professionals worked well to identify these barriers with all in agreement there is a lack of progress due to 7’s behaviour and 6 minimising the concerns. Evidence from the Police correlated with the concerns. A review of the current CP plan was agreed to take place every 4 weeks to closely monitor level of risk, including statutory home visits every 10 working days. Upon liaising with my line manager of the persistent concerns, it was agreed for me to complete a parenting assessment with 6. </w:t>
            </w:r>
          </w:p>
          <w:p w14:paraId="344EFED7"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Children’s Act (1989) is the main legislation to safeguard children. Although in Wales, the SSWBA (2014) provides principles of safeguarding correlating with some aspects of the Children Act. Part 4 and 5 of the Children’s Act (1989) continues to be used in Wales as statutory safeguarding duties for children alongside part 7 of the SSWBA (2014). SSWBA (2014) defines a child at risk under section 130; </w:t>
            </w:r>
            <w:r w:rsidRPr="003459B3">
              <w:rPr>
                <w:rFonts w:eastAsiaTheme="minorHAnsi"/>
                <w:i/>
                <w:iCs/>
                <w:color w:val="auto"/>
                <w:kern w:val="2"/>
                <w:sz w:val="24"/>
                <w:szCs w:val="24"/>
                <w:lang w:eastAsia="en-US"/>
                <w14:ligatures w14:val="standardContextual"/>
              </w:rPr>
              <w:t xml:space="preserve">“who is experiencing or is at risk of abuse, neglect or other kinds of harm, and has needs for care and support.” </w:t>
            </w:r>
            <w:r w:rsidRPr="003459B3">
              <w:rPr>
                <w:rFonts w:eastAsiaTheme="minorHAnsi"/>
                <w:color w:val="auto"/>
                <w:kern w:val="2"/>
                <w:sz w:val="24"/>
                <w:szCs w:val="24"/>
                <w:lang w:eastAsia="en-US"/>
                <w14:ligatures w14:val="standardContextual"/>
              </w:rPr>
              <w:t xml:space="preserve">Working in partnership with other agencies involved with the family was vital to gather evidence and formulate appropriate cause of concern in terms of 7’s level of risk towards the children. </w:t>
            </w:r>
          </w:p>
          <w:p w14:paraId="55934D14"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Wales Safeguarding Procedure is a guidance for those at risk of abuse or neglect, which was relevant within this case. Concerns were persistent therefore statutory guidelines of the SSWBA (2014) were used to respond accordingly to concerns. The app enabled me to check necessary timescales to complete my investigation and determine risk appropriately. The children’s lived experiences were being considered within the guidance, allowing me to remind 6 of her role to safeguard the children accordingly and have their basic care needs being met. It is important to consider any harm a child has suffered or is at </w:t>
            </w:r>
            <w:r w:rsidRPr="003459B3">
              <w:rPr>
                <w:rFonts w:eastAsiaTheme="minorHAnsi"/>
                <w:color w:val="auto"/>
                <w:kern w:val="2"/>
                <w:sz w:val="24"/>
                <w:szCs w:val="24"/>
                <w:lang w:eastAsia="en-US"/>
                <w14:ligatures w14:val="standardContextual"/>
              </w:rPr>
              <w:lastRenderedPageBreak/>
              <w:t xml:space="preserve">risk of suffering and the parents' ability to meet the needs in question. Wales became the first country within the United Kingdom to provide safeguarding procedure guidelines. Set procedures were introduced providing guidance and responsibilities to investigate concerns about adults and children (Wales Safeguarding Procedures, 2019). </w:t>
            </w:r>
          </w:p>
          <w:p w14:paraId="0F00E357"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In England there are 3 main legislations used to safeguard children. The Children’s Act (1989) is the main law seeking to ensure that every child is safeguarded and protected from harm. Its main principle is to ensure children’s welfare is promoted including their developmental needs being met (Children’s Act, 1989). The children’s Act (2004) was introduced highlighting the importance and encouraging working in partnership. Promoting early intervention and prevention by working as a multidisciplinary team to achieve positive outcomes. Co-operation in terms of safeguarding to promote children’s well-being is placed as duties of Local Authorities. The Children and Social Work Act (2017) makes changes to local child safeguarding partnerships and serious case reviews by having Child Safeguarding Practice Review Panel for serious Child Protection cases (BASW, 2017).</w:t>
            </w:r>
          </w:p>
          <w:p w14:paraId="301E49BD"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Scotland follow their </w:t>
            </w:r>
            <w:bookmarkStart w:id="0" w:name="_Hlk189906218"/>
            <w:r w:rsidRPr="003459B3">
              <w:rPr>
                <w:rFonts w:eastAsiaTheme="minorHAnsi"/>
                <w:color w:val="auto"/>
                <w:kern w:val="2"/>
                <w:sz w:val="24"/>
                <w:szCs w:val="24"/>
                <w:lang w:eastAsia="en-US"/>
                <w14:ligatures w14:val="standardContextual"/>
              </w:rPr>
              <w:t xml:space="preserve">National Guidance for Protection of Children (2021) </w:t>
            </w:r>
            <w:bookmarkEnd w:id="0"/>
            <w:r w:rsidRPr="003459B3">
              <w:rPr>
                <w:rFonts w:eastAsiaTheme="minorHAnsi"/>
                <w:color w:val="auto"/>
                <w:kern w:val="2"/>
                <w:sz w:val="24"/>
                <w:szCs w:val="24"/>
                <w:lang w:eastAsia="en-US"/>
                <w14:ligatures w14:val="standardContextual"/>
              </w:rPr>
              <w:t xml:space="preserve">which was recently updated in 2023. The guidance sets out the responsibilities and expectations of professionals involved in protecting children supporting their care and protection (Scottish Government, 2023). The Children’s (Scotland) Act, 1995 outlines a safeguarding framework focused on Child Protection. There is a duty on Local Authorities to support and promote the welfare of children and their safety. The Children and Young Persons (Scotland) Act, 2014 ensures children’s rights are being upheld. The rights of the child are also being considered in the United Nations </w:t>
            </w:r>
            <w:bookmarkStart w:id="1" w:name="_Hlk190616434"/>
            <w:r w:rsidRPr="003459B3">
              <w:rPr>
                <w:rFonts w:eastAsiaTheme="minorHAnsi"/>
                <w:color w:val="auto"/>
                <w:kern w:val="2"/>
                <w:sz w:val="24"/>
                <w:szCs w:val="24"/>
                <w:lang w:eastAsia="en-US"/>
                <w14:ligatures w14:val="standardContextual"/>
              </w:rPr>
              <w:t>Convention on the Rights of the Child (Incorporation) (Scotland) Act 2024</w:t>
            </w:r>
            <w:bookmarkEnd w:id="1"/>
            <w:r w:rsidRPr="003459B3">
              <w:rPr>
                <w:rFonts w:eastAsiaTheme="minorHAnsi"/>
                <w:color w:val="auto"/>
                <w:kern w:val="2"/>
                <w:sz w:val="24"/>
                <w:szCs w:val="24"/>
                <w:lang w:eastAsia="en-US"/>
                <w14:ligatures w14:val="standardContextual"/>
              </w:rPr>
              <w:t xml:space="preserve">. Placing duties on authorities to comply with the requirements of the convention. </w:t>
            </w:r>
          </w:p>
          <w:p w14:paraId="14FF95EE"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C277CC4"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health department is responsible for Child Protection system in Northen Ireland. The Children (Northern Ireland) Order 1995 is the legislation guiding professionals to promote children’s rights, welfare, and support. The Children’s Services Co-operation Act 2015 requires Local Authorities to co-operate whilst contributing to children’s well-being, physical and mental health, learning and achievement, living conditions, rights, and economic well-being (NSPCC, 2024). </w:t>
            </w:r>
          </w:p>
          <w:p w14:paraId="01EA329D"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United Nations Conventions on the Rights of the Child (UNCRC) 1989 is relevant throughout the United Kingdom. Article 3 promotes the best interest of the child which is relevant throughout this case and should be considered throughout a decision-making process. Another important relevance is article 12 respecting the child’s wishes. A child’s must be provided with an opportunity to express their wishes and feelings in matters that affects them and to be taken seriously (UNCRC, 1989). Article 19 highlights protection from violence, abuse, and neglect which is extremely relevant in this case. Whilst working with the children I ensured to respect their views, wishes, and feelings at all times. Being mindful they might be guarded at times discussing home life worried of any repercussions towards </w:t>
            </w:r>
            <w:r w:rsidRPr="003459B3">
              <w:rPr>
                <w:rFonts w:eastAsiaTheme="minorHAnsi"/>
                <w:color w:val="auto"/>
                <w:kern w:val="2"/>
                <w:sz w:val="24"/>
                <w:szCs w:val="24"/>
                <w:lang w:eastAsia="en-US"/>
                <w14:ligatures w14:val="standardContextual"/>
              </w:rPr>
              <w:lastRenderedPageBreak/>
              <w:t xml:space="preserve">their mother. However, these articles are relevant as consideration is given towards a child’s views, voice, wishes, and feelings. </w:t>
            </w:r>
          </w:p>
          <w:p w14:paraId="10A4687C"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Outside of the European Union, Unicef USA (UUSA) promotes the rights and well-being of all children. Safeguarding responsibilities is a duty on everyone to support children and young people. There should always be a focus on promoting a child’s dignity and respect whilst utilising the rights of children. A child’s best interest is considered as a vital consideration during safeguarding procedures. Action must be taken to safeguard children immediately reporting any concerns to reduce level of risk or further harm. There are designated Child Protection Officers investigating reports of known concern or alleged / suspicions of abuse. In the UK education have a mandatory role to safeguard children however in America the response and co-ordination may not be as integrated. The Education Act (2002) is in force in the UK to ensure safeguarding is being carried out under necessary functions to promote children’s welfare. </w:t>
            </w:r>
          </w:p>
          <w:p w14:paraId="46219D34" w14:textId="6CB9E40E"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Another relevant piece of legislation is the Human Rights Act (1998). Article 2 ensures people’s right to life and that it shall be protected by law. A requirement is set out to protect an individual if their lives are put at risk (Gov.UK, 1998). Article 3 protects an individual from mental and physical torture which implements safeguarding investigation if this is taking place. An individual’s right to a private life is protected under article 8, as an individual has a right to enjoy life at home peacefully. Investigation should take place only when deemed necessary with sufficient evidence from the public authority to protect the best interest of an individual (Gov.UK, 1998). </w:t>
            </w:r>
          </w:p>
          <w:p w14:paraId="1298A5A4"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Code of Professional Practice for Social Care highlights that </w:t>
            </w:r>
            <w:r w:rsidRPr="003459B3">
              <w:rPr>
                <w:rFonts w:eastAsiaTheme="minorHAnsi"/>
                <w:i/>
                <w:iCs/>
                <w:color w:val="auto"/>
                <w:kern w:val="2"/>
                <w:sz w:val="24"/>
                <w:szCs w:val="24"/>
                <w:lang w:eastAsia="en-US"/>
                <w14:ligatures w14:val="standardContextual"/>
              </w:rPr>
              <w:t>“we must respect the views and wishes, and promote the rights and interests, of individuals”</w:t>
            </w:r>
            <w:r w:rsidRPr="003459B3">
              <w:rPr>
                <w:rFonts w:eastAsiaTheme="minorHAnsi"/>
                <w:color w:val="auto"/>
                <w:kern w:val="2"/>
                <w:sz w:val="24"/>
                <w:szCs w:val="24"/>
                <w:lang w:eastAsia="en-US"/>
                <w14:ligatures w14:val="standardContextual"/>
              </w:rPr>
              <w:t xml:space="preserve"> (Social Care Wales, 2017, p. 9). There is an expectation for Social Workers in Wales to stipulate this within their daily practice. In order to fully assess 6 and 7’s relationship and his level of risk, a parenting assessment was recommended by my line manager. Before assessing 6’s parenting capacity, I provided her with opportunities for her voice to be heard, which would be echoed throughout my assessment. One of the main principles within SSWBA (2014) is to promote individuals voice, choice, and control. The parenting assessment process was explained in full due to ongoing persistent concerns about 7’s level of risk towards the children enabling them to become fully informed. Statutory home visits and sessions conducted with 6 in the office as part of the parenting assessment process was arranged. Thus, enabling me to observe and gage the type of attachment the children have formed with 6, including 6’s response.</w:t>
            </w:r>
          </w:p>
          <w:p w14:paraId="05173E94"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Local Authorities are responsible when there is threshold in terms of safeguarding concerns to conduct a parenting assessment. A careful analysis of the positive and negative factors in a child’s life should be considered as part of a robust assessment with provision of support to the family (Social Care Wales, 2018). The edge of care team would provide support for 6 &amp; 7 in terms of promoting healthy relationships, raise awareness of the negative impact DA is having on children, whilst I evaluated if 6 and 7 would implement the intervention within </w:t>
            </w:r>
            <w:r w:rsidRPr="003459B3">
              <w:rPr>
                <w:rFonts w:eastAsiaTheme="minorHAnsi"/>
                <w:color w:val="auto"/>
                <w:kern w:val="2"/>
                <w:sz w:val="24"/>
                <w:szCs w:val="24"/>
                <w:lang w:eastAsia="en-US"/>
                <w14:ligatures w14:val="standardContextual"/>
              </w:rPr>
              <w:lastRenderedPageBreak/>
              <w:t xml:space="preserve">their daily lives. I worked closely with Education to monitor the children at school and provide any feedback if necessary. </w:t>
            </w:r>
          </w:p>
          <w:p w14:paraId="67C85781"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Whilst analysing 6’s parenting capacity, I would consider her skills, knowledge, and ability to meet the children’s basic care needs.</w:t>
            </w:r>
            <w:r w:rsidRPr="003459B3">
              <w:rPr>
                <w:rFonts w:asciiTheme="minorHAnsi" w:eastAsiaTheme="minorHAnsi" w:hAnsiTheme="minorHAnsi" w:cstheme="minorBidi"/>
                <w:color w:val="auto"/>
                <w:kern w:val="2"/>
                <w:sz w:val="22"/>
                <w:szCs w:val="22"/>
                <w:lang w:val="cy-GB" w:eastAsia="en-US"/>
                <w14:ligatures w14:val="standardContextual"/>
              </w:rPr>
              <w:t xml:space="preserve">  </w:t>
            </w:r>
            <w:r w:rsidRPr="003459B3">
              <w:rPr>
                <w:rFonts w:eastAsiaTheme="minorHAnsi"/>
                <w:color w:val="auto"/>
                <w:kern w:val="2"/>
                <w:sz w:val="24"/>
                <w:szCs w:val="24"/>
                <w:lang w:eastAsia="en-US"/>
                <w14:ligatures w14:val="standardContextual"/>
              </w:rPr>
              <w:t xml:space="preserve">Her knowledge of child development, to provide a safe, nurturing environment, capacity to meet emotional, educational, and healthcare needs of the children were assessed. The Framework for the Assessment of Children in Need and their Families guided me to formulate the assessment. The Framework considers children’s needs fully and consistently through a holistic approach. I was encouraged to consider the family’s strengths as well as identifying the difficulties (O, Loughlin, O Loughlin, 2016). Working as part of a child centred approach was important for me to consider. Whilst working with the children I ensured to respect their views, wishes, and feelings at all times. I was mindful they might be guarded at times discussing home life worried of any repercussions towards their mother. I became aware they wanted a sense of control throughout my involvement with the family therefore were sceptical sharing any worries. Building upon trust and being solution focused enabled a good working relationship to be formed with the children to feel empowered (Cossar, Brandon, Joradn, 2011). </w:t>
            </w:r>
          </w:p>
          <w:p w14:paraId="0BD1E25B"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The children’s attachment that had been formed with their mother was also vital for me to consider during this stage. By observing the children’s response and interaction with 6 helped form an understanding of the level of care, nurture, and routine 6 provides her children with (NSPCC, 2021).</w:t>
            </w:r>
            <w:r w:rsidRPr="003459B3">
              <w:rPr>
                <w:rFonts w:asciiTheme="minorHAnsi" w:eastAsiaTheme="minorHAnsi" w:hAnsiTheme="minorHAnsi" w:cstheme="minorBidi"/>
                <w:color w:val="auto"/>
                <w:kern w:val="2"/>
                <w:sz w:val="22"/>
                <w:szCs w:val="22"/>
                <w:lang w:val="cy-GB" w:eastAsia="en-US"/>
                <w14:ligatures w14:val="standardContextual"/>
              </w:rPr>
              <w:t xml:space="preserve"> </w:t>
            </w:r>
            <w:r w:rsidRPr="003459B3">
              <w:rPr>
                <w:rFonts w:eastAsiaTheme="minorHAnsi"/>
                <w:color w:val="auto"/>
                <w:kern w:val="2"/>
                <w:sz w:val="24"/>
                <w:szCs w:val="24"/>
                <w:lang w:eastAsia="en-US"/>
                <w14:ligatures w14:val="standardContextual"/>
              </w:rPr>
              <w:t xml:space="preserve">Butler (2015) reports that observation of children can support social workers in gathering the required information to help form our professional judgement. The bond children form with their main care giver from early infancy is the most enduring and important attachment. Bowlby (1997) states its important parents are attuned to children’s needs and responsive by being able to provide appropriate care and security. Forming an attachment is gradual for a child however parents can support with emotional bond. Factors can influence difficulty for a parent to do this effectively e.g. if they don’t have an effective support network (NSPCC, 2021). 6 was open to the fact she did not get a positive childhood herself which may influence the children’s ‘secure base’. Exploring how the past may influence the present was beneficial to understand why 6 minimised concerns about her current relationship (Shemmings, 2015). </w:t>
            </w:r>
          </w:p>
          <w:p w14:paraId="0DE58585"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Upon reflection this is considered as the sunshine as it worked well by identifying the family’s needs and gather the required evidence (Mclean, 2016). I identified 6 had capacity to meet the children’s basic care needs, although was minimising the risk of harm. The complexity of the case escalated as 7 would demonstrate unwillingness to engage and adhere to recommendations. The assessment was central in terms of planning, deciding on actions, reviewing those actions, in order to further safeguard the children (NSPCC, 2024). A Public Law Outline Meeting (PLO) was arranged due to the complexity of the case requiring the LA to seek legal advice. Insufficient progress was highlighted from the Child Protection Plan leading the outcome of the (PLO) to result in a further period of monitoring for 12 weeks before instigating Care Proceedings. The children’s safety had to be prioritised </w:t>
            </w:r>
            <w:r w:rsidRPr="003459B3">
              <w:rPr>
                <w:rFonts w:eastAsiaTheme="minorHAnsi"/>
                <w:color w:val="auto"/>
                <w:kern w:val="2"/>
                <w:sz w:val="24"/>
                <w:szCs w:val="24"/>
                <w:lang w:eastAsia="en-US"/>
                <w14:ligatures w14:val="standardContextual"/>
              </w:rPr>
              <w:lastRenderedPageBreak/>
              <w:t xml:space="preserve">therefore extensive support and opportunity to make necessary changes were instructed to 6 &amp; 7. </w:t>
            </w:r>
          </w:p>
          <w:p w14:paraId="6F277DA5" w14:textId="590C2218"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Building upon the family’s strengths were vital whilst trying to identify the capacity to solve problems and guide the family to deliver own solutions. Practice should be underpinned by a strength-based and outcome focused approach. Working in line with the principles of the (SSWBA, 2014). I worked with the family to understand their strengths and capabilities highlighting what matters to them whilst giving 6 and the children a voice and control over the outcomes (Social Care Wales, 2024). 6 was praised for her ability to meet the children’s basic care needs with this being emphasised throughout my assessment and involvement with the family. Working in collaboration with the family to focus on the positives motivated 6 &amp; 7 to adhere with safeguarding advice (Pattoni, 2016). </w:t>
            </w:r>
          </w:p>
          <w:p w14:paraId="348980E0"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Effective use of communication skills was crucial as it enabled transparency to be delivered in terms of reasoning for my involvement with the family. I worked on the children’s wishes and feelings by communicating on a level that was appropriate for each child. I paid attention to what was said, respecting the children’s feelings, and being mindful of their body language / tone of voice (Koprowska, 2010). Active listening skills were a key component along with paying attention to 6 and children. Building a working alliance with the family by being mindful of body language, tone of voice, silence, and paraphrasing enabled an understanding of one’s true feelings. According to (Lishman, 2020), empathy is valued whilst listening in a non-judgemental approach, but people can still feel let down when their expectations are not met. There is no doubt 6 felt disappointed over the outcome of my assessment however would communicate her feelings respectfully. </w:t>
            </w:r>
          </w:p>
          <w:p w14:paraId="1A21D21E"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Whilst addressing 7’s level of risk with him he would dispute it on a regular basis. Refusing to acknowledge and accept his past criminal history / current concerns that resulted in him being a high risk towards children. Reflecting upon 7’s volatile response it initially became the storm as I was caught off-guard with his tone of voice resulting in him shouting towards me (Mclean, 2016). According to Harris &amp; Leather (2012) conflict resolution is a key technique to avoid further escalation of a situation that is already challenging. 7 would attempt to take control of discussions however I would set boundaries in place, being clear there will be equal opportunity to share information and discuss necessary concerns. I would avoid triggering further conflict by compromising, accommodate, and collaborate with 7 by taking steps to problem solve. Conflict situations can cause intense feelings therefore it’s important to tune in and work on those feelings skilfully and safely (Hardy, 2018). There were multiple times 7 tried to shift focus from the children to dispute information about him. This relates to the wind (Mclean, 2016), as I felt at times thrown off course due to 7’s behaviour. This was resolved by being clear of my role with 7, recognising manipulation whilst working to ensure the children are safe and are the main priority (Garboden, 2010). </w:t>
            </w:r>
          </w:p>
          <w:p w14:paraId="1E8679FB"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use of supervision in complex cases enables supportive collaboration to be formed between the supervisor and supervisee building on responsibility and learning (Balmford, 2024). Reflecting upon this particular case enabled me to identify areas of uncertainty and address any matters I was unsure of. Addressing the fog allowed me to seek reassurance, </w:t>
            </w:r>
            <w:r w:rsidRPr="003459B3">
              <w:rPr>
                <w:rFonts w:eastAsiaTheme="minorHAnsi"/>
                <w:color w:val="auto"/>
                <w:kern w:val="2"/>
                <w:sz w:val="24"/>
                <w:szCs w:val="24"/>
                <w:lang w:eastAsia="en-US"/>
                <w14:ligatures w14:val="standardContextual"/>
              </w:rPr>
              <w:lastRenderedPageBreak/>
              <w:t xml:space="preserve">advice, and support from my line manager (Mclean, 2016). An opportunity to exercise professional judgement and ethical decisions are provided during regular supervision sessions. Confidence and morale boost leads to a better service provision (BASW, n.d.). </w:t>
            </w:r>
          </w:p>
          <w:p w14:paraId="280244B0"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The children were fluent Welsh speakers and communicated with me comfortably in their native language. During home visits when 7 was present, communication had to switch to English to meet his needs. I considered this as the rain as it was difficult at times to adapt to the children’s communication needs who were central in this case (Mclean, 2016). As an alternative approach visits in school enabled communication to take place in Welsh. It was important for me to recognise the children were much more comfortable communicating in their native language. It is argued by (Morris, 2010) there is evidence that children flourish when they’re supported in a language-appropriate way. In order to enhance the interaction and communication with the children work about their wishes and feelings was completed in Welsh. Thus, enabled the children to have a voice, feel respected, whilst promoting their linguistic rights (Children’s Commissioner for Wales, 2006). </w:t>
            </w:r>
          </w:p>
          <w:p w14:paraId="7A11D7BF"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Empowerment theory highlighted the need to recognise any power imbalance throughout this case. Whilst working to manage level of risk towards the children, I utilised my power to safeguard by keeping the children central, with evidence informed intervention, to empower the children to make decisions, by following clear procedures, whilst acknowledging areas of disagreements. The need to give the family a true chance and make decisions about their own lives were being considered and prioritised. Each case is unique therefore working together to improve a situation by promoting empowerment influences change and what needs to be done within the individual to sustain the change (Mclean, Harrison, 2015). Anit-oppressive practice is about reverting from feeling powerless to powerful. Clear expectations were set in place for 6 &amp; 7 to work on their awareness of DA and healthy relationships. Empowerment can reduce the form of challenging an individual into understand their responsibility for their actions to change (Dalrymple, Burke, 2006). </w:t>
            </w:r>
          </w:p>
          <w:p w14:paraId="198EA2FD"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459B3">
              <w:rPr>
                <w:rFonts w:eastAsiaTheme="minorHAnsi"/>
                <w:color w:val="auto"/>
                <w:kern w:val="2"/>
                <w:sz w:val="24"/>
                <w:szCs w:val="24"/>
                <w:lang w:eastAsia="en-US"/>
                <w14:ligatures w14:val="standardContextual"/>
              </w:rPr>
              <w:t xml:space="preserve">Working in a non-judgemental approach was an important value within this case. The Equality Act (2010) ensures that individuals are protected from discrimination or oppression based on race, religion, age, disability or gender. Recognising individuality and working to celebrate the difference and diversity means people are treated with respect regardless of their circumstances / background (Beckett, Maynard, 2009). It was key that I treated the children equally as other individuals being inclusive of their rights as a family. My professional integrity was being considered throughout working in accordance with the Code of Practice (Social Care Wales). I worked to honour the family’s trust, by being honest, reliable, and open whilst clearly explaining roles and interventions. Professional boundaries were being respected at all times including balancing judgements based on reasoning to explore my professional judgement. Taking professional accountability into consideration enabled me to justify my work and judgement as a professional supporting the family (BASW, 2014). </w:t>
            </w:r>
          </w:p>
          <w:p w14:paraId="100F8D45" w14:textId="0556818B" w:rsidR="003459B3" w:rsidRPr="003459B3" w:rsidRDefault="000D3051"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4032 words.</w:t>
            </w:r>
          </w:p>
          <w:p w14:paraId="3FAB3CE0"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74B28AE" w14:textId="77777777" w:rsidR="003459B3" w:rsidRPr="003459B3" w:rsidRDefault="003459B3" w:rsidP="003459B3">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20370495" w14:textId="79B79501" w:rsidR="00D3203C" w:rsidRPr="003459B3" w:rsidRDefault="00D3203C" w:rsidP="00FF7EBB">
            <w:pPr>
              <w:jc w:val="both"/>
              <w:rPr>
                <w:iCs/>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A2559A" w14:textId="77777777" w:rsidR="00B3513C" w:rsidRDefault="00B3513C">
      <w:r>
        <w:separator/>
      </w:r>
    </w:p>
  </w:endnote>
  <w:endnote w:type="continuationSeparator" w:id="0">
    <w:p w14:paraId="2B73317C" w14:textId="77777777" w:rsidR="00B3513C" w:rsidRDefault="00B351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42C0F" w14:textId="77777777" w:rsidR="00B3513C" w:rsidRDefault="00B3513C">
      <w:r>
        <w:separator/>
      </w:r>
    </w:p>
  </w:footnote>
  <w:footnote w:type="continuationSeparator" w:id="0">
    <w:p w14:paraId="47409E3F" w14:textId="77777777" w:rsidR="00B3513C" w:rsidRDefault="00B351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3051"/>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9B3"/>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54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3B5"/>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6E58"/>
    <w:rsid w:val="00B07E79"/>
    <w:rsid w:val="00B12295"/>
    <w:rsid w:val="00B137BE"/>
    <w:rsid w:val="00B15998"/>
    <w:rsid w:val="00B17FA0"/>
    <w:rsid w:val="00B2292C"/>
    <w:rsid w:val="00B22C3C"/>
    <w:rsid w:val="00B24344"/>
    <w:rsid w:val="00B26769"/>
    <w:rsid w:val="00B2754B"/>
    <w:rsid w:val="00B31C91"/>
    <w:rsid w:val="00B3513C"/>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3E9B"/>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0FA5"/>
    <w:rsid w:val="00E9107A"/>
    <w:rsid w:val="00E91F62"/>
    <w:rsid w:val="00E929FD"/>
    <w:rsid w:val="00E93240"/>
    <w:rsid w:val="00E9479B"/>
    <w:rsid w:val="00E94E22"/>
    <w:rsid w:val="00E95F08"/>
    <w:rsid w:val="00E97171"/>
    <w:rsid w:val="00EA3A39"/>
    <w:rsid w:val="00EA4D48"/>
    <w:rsid w:val="00EA7ADF"/>
    <w:rsid w:val="00EB2173"/>
    <w:rsid w:val="00EB62E6"/>
    <w:rsid w:val="00EB695F"/>
    <w:rsid w:val="00EC3A85"/>
    <w:rsid w:val="00EC4B89"/>
    <w:rsid w:val="00EC59A5"/>
    <w:rsid w:val="00EC6E15"/>
    <w:rsid w:val="00ED1B30"/>
    <w:rsid w:val="00ED3F4B"/>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4046</Words>
  <Characters>23066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Catrin Haf Jones (PLANT)</cp:lastModifiedBy>
  <cp:revision>3</cp:revision>
  <cp:lastPrinted>2020-02-11T19:20:00Z</cp:lastPrinted>
  <dcterms:created xsi:type="dcterms:W3CDTF">2025-02-16T21:02:00Z</dcterms:created>
  <dcterms:modified xsi:type="dcterms:W3CDTF">2025-02-16T21:03:00Z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