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BEEC8" w14:textId="77777777" w:rsidR="00D45BA2" w:rsidRPr="001F5ADD" w:rsidRDefault="00D45BA2" w:rsidP="00D45BA2">
      <w:pPr>
        <w:spacing w:after="0" w:line="240" w:lineRule="auto"/>
        <w:rPr>
          <w:rFonts w:ascii="Arial" w:eastAsia="SimSun" w:hAnsi="Arial" w:cs="Arial"/>
          <w:color w:val="000000" w:themeColor="text1"/>
          <w:kern w:val="24"/>
          <w14:ligatures w14:val="none"/>
        </w:rPr>
      </w:pPr>
      <w:r w:rsidRPr="001F5ADD">
        <w:rPr>
          <w:rFonts w:ascii="Arial" w:eastAsia="SimSun" w:hAnsi="Arial" w:cs="Arial"/>
          <w:color w:val="000000" w:themeColor="text1"/>
          <w:kern w:val="24"/>
          <w14:ligatures w14:val="none"/>
        </w:rPr>
        <w:t xml:space="preserve">I confirm that I have not presented any AI generated text as my own work. I confirm I have copies of my drafts, notes, and other resources I used before, and after the use of AI tools which I may </w:t>
      </w:r>
      <w:bookmarkStart w:id="0" w:name="_Int_s9CP4NSq"/>
      <w:r w:rsidRPr="001F5ADD">
        <w:rPr>
          <w:rFonts w:ascii="Arial" w:eastAsia="SimSun" w:hAnsi="Arial" w:cs="Arial"/>
          <w:color w:val="000000" w:themeColor="text1"/>
          <w:kern w:val="24"/>
          <w14:ligatures w14:val="none"/>
        </w:rPr>
        <w:t>be asked</w:t>
      </w:r>
      <w:bookmarkEnd w:id="0"/>
      <w:r w:rsidRPr="001F5ADD">
        <w:rPr>
          <w:rFonts w:ascii="Arial" w:eastAsia="SimSun" w:hAnsi="Arial" w:cs="Arial"/>
          <w:color w:val="000000" w:themeColor="text1"/>
          <w:kern w:val="24"/>
          <w14:ligatures w14:val="none"/>
        </w:rPr>
        <w:t xml:space="preserve"> to provide in evidence.</w:t>
      </w:r>
    </w:p>
    <w:p w14:paraId="2FCC5312" w14:textId="77777777" w:rsidR="001F5ADD" w:rsidRPr="001F5ADD" w:rsidRDefault="001F5ADD" w:rsidP="00D45BA2">
      <w:pPr>
        <w:spacing w:after="0" w:line="240" w:lineRule="auto"/>
        <w:rPr>
          <w:rFonts w:ascii="Arial" w:eastAsia="SimSun" w:hAnsi="Arial" w:cs="Arial"/>
          <w:color w:val="000000" w:themeColor="text1"/>
          <w:kern w:val="24"/>
          <w14:ligatures w14:val="none"/>
        </w:rPr>
      </w:pPr>
    </w:p>
    <w:p w14:paraId="18CA091A" w14:textId="38919DEC" w:rsidR="00D45BA2" w:rsidRPr="00E12270" w:rsidRDefault="00315CBF" w:rsidP="001F5ADD">
      <w:pPr>
        <w:spacing w:after="0" w:line="240" w:lineRule="auto"/>
        <w:rPr>
          <w:rFonts w:ascii="Arial" w:hAnsi="Arial" w:cs="Arial"/>
          <w:kern w:val="0"/>
          <w14:ligatures w14:val="none"/>
        </w:rPr>
      </w:pPr>
      <w:r w:rsidRPr="00E12270">
        <w:rPr>
          <w:rFonts w:ascii="Arial" w:hAnsi="Arial" w:cs="Arial"/>
          <w:kern w:val="0"/>
          <w14:ligatures w14:val="none"/>
        </w:rPr>
        <w:t>Introduction to Ethics (HPPH4902)</w:t>
      </w:r>
      <w:r w:rsidR="001F5ADD" w:rsidRPr="00E12270">
        <w:rPr>
          <w:rFonts w:ascii="Arial" w:hAnsi="Arial" w:cs="Arial"/>
          <w:kern w:val="0"/>
          <w14:ligatures w14:val="none"/>
        </w:rPr>
        <w:t>, Assignment 2.</w:t>
      </w:r>
    </w:p>
    <w:p w14:paraId="6FA6EA84" w14:textId="65FF937D" w:rsidR="00005830" w:rsidRPr="001F5ADD" w:rsidRDefault="00005830" w:rsidP="00005830">
      <w:pPr>
        <w:spacing w:before="100" w:beforeAutospacing="1" w:after="100" w:afterAutospacing="1" w:line="240" w:lineRule="auto"/>
        <w:outlineLvl w:val="0"/>
        <w:rPr>
          <w:rFonts w:ascii="Arial" w:eastAsia="Times New Roman" w:hAnsi="Arial" w:cs="Arial"/>
          <w:b/>
          <w:bCs/>
          <w:kern w:val="36"/>
          <w14:ligatures w14:val="none"/>
        </w:rPr>
      </w:pPr>
      <w:r w:rsidRPr="001F5ADD">
        <w:rPr>
          <w:rFonts w:ascii="Arial" w:eastAsia="Times New Roman" w:hAnsi="Arial" w:cs="Arial"/>
          <w:b/>
          <w:bCs/>
          <w:kern w:val="36"/>
          <w14:ligatures w14:val="none"/>
        </w:rPr>
        <w:t>Should the Moral Worth of Our Actions Be Judged Solely on Their Consequences?</w:t>
      </w:r>
    </w:p>
    <w:p w14:paraId="717FC834" w14:textId="35BE28AD" w:rsidR="00005830" w:rsidRPr="001F5ADD" w:rsidRDefault="00005830" w:rsidP="00005830">
      <w:pPr>
        <w:spacing w:before="100" w:beforeAutospacing="1" w:after="100" w:afterAutospacing="1" w:line="240" w:lineRule="auto"/>
        <w:rPr>
          <w:rFonts w:ascii="Arial" w:hAnsi="Arial" w:cs="Arial"/>
          <w:kern w:val="0"/>
          <w14:ligatures w14:val="none"/>
        </w:rPr>
      </w:pPr>
      <w:r w:rsidRPr="001F5ADD">
        <w:rPr>
          <w:rFonts w:ascii="Arial" w:hAnsi="Arial" w:cs="Arial"/>
          <w:kern w:val="0"/>
          <w14:ligatures w14:val="none"/>
        </w:rPr>
        <w:t>Consequentialism argues that the moral value of an action should be determined entirely by its outcome. This position is most strongly associated with Jeremy Bentham and John Stuart Mill, who argued that actions are morally right when they maximise happiness and minimise suffering. Bentham famously wrote that ‘nature has placed mankind under the governance of two sovereign masters, pain and pleasure’.</w:t>
      </w:r>
      <w:r w:rsidR="004B2F19">
        <w:rPr>
          <w:rStyle w:val="FootnoteReference"/>
          <w:rFonts w:ascii="Arial" w:hAnsi="Arial" w:cs="Arial"/>
          <w:kern w:val="0"/>
          <w14:ligatures w14:val="none"/>
        </w:rPr>
        <w:footnoteReference w:id="1"/>
      </w:r>
      <w:r w:rsidRPr="001F5ADD">
        <w:rPr>
          <w:rFonts w:ascii="Arial" w:hAnsi="Arial" w:cs="Arial"/>
          <w:kern w:val="0"/>
          <w14:ligatures w14:val="none"/>
        </w:rPr>
        <w:t xml:space="preserve"> This essay argues that consequences are an important component in evaluating morality, but they are insufficient on their own. While consequentialism offers a practical and socially beneficial ethical framework, it struggles to account for moral intentions, individual rights, and the intrinsic value of duty. By critically examining utilitarianism alongside Kantian ethics and virtue ethics, this essay will demonstrate that moral worth cannot be judged solely by consequences.</w:t>
      </w:r>
    </w:p>
    <w:p w14:paraId="4E3075A4" w14:textId="2F960278" w:rsidR="00005830" w:rsidRPr="001F5ADD" w:rsidRDefault="00005830" w:rsidP="00005830">
      <w:pPr>
        <w:spacing w:before="100" w:beforeAutospacing="1" w:after="100" w:afterAutospacing="1" w:line="240" w:lineRule="auto"/>
        <w:rPr>
          <w:rFonts w:ascii="Arial" w:hAnsi="Arial" w:cs="Arial"/>
          <w:kern w:val="0"/>
          <w14:ligatures w14:val="none"/>
        </w:rPr>
      </w:pPr>
      <w:r w:rsidRPr="001F5ADD">
        <w:rPr>
          <w:rFonts w:ascii="Arial" w:hAnsi="Arial" w:cs="Arial"/>
          <w:kern w:val="0"/>
          <w14:ligatures w14:val="none"/>
        </w:rPr>
        <w:t>Utilitarianism developed during the eighteenth and nineteenth centuries as a response to ethical systems based upon religion or tradition. Bentham argued that morality should be objective and measurable through what he termed the ‘principle of utility’.</w:t>
      </w:r>
      <w:r w:rsidR="0035483B">
        <w:rPr>
          <w:rStyle w:val="FootnoteReference"/>
          <w:rFonts w:ascii="Arial" w:hAnsi="Arial" w:cs="Arial"/>
          <w:kern w:val="0"/>
          <w14:ligatures w14:val="none"/>
        </w:rPr>
        <w:footnoteReference w:id="2"/>
      </w:r>
      <w:r w:rsidRPr="001F5ADD">
        <w:rPr>
          <w:rFonts w:ascii="Arial" w:hAnsi="Arial" w:cs="Arial"/>
          <w:kern w:val="0"/>
          <w14:ligatures w14:val="none"/>
        </w:rPr>
        <w:t xml:space="preserve"> According to Bentham, actions are morally right if they produce ‘the greatest happiness of the greatest number’.</w:t>
      </w:r>
      <w:r w:rsidR="00AF69E4">
        <w:rPr>
          <w:rStyle w:val="FootnoteReference"/>
          <w:rFonts w:ascii="Arial" w:hAnsi="Arial" w:cs="Arial"/>
          <w:kern w:val="0"/>
          <w14:ligatures w14:val="none"/>
        </w:rPr>
        <w:footnoteReference w:id="3"/>
      </w:r>
      <w:r w:rsidRPr="001F5ADD">
        <w:rPr>
          <w:rFonts w:ascii="Arial" w:hAnsi="Arial" w:cs="Arial"/>
          <w:kern w:val="0"/>
          <w14:ligatures w14:val="none"/>
        </w:rPr>
        <w:t xml:space="preserve"> This approach appears attractive because it offers a straightforward method of ethical decision-making. In situations involving war, healthcare, or law, considering consequences appears both rational and practical. Mill similarly argued that ‘actions are right in proportion as they tend to promote happiness’.</w:t>
      </w:r>
      <w:r w:rsidR="00AF69E4">
        <w:rPr>
          <w:rStyle w:val="FootnoteReference"/>
          <w:rFonts w:ascii="Arial" w:hAnsi="Arial" w:cs="Arial"/>
          <w:kern w:val="0"/>
          <w14:ligatures w14:val="none"/>
        </w:rPr>
        <w:footnoteReference w:id="4"/>
      </w:r>
      <w:r w:rsidRPr="001F5ADD">
        <w:rPr>
          <w:rFonts w:ascii="Arial" w:hAnsi="Arial" w:cs="Arial"/>
          <w:kern w:val="0"/>
          <w14:ligatures w14:val="none"/>
        </w:rPr>
        <w:t xml:space="preserve"> Consequently, utilitarianism </w:t>
      </w:r>
      <w:bookmarkStart w:id="1" w:name="_Int_yXK8Hxou"/>
      <w:r w:rsidRPr="001F5ADD">
        <w:rPr>
          <w:rFonts w:ascii="Arial" w:hAnsi="Arial" w:cs="Arial"/>
          <w:kern w:val="0"/>
          <w14:ligatures w14:val="none"/>
        </w:rPr>
        <w:t>judges</w:t>
      </w:r>
      <w:bookmarkEnd w:id="1"/>
      <w:r w:rsidRPr="001F5ADD">
        <w:rPr>
          <w:rFonts w:ascii="Arial" w:hAnsi="Arial" w:cs="Arial"/>
          <w:kern w:val="0"/>
          <w14:ligatures w14:val="none"/>
        </w:rPr>
        <w:t xml:space="preserve"> actions exclusively by their effects rather than the motives or character of the individual.</w:t>
      </w:r>
    </w:p>
    <w:p w14:paraId="341DED12" w14:textId="1CDA646C" w:rsidR="00005830" w:rsidRPr="001F5ADD" w:rsidRDefault="00005830" w:rsidP="00005830">
      <w:pPr>
        <w:spacing w:before="100" w:beforeAutospacing="1" w:after="100" w:afterAutospacing="1" w:line="240" w:lineRule="auto"/>
        <w:rPr>
          <w:rFonts w:ascii="Arial" w:hAnsi="Arial" w:cs="Arial"/>
          <w:kern w:val="0"/>
          <w14:ligatures w14:val="none"/>
        </w:rPr>
      </w:pPr>
      <w:r w:rsidRPr="001F5ADD">
        <w:rPr>
          <w:rFonts w:ascii="Arial" w:hAnsi="Arial" w:cs="Arial"/>
          <w:kern w:val="0"/>
          <w14:ligatures w14:val="none"/>
        </w:rPr>
        <w:t xml:space="preserve">One strength of consequentialism is that it reflects common moral intuitions. Most individuals naturally consider outcomes when evaluating ethical decisions. If a doctor saves multiple lives through a difficult operation, society generally judges the act positively because of its beneficial consequences. Consequentialism therefore provides flexibility in moral reasoning. Unlike rigid ethical systems, it allows individuals to adapt decisions according to context. Mill defended this practicality by arguing that morality should improve human welfare rather than merely enforce </w:t>
      </w:r>
      <w:r w:rsidRPr="001F5ADD">
        <w:rPr>
          <w:rFonts w:ascii="Arial" w:hAnsi="Arial" w:cs="Arial"/>
          <w:kern w:val="0"/>
          <w14:ligatures w14:val="none"/>
        </w:rPr>
        <w:lastRenderedPageBreak/>
        <w:t>abstract rules.</w:t>
      </w:r>
      <w:r w:rsidR="00AF69E4">
        <w:rPr>
          <w:rStyle w:val="FootnoteReference"/>
          <w:rFonts w:ascii="Arial" w:hAnsi="Arial" w:cs="Arial"/>
          <w:kern w:val="0"/>
          <w14:ligatures w14:val="none"/>
        </w:rPr>
        <w:footnoteReference w:id="5"/>
      </w:r>
      <w:r w:rsidRPr="001F5ADD">
        <w:rPr>
          <w:rFonts w:ascii="Arial" w:hAnsi="Arial" w:cs="Arial"/>
          <w:kern w:val="0"/>
          <w14:ligatures w14:val="none"/>
        </w:rPr>
        <w:t xml:space="preserve"> Furthermore, utilitarianism has influenced modern democratic societies through its emphasis upon collective welfare and public benefit. Many contemporary policies regarding healthcare, welfare systems, and criminal justice reflect utilitarian principles because they attempt to maximise social happiness.</w:t>
      </w:r>
    </w:p>
    <w:p w14:paraId="7B1C92DE" w14:textId="10CF4F6F" w:rsidR="00005830" w:rsidRPr="001F5ADD" w:rsidRDefault="00005830" w:rsidP="00005830">
      <w:pPr>
        <w:spacing w:before="100" w:beforeAutospacing="1" w:after="100" w:afterAutospacing="1" w:line="240" w:lineRule="auto"/>
        <w:rPr>
          <w:rFonts w:ascii="Arial" w:hAnsi="Arial" w:cs="Arial"/>
          <w:kern w:val="0"/>
          <w14:ligatures w14:val="none"/>
        </w:rPr>
      </w:pPr>
      <w:r w:rsidRPr="001F5ADD">
        <w:rPr>
          <w:rFonts w:ascii="Arial" w:hAnsi="Arial" w:cs="Arial"/>
          <w:kern w:val="0"/>
          <w14:ligatures w14:val="none"/>
        </w:rPr>
        <w:t>However, consequentialism faces significant criticism because it can justify morally questionable actions if they produce desirable outcomes. Critics argue that judging morality solely through consequences ignores justice and individual rights. For example, if punishing an innocent person prevented widespread riots, a strict utilitarian might argue that such punishment is morally acceptable because it produces greater overall happiness. This conclusion appears deeply problematic because it sacrifices individual justice for collective benefit. Bernard Williams criticised utilitarianism for undermining personal integrity, arguing that it alienates individuals from their moral convictions.</w:t>
      </w:r>
      <w:r w:rsidR="00D13AF0">
        <w:rPr>
          <w:rStyle w:val="FootnoteReference"/>
          <w:rFonts w:ascii="Arial" w:hAnsi="Arial" w:cs="Arial"/>
          <w:kern w:val="0"/>
          <w14:ligatures w14:val="none"/>
        </w:rPr>
        <w:footnoteReference w:id="6"/>
      </w:r>
      <w:r w:rsidRPr="001F5ADD">
        <w:rPr>
          <w:rFonts w:ascii="Arial" w:hAnsi="Arial" w:cs="Arial"/>
          <w:kern w:val="0"/>
          <w14:ligatures w14:val="none"/>
        </w:rPr>
        <w:t xml:space="preserve"> Similarly, Robert Nozick argued that utilitarianism risks treating people merely as instruments for social utility.</w:t>
      </w:r>
      <w:r w:rsidR="00D13AF0">
        <w:rPr>
          <w:rStyle w:val="FootnoteReference"/>
          <w:rFonts w:ascii="Arial" w:hAnsi="Arial" w:cs="Arial"/>
          <w:kern w:val="0"/>
          <w14:ligatures w14:val="none"/>
        </w:rPr>
        <w:footnoteReference w:id="7"/>
      </w:r>
      <w:r w:rsidRPr="001F5ADD">
        <w:rPr>
          <w:rFonts w:ascii="Arial" w:hAnsi="Arial" w:cs="Arial"/>
          <w:kern w:val="0"/>
          <w14:ligatures w14:val="none"/>
        </w:rPr>
        <w:t xml:space="preserve"> These criticisms demonstrate that consequences alone may be insufficient for determining moral worth.</w:t>
      </w:r>
    </w:p>
    <w:p w14:paraId="123B4BDB" w14:textId="5291654D" w:rsidR="00005830" w:rsidRPr="001F5ADD" w:rsidRDefault="00005830" w:rsidP="00005830">
      <w:pPr>
        <w:spacing w:before="100" w:beforeAutospacing="1" w:after="100" w:afterAutospacing="1" w:line="240" w:lineRule="auto"/>
        <w:rPr>
          <w:rFonts w:ascii="Arial" w:hAnsi="Arial" w:cs="Arial"/>
          <w:kern w:val="0"/>
          <w14:ligatures w14:val="none"/>
        </w:rPr>
      </w:pPr>
      <w:r w:rsidRPr="001F5ADD">
        <w:rPr>
          <w:rFonts w:ascii="Arial" w:hAnsi="Arial" w:cs="Arial"/>
          <w:kern w:val="0"/>
          <w14:ligatures w14:val="none"/>
        </w:rPr>
        <w:t>Another weakness of consequentialism concerns the difficulty of predicting outcomes accurately. Moral decisions often occur under conditions of uncertainty, meaning individuals cannot reliably calculate all future consequences. An action intended to produce good results may ultimately cause significant harm. For instance, political interventions or military actions frequently produce unintended consequences despite positive intentions. This uncertainty undermines the utilitarian claim that morality can be calculated objectively. As Alasdair MacIntyre argues, modern moral philosophy often overestimates the ability of reason to produce universal ethical solutions.</w:t>
      </w:r>
      <w:r w:rsidR="00966AAC">
        <w:rPr>
          <w:rStyle w:val="FootnoteReference"/>
          <w:rFonts w:ascii="Arial" w:hAnsi="Arial" w:cs="Arial"/>
          <w:kern w:val="0"/>
          <w14:ligatures w14:val="none"/>
        </w:rPr>
        <w:footnoteReference w:id="8"/>
      </w:r>
      <w:r w:rsidRPr="001F5ADD">
        <w:rPr>
          <w:rFonts w:ascii="Arial" w:hAnsi="Arial" w:cs="Arial"/>
          <w:kern w:val="0"/>
          <w14:ligatures w14:val="none"/>
        </w:rPr>
        <w:t xml:space="preserve"> Consequently, judging actions entirely by outcomes may be unrealistic because outcomes themselves are uncertain and uncontrollable.</w:t>
      </w:r>
    </w:p>
    <w:p w14:paraId="07D9D81E" w14:textId="5CEFBF88" w:rsidR="00005830" w:rsidRPr="001F5ADD" w:rsidRDefault="00005830" w:rsidP="00005830">
      <w:pPr>
        <w:spacing w:before="100" w:beforeAutospacing="1" w:after="100" w:afterAutospacing="1" w:line="240" w:lineRule="auto"/>
        <w:rPr>
          <w:rFonts w:ascii="Arial" w:hAnsi="Arial" w:cs="Arial"/>
          <w:kern w:val="0"/>
          <w14:ligatures w14:val="none"/>
        </w:rPr>
      </w:pPr>
      <w:r w:rsidRPr="001F5ADD">
        <w:rPr>
          <w:rFonts w:ascii="Arial" w:hAnsi="Arial" w:cs="Arial"/>
          <w:kern w:val="0"/>
          <w14:ligatures w14:val="none"/>
        </w:rPr>
        <w:t>In contrast to consequentialism, Immanuel Kant argued that morality should be judged according to duty and intention rather than consequences. Kant famously stated that ‘nothing can possibly be conceived in the world… which can be called good without qualification, except a good will’.</w:t>
      </w:r>
      <w:r w:rsidR="00966AAC">
        <w:rPr>
          <w:rStyle w:val="FootnoteReference"/>
          <w:rFonts w:ascii="Arial" w:hAnsi="Arial" w:cs="Arial"/>
          <w:kern w:val="0"/>
          <w14:ligatures w14:val="none"/>
        </w:rPr>
        <w:footnoteReference w:id="9"/>
      </w:r>
      <w:r w:rsidRPr="001F5ADD">
        <w:rPr>
          <w:rFonts w:ascii="Arial" w:hAnsi="Arial" w:cs="Arial"/>
          <w:kern w:val="0"/>
          <w14:ligatures w14:val="none"/>
        </w:rPr>
        <w:t xml:space="preserve"> According to Kant, an action possesses moral worth only when performed from duty. If an individual performs a morally correct action purely for personal gain or emotional satisfaction, the act lacks genuine moral worth. Kant therefore rejected utilitarianism because consequences </w:t>
      </w:r>
      <w:r w:rsidRPr="001F5ADD">
        <w:rPr>
          <w:rFonts w:ascii="Arial" w:hAnsi="Arial" w:cs="Arial"/>
          <w:kern w:val="0"/>
          <w14:ligatures w14:val="none"/>
        </w:rPr>
        <w:lastRenderedPageBreak/>
        <w:t>are often beyond human control. Instead, morality should depend upon whether actions conform to rational moral laws.</w:t>
      </w:r>
    </w:p>
    <w:p w14:paraId="4B44BC48" w14:textId="587B2DEE" w:rsidR="00005830" w:rsidRPr="001F5ADD" w:rsidRDefault="00005830" w:rsidP="00005830">
      <w:pPr>
        <w:spacing w:before="100" w:beforeAutospacing="1" w:after="100" w:afterAutospacing="1" w:line="240" w:lineRule="auto"/>
        <w:rPr>
          <w:rFonts w:ascii="Arial" w:hAnsi="Arial" w:cs="Arial"/>
          <w:kern w:val="0"/>
          <w14:ligatures w14:val="none"/>
        </w:rPr>
      </w:pPr>
      <w:r w:rsidRPr="001F5ADD">
        <w:rPr>
          <w:rFonts w:ascii="Arial" w:hAnsi="Arial" w:cs="Arial"/>
          <w:kern w:val="0"/>
          <w14:ligatures w14:val="none"/>
        </w:rPr>
        <w:t xml:space="preserve">Kant developed the categorical imperative as a universal principle for moral behaviour. One formulation </w:t>
      </w:r>
      <w:bookmarkStart w:id="2" w:name="_Int_L3twsKO1"/>
      <w:r w:rsidRPr="001F5ADD">
        <w:rPr>
          <w:rFonts w:ascii="Arial" w:hAnsi="Arial" w:cs="Arial"/>
          <w:kern w:val="0"/>
          <w14:ligatures w14:val="none"/>
        </w:rPr>
        <w:t>states</w:t>
      </w:r>
      <w:bookmarkEnd w:id="2"/>
      <w:r w:rsidRPr="001F5ADD">
        <w:rPr>
          <w:rFonts w:ascii="Arial" w:hAnsi="Arial" w:cs="Arial"/>
          <w:kern w:val="0"/>
          <w14:ligatures w14:val="none"/>
        </w:rPr>
        <w:t xml:space="preserve"> that individuals should ‘act only according to that maxim whereby you can at the same time will that it should become a universal law’.</w:t>
      </w:r>
      <w:r w:rsidR="00AB6142">
        <w:rPr>
          <w:rStyle w:val="FootnoteReference"/>
          <w:rFonts w:ascii="Arial" w:hAnsi="Arial" w:cs="Arial"/>
          <w:kern w:val="0"/>
          <w14:ligatures w14:val="none"/>
        </w:rPr>
        <w:footnoteReference w:id="10"/>
      </w:r>
      <w:r w:rsidRPr="001F5ADD">
        <w:rPr>
          <w:rFonts w:ascii="Arial" w:hAnsi="Arial" w:cs="Arial"/>
          <w:kern w:val="0"/>
          <w14:ligatures w14:val="none"/>
        </w:rPr>
        <w:t xml:space="preserve"> This approach emphasises consistency, rationality, and respect for persons. Unlike consequentialism, Kantian ethics protects individual rights because it prohibits using people merely as means to an end. Kant argued that humans possess intrinsic dignity and should never be sacrificed for collective benefit. This perspective provides a compelling response to utilitarian problems concerning justice. For example, punishing an innocent person would always remain morally wrong regardless of beneficial consequences because it violates rational duty and human dignity.</w:t>
      </w:r>
    </w:p>
    <w:p w14:paraId="26F7F7A4" w14:textId="3C2DBB07" w:rsidR="00005830" w:rsidRPr="001F5ADD" w:rsidRDefault="00005830" w:rsidP="00005830">
      <w:pPr>
        <w:spacing w:before="100" w:beforeAutospacing="1" w:after="100" w:afterAutospacing="1" w:line="240" w:lineRule="auto"/>
        <w:rPr>
          <w:rFonts w:ascii="Arial" w:hAnsi="Arial" w:cs="Arial"/>
          <w:kern w:val="0"/>
          <w14:ligatures w14:val="none"/>
        </w:rPr>
      </w:pPr>
      <w:r w:rsidRPr="001F5ADD">
        <w:rPr>
          <w:rFonts w:ascii="Arial" w:hAnsi="Arial" w:cs="Arial"/>
          <w:kern w:val="0"/>
          <w14:ligatures w14:val="none"/>
        </w:rPr>
        <w:t>Despite these strengths, Kant’s ethical theory also faces criticism. One major weakness is its rigidity. Because Kantian ethics prioritises duty above consequences, it can produce morally counterintuitive conclusions. Kant famously argued that lying is always morally wrong, even if lying would save an innocent life. Critics claim this absolutism ignores the complexity of real-world ethical situations. Georg Wilhelm Friedrich Hegel criticised Kantian ethics as an ‘empty formalism’ because universal moral laws may provide insufficient practical guidance.</w:t>
      </w:r>
      <w:r w:rsidR="00AB6142">
        <w:rPr>
          <w:rStyle w:val="FootnoteReference"/>
          <w:rFonts w:ascii="Arial" w:hAnsi="Arial" w:cs="Arial"/>
          <w:kern w:val="0"/>
          <w14:ligatures w14:val="none"/>
        </w:rPr>
        <w:footnoteReference w:id="11"/>
      </w:r>
      <w:r w:rsidRPr="001F5ADD">
        <w:rPr>
          <w:rFonts w:ascii="Arial" w:hAnsi="Arial" w:cs="Arial"/>
          <w:kern w:val="0"/>
          <w14:ligatures w14:val="none"/>
        </w:rPr>
        <w:t xml:space="preserve"> Furthermore, strict adherence to duty may sometimes produce harmful outcomes that appear morally indefensible. Consequently, while Kant successfully highlights the importance of intention and duty, his theory arguably underestimates the moral significance of consequences.</w:t>
      </w:r>
    </w:p>
    <w:p w14:paraId="11E40E1F" w14:textId="4460F01F" w:rsidR="00005830" w:rsidRPr="001F5ADD" w:rsidRDefault="00005830" w:rsidP="00005830">
      <w:pPr>
        <w:spacing w:before="100" w:beforeAutospacing="1" w:after="100" w:afterAutospacing="1" w:line="240" w:lineRule="auto"/>
        <w:rPr>
          <w:rFonts w:ascii="Arial" w:hAnsi="Arial" w:cs="Arial"/>
          <w:kern w:val="0"/>
          <w14:ligatures w14:val="none"/>
        </w:rPr>
      </w:pPr>
      <w:r w:rsidRPr="001F5ADD">
        <w:rPr>
          <w:rFonts w:ascii="Arial" w:hAnsi="Arial" w:cs="Arial"/>
          <w:kern w:val="0"/>
          <w14:ligatures w14:val="none"/>
        </w:rPr>
        <w:t>Virtue ethics provides a further challenge to the claim that morality depends solely upon outcomes. Originating with Aristotle, virtue ethics focuses upon character rather than rules or consequences. Aristotle argued that the goal of human life is eudaimonia, often translated as flourishing or well-being.</w:t>
      </w:r>
      <w:r w:rsidR="00BB1C9E">
        <w:rPr>
          <w:rStyle w:val="FootnoteReference"/>
          <w:rFonts w:ascii="Arial" w:hAnsi="Arial" w:cs="Arial"/>
          <w:kern w:val="0"/>
          <w14:ligatures w14:val="none"/>
        </w:rPr>
        <w:footnoteReference w:id="12"/>
      </w:r>
      <w:r w:rsidRPr="001F5ADD">
        <w:rPr>
          <w:rFonts w:ascii="Arial" w:hAnsi="Arial" w:cs="Arial"/>
          <w:kern w:val="0"/>
          <w14:ligatures w14:val="none"/>
        </w:rPr>
        <w:t xml:space="preserve"> Moral behaviour therefore involves cultivating virtues such as courage, justice, and temperance. Aristotle maintained that ‘moral virtue comes about as a result of habit’.</w:t>
      </w:r>
      <w:r w:rsidR="00BB1C9E">
        <w:rPr>
          <w:rStyle w:val="FootnoteReference"/>
          <w:rFonts w:ascii="Arial" w:hAnsi="Arial" w:cs="Arial"/>
          <w:kern w:val="0"/>
          <w14:ligatures w14:val="none"/>
        </w:rPr>
        <w:footnoteReference w:id="13"/>
      </w:r>
      <w:r w:rsidRPr="001F5ADD">
        <w:rPr>
          <w:rFonts w:ascii="Arial" w:hAnsi="Arial" w:cs="Arial"/>
          <w:kern w:val="0"/>
          <w14:ligatures w14:val="none"/>
        </w:rPr>
        <w:t xml:space="preserve"> Unlike utilitarianism and Kantian ethics, virtue ethics asks what kind of person one should become rather than simply evaluating isolated actions.</w:t>
      </w:r>
    </w:p>
    <w:p w14:paraId="74FE6FEF" w14:textId="00D3F39C" w:rsidR="00005830" w:rsidRPr="001F5ADD" w:rsidRDefault="00005830" w:rsidP="00005830">
      <w:pPr>
        <w:spacing w:before="100" w:beforeAutospacing="1" w:after="100" w:afterAutospacing="1" w:line="240" w:lineRule="auto"/>
        <w:rPr>
          <w:rFonts w:ascii="Arial" w:hAnsi="Arial" w:cs="Arial"/>
          <w:kern w:val="0"/>
          <w14:ligatures w14:val="none"/>
        </w:rPr>
      </w:pPr>
      <w:r w:rsidRPr="001F5ADD">
        <w:rPr>
          <w:rFonts w:ascii="Arial" w:hAnsi="Arial" w:cs="Arial"/>
          <w:kern w:val="0"/>
          <w14:ligatures w14:val="none"/>
        </w:rPr>
        <w:t xml:space="preserve">One advantage of virtue ethics is that it recognises the importance of moral character and practical wisdom. A virtuous person consistently acts well because they possess good habits and sound judgement. This approach reflects the reality </w:t>
      </w:r>
      <w:r w:rsidRPr="001F5ADD">
        <w:rPr>
          <w:rFonts w:ascii="Arial" w:hAnsi="Arial" w:cs="Arial"/>
          <w:kern w:val="0"/>
          <w14:ligatures w14:val="none"/>
        </w:rPr>
        <w:lastRenderedPageBreak/>
        <w:t>that morality often depends upon motives, emotions, and relationships rather than calculations alone. Rosalind Hursthouse argues that virtue ethics provides a richer understanding of morality because it considers the whole person rather than individual acts.</w:t>
      </w:r>
      <w:r w:rsidR="00BB1C9E">
        <w:rPr>
          <w:rStyle w:val="FootnoteReference"/>
          <w:rFonts w:ascii="Arial" w:hAnsi="Arial" w:cs="Arial"/>
          <w:kern w:val="0"/>
          <w14:ligatures w14:val="none"/>
        </w:rPr>
        <w:footnoteReference w:id="14"/>
      </w:r>
      <w:r w:rsidRPr="001F5ADD">
        <w:rPr>
          <w:rFonts w:ascii="Arial" w:hAnsi="Arial" w:cs="Arial"/>
          <w:kern w:val="0"/>
          <w14:ligatures w14:val="none"/>
        </w:rPr>
        <w:t xml:space="preserve"> Furthermore, virtue ethics avoids some utilitarian problems by rejecting the idea that immoral acts can become justified through positive consequences alone.</w:t>
      </w:r>
    </w:p>
    <w:p w14:paraId="60191843" w14:textId="77777777" w:rsidR="00005830" w:rsidRPr="008E44B6" w:rsidRDefault="00005830" w:rsidP="00005830">
      <w:pPr>
        <w:spacing w:before="100" w:beforeAutospacing="1" w:after="100" w:afterAutospacing="1" w:line="240" w:lineRule="auto"/>
        <w:rPr>
          <w:rFonts w:ascii="Arial" w:hAnsi="Arial" w:cs="Arial"/>
          <w:kern w:val="0"/>
          <w14:ligatures w14:val="none"/>
        </w:rPr>
      </w:pPr>
      <w:r w:rsidRPr="001F5ADD">
        <w:rPr>
          <w:rFonts w:ascii="Arial" w:hAnsi="Arial" w:cs="Arial"/>
          <w:kern w:val="0"/>
          <w14:ligatures w14:val="none"/>
        </w:rPr>
        <w:t>Nevertheless, virtue ethics also faces criticism because it may lack clear guidance in difficult moral situations. Consequentialist and deontological theories provide explicit principles for action, whereas virtue ethics relies heavily upon interpretation and judgement. Critics argue that virtues may vary between cultures and historical periods, making ethical standards potentially subjective. Additionally, virtue ethics may struggle to resolve conflicts between virtues. For example, honesty and compassion may point towards different actions in a particular situation. Despite these criticisms, virtue ethics successfully demonstrates that morality involves more than simply measuring consequences.</w:t>
      </w:r>
    </w:p>
    <w:p w14:paraId="49CACD08" w14:textId="281295BA" w:rsidR="00A61E4B" w:rsidRPr="008E44B6" w:rsidRDefault="00A61E4B" w:rsidP="00A61E4B">
      <w:pPr>
        <w:spacing w:before="100" w:beforeAutospacing="1" w:after="100" w:afterAutospacing="1" w:line="240" w:lineRule="auto"/>
        <w:rPr>
          <w:rFonts w:ascii="Arial" w:hAnsi="Arial" w:cs="Arial"/>
          <w:kern w:val="0"/>
          <w14:ligatures w14:val="none"/>
        </w:rPr>
      </w:pPr>
      <w:r w:rsidRPr="008E44B6">
        <w:rPr>
          <w:rFonts w:ascii="Arial" w:hAnsi="Arial" w:cs="Arial"/>
          <w:kern w:val="0"/>
          <w14:ligatures w14:val="none"/>
        </w:rPr>
        <w:t>One additional criticism of consequentialism concerns the issue of moral luck. Philosophers have argued that if morality is judged entirely by outcomes, then factors outside an individual’s control determine whether actions are morally praiseworthy. Thomas Nagel observed that individuals are often morally judged for consequences that depend upon chance rather than intention.</w:t>
      </w:r>
      <w:r w:rsidR="007D476B">
        <w:rPr>
          <w:rStyle w:val="FootnoteReference"/>
          <w:rFonts w:ascii="Arial" w:hAnsi="Arial" w:cs="Arial"/>
          <w:kern w:val="0"/>
          <w14:ligatures w14:val="none"/>
        </w:rPr>
        <w:footnoteReference w:id="15"/>
      </w:r>
      <w:r w:rsidRPr="008E44B6">
        <w:rPr>
          <w:rFonts w:ascii="Arial" w:hAnsi="Arial" w:cs="Arial"/>
          <w:kern w:val="0"/>
          <w14:ligatures w14:val="none"/>
        </w:rPr>
        <w:t xml:space="preserve"> For example, two drivers may behave with equal negligence, yet only one causes harm because of circumstances beyond their control. Under strict consequentialism, the driver who causes injury would appear morally worse despite both individuals acting identically. This creates tension with the common intuition that morality should partly depend upon intention and choice rather than accidental outcomes. Bernard Williams similarly argued that moral luck undermines the fairness of purely outcome-based ethical judgement.</w:t>
      </w:r>
      <w:r w:rsidR="00AC3886">
        <w:rPr>
          <w:rStyle w:val="FootnoteReference"/>
          <w:rFonts w:ascii="Arial" w:hAnsi="Arial" w:cs="Arial"/>
          <w:kern w:val="0"/>
          <w14:ligatures w14:val="none"/>
        </w:rPr>
        <w:footnoteReference w:id="16"/>
      </w:r>
      <w:r w:rsidRPr="008E44B6">
        <w:rPr>
          <w:rFonts w:ascii="Arial" w:hAnsi="Arial" w:cs="Arial"/>
          <w:kern w:val="0"/>
          <w14:ligatures w14:val="none"/>
        </w:rPr>
        <w:t xml:space="preserve"> Consequently, consequentialism appears unable to provide a fully satisfactory account of personal moral responsibility because it places excessive emphasis upon external results rather than internal motivation.</w:t>
      </w:r>
    </w:p>
    <w:p w14:paraId="169FA67A" w14:textId="5BF75726" w:rsidR="00A61E4B" w:rsidRPr="00517EC2" w:rsidRDefault="00A61E4B" w:rsidP="00005830">
      <w:pPr>
        <w:spacing w:before="100" w:beforeAutospacing="1" w:after="100" w:afterAutospacing="1" w:line="240" w:lineRule="auto"/>
        <w:rPr>
          <w:rFonts w:ascii="Arial" w:hAnsi="Arial" w:cs="Arial"/>
          <w:kern w:val="0"/>
          <w14:ligatures w14:val="none"/>
        </w:rPr>
      </w:pPr>
      <w:r w:rsidRPr="008E44B6">
        <w:rPr>
          <w:rFonts w:ascii="Arial" w:hAnsi="Arial" w:cs="Arial"/>
          <w:kern w:val="0"/>
          <w14:ligatures w14:val="none"/>
        </w:rPr>
        <w:t xml:space="preserve">Furthermore, contemporary ethical debates increasingly demonstrate the limitations of judging morality solely through consequences. In fields such as medicine, warfare, and artificial intelligence, ethical decisions frequently involve balancing outcomes against rights and duties. For instance, medical ethics emphasises informed consent even when overriding patient autonomy might produce beneficial consequences. Likewise, international law prohibits certain actions during armed conflict regardless of potential strategic advantage because moral principles are considered intrinsically important. Michael Sandel argues that justice cannot be understood purely through </w:t>
      </w:r>
      <w:r w:rsidRPr="008E44B6">
        <w:rPr>
          <w:rFonts w:ascii="Arial" w:hAnsi="Arial" w:cs="Arial"/>
          <w:kern w:val="0"/>
          <w14:ligatures w14:val="none"/>
        </w:rPr>
        <w:lastRenderedPageBreak/>
        <w:t>utilitarian calculations because societies also value fairness, dignity, and individual liberty.</w:t>
      </w:r>
      <w:r w:rsidR="00AC3886">
        <w:rPr>
          <w:rStyle w:val="FootnoteReference"/>
          <w:rFonts w:ascii="Arial" w:hAnsi="Arial" w:cs="Arial"/>
          <w:kern w:val="0"/>
          <w14:ligatures w14:val="none"/>
        </w:rPr>
        <w:footnoteReference w:id="17"/>
      </w:r>
      <w:r w:rsidRPr="008E44B6">
        <w:rPr>
          <w:rFonts w:ascii="Arial" w:hAnsi="Arial" w:cs="Arial"/>
          <w:kern w:val="0"/>
          <w14:ligatures w14:val="none"/>
        </w:rPr>
        <w:t xml:space="preserve"> These examples illustrate that modern ethical frameworks rarely adopt pure consequentialism in practice. Instead, contemporary moral reasoning generally </w:t>
      </w:r>
      <w:r w:rsidRPr="00517EC2">
        <w:rPr>
          <w:rFonts w:ascii="Arial" w:hAnsi="Arial" w:cs="Arial"/>
          <w:kern w:val="0"/>
          <w14:ligatures w14:val="none"/>
        </w:rPr>
        <w:t>combines concern for outcomes with respect for duties, virtues, and human rights.</w:t>
      </w:r>
    </w:p>
    <w:p w14:paraId="66305644" w14:textId="6C285D19" w:rsidR="00ED5506" w:rsidRPr="00517EC2" w:rsidRDefault="00ED5506" w:rsidP="00005830">
      <w:pPr>
        <w:spacing w:before="100" w:beforeAutospacing="1" w:after="100" w:afterAutospacing="1" w:line="240" w:lineRule="auto"/>
        <w:rPr>
          <w:rFonts w:ascii="Arial" w:hAnsi="Arial" w:cs="Arial"/>
          <w:kern w:val="0"/>
          <w14:ligatures w14:val="none"/>
        </w:rPr>
      </w:pPr>
      <w:r w:rsidRPr="00517EC2">
        <w:rPr>
          <w:rFonts w:ascii="Arial" w:hAnsi="Arial" w:cs="Arial"/>
          <w:kern w:val="0"/>
          <w14:ligatures w14:val="none"/>
        </w:rPr>
        <w:t>Another important criticism of judging morality solely by consequences is that consequentialism may weaken the significance of personal relationships and special obligations. Pure utilitarian reasoning requires individuals to treat all happiness equally, regardless of emotional connection or personal loyalty. However, many philosophers argue that human morality naturally involves partial responsibilities towards family, friends, and communities. Samuel Scheffler argues that ethical systems become overly demanding when they require individuals to abandon personal attachments in favour of maximising overall utility.</w:t>
      </w:r>
      <w:r w:rsidR="00AC3886">
        <w:rPr>
          <w:rStyle w:val="FootnoteReference"/>
          <w:rFonts w:ascii="Arial" w:hAnsi="Arial" w:cs="Arial"/>
          <w:kern w:val="0"/>
          <w14:ligatures w14:val="none"/>
        </w:rPr>
        <w:footnoteReference w:id="18"/>
      </w:r>
      <w:r w:rsidRPr="00517EC2">
        <w:rPr>
          <w:rFonts w:ascii="Arial" w:hAnsi="Arial" w:cs="Arial"/>
          <w:kern w:val="0"/>
          <w14:ligatures w14:val="none"/>
        </w:rPr>
        <w:t xml:space="preserve"> For example, consequentialism could imply that donating money to strangers is always morally preferable to supporting one’s own family if it produces greater collective happiness. This conclusion conflicts with ordinary moral experience, where loyalty and personal commitment are widely regarded as ethically valuable. Additionally, the ethics of care tradition, associated with Carol Gilligan, emphasises empathy, relationships, and interdependence rather than abstract calculations of utility.</w:t>
      </w:r>
      <w:r w:rsidR="007731CF">
        <w:rPr>
          <w:rStyle w:val="FootnoteReference"/>
          <w:rFonts w:ascii="Arial" w:hAnsi="Arial" w:cs="Arial"/>
          <w:kern w:val="0"/>
          <w14:ligatures w14:val="none"/>
        </w:rPr>
        <w:footnoteReference w:id="19"/>
      </w:r>
      <w:r w:rsidRPr="00517EC2">
        <w:rPr>
          <w:rFonts w:ascii="Arial" w:hAnsi="Arial" w:cs="Arial"/>
          <w:kern w:val="0"/>
          <w14:ligatures w14:val="none"/>
        </w:rPr>
        <w:t xml:space="preserve"> These perspectives suggest that morality cannot be reduced solely to outcomes because ethical life also depends upon human relationships, emotional responsibilities, and social bonds.</w:t>
      </w:r>
    </w:p>
    <w:p w14:paraId="3DC4A685" w14:textId="59C98DD1" w:rsidR="00005830" w:rsidRPr="001F5ADD" w:rsidRDefault="00005830" w:rsidP="00005830">
      <w:pPr>
        <w:spacing w:before="100" w:beforeAutospacing="1" w:after="100" w:afterAutospacing="1" w:line="240" w:lineRule="auto"/>
        <w:rPr>
          <w:rFonts w:ascii="Arial" w:hAnsi="Arial" w:cs="Arial"/>
          <w:kern w:val="0"/>
          <w14:ligatures w14:val="none"/>
        </w:rPr>
      </w:pPr>
      <w:r w:rsidRPr="001F5ADD">
        <w:rPr>
          <w:rFonts w:ascii="Arial" w:hAnsi="Arial" w:cs="Arial"/>
          <w:kern w:val="0"/>
          <w14:ligatures w14:val="none"/>
        </w:rPr>
        <w:t xml:space="preserve">A </w:t>
      </w:r>
      <w:r w:rsidR="00B43DFE">
        <w:rPr>
          <w:rFonts w:ascii="Arial" w:hAnsi="Arial" w:cs="Arial"/>
          <w:kern w:val="0"/>
          <w14:ligatures w14:val="none"/>
        </w:rPr>
        <w:t xml:space="preserve">truly </w:t>
      </w:r>
      <w:r w:rsidRPr="001F5ADD">
        <w:rPr>
          <w:rFonts w:ascii="Arial" w:hAnsi="Arial" w:cs="Arial"/>
          <w:kern w:val="0"/>
          <w14:ligatures w14:val="none"/>
        </w:rPr>
        <w:t>balanced ethical perspective should therefore recognise that consequences, intentions, and character all contribute to moral evaluation. Consequences undeniably matter because actions affect human welfare and social stability. Ethical theories that completely ignore outcomes risk becoming detached from practical reality. However, judging morality solely through consequences creates serious problems regarding justice, rights, and moral responsibility. Intentions remain morally significant because they reflect the motivations underlying human behaviour. Likewise, moral character influences whether individuals consistently act ethically across different circumstances.</w:t>
      </w:r>
    </w:p>
    <w:p w14:paraId="3C351089" w14:textId="305EFC85" w:rsidR="00005830" w:rsidRPr="001F5ADD" w:rsidRDefault="00005830" w:rsidP="00005830">
      <w:pPr>
        <w:spacing w:before="100" w:beforeAutospacing="1" w:after="100" w:afterAutospacing="1" w:line="240" w:lineRule="auto"/>
        <w:rPr>
          <w:rFonts w:ascii="Arial" w:hAnsi="Arial" w:cs="Arial"/>
          <w:kern w:val="0"/>
          <w14:ligatures w14:val="none"/>
        </w:rPr>
      </w:pPr>
      <w:r w:rsidRPr="001F5ADD">
        <w:rPr>
          <w:rFonts w:ascii="Arial" w:hAnsi="Arial" w:cs="Arial"/>
          <w:kern w:val="0"/>
          <w14:ligatures w14:val="none"/>
        </w:rPr>
        <w:t>Modern ethical discussions increasingly support pluralistic approaches that combine insights from multiple traditions. W. D. Ross, for example, criticised both utilitarianism and Kantian absolutism by proposing ‘prima facie duties’ that must be balanced according to context.</w:t>
      </w:r>
      <w:r w:rsidR="007D476B">
        <w:rPr>
          <w:rStyle w:val="FootnoteReference"/>
          <w:rFonts w:ascii="Arial" w:hAnsi="Arial" w:cs="Arial"/>
          <w:kern w:val="0"/>
          <w14:ligatures w14:val="none"/>
        </w:rPr>
        <w:footnoteReference w:id="20"/>
      </w:r>
      <w:r w:rsidRPr="001F5ADD">
        <w:rPr>
          <w:rFonts w:ascii="Arial" w:hAnsi="Arial" w:cs="Arial"/>
          <w:kern w:val="0"/>
          <w14:ligatures w14:val="none"/>
        </w:rPr>
        <w:t xml:space="preserve"> This perspective recognises that morality is complex and cannot be reduced to a single principle. Similarly, contemporary human </w:t>
      </w:r>
      <w:r w:rsidRPr="001F5ADD">
        <w:rPr>
          <w:rFonts w:ascii="Arial" w:hAnsi="Arial" w:cs="Arial"/>
          <w:kern w:val="0"/>
          <w14:ligatures w14:val="none"/>
        </w:rPr>
        <w:lastRenderedPageBreak/>
        <w:t>rights theories reject purely consequentialist reasoning because they emphasise the inherent dignity of individuals regardless of social utility. Ethical decision-making therefore requires balancing outcomes with principles, duties, and virtues.</w:t>
      </w:r>
    </w:p>
    <w:p w14:paraId="5FD55C8E" w14:textId="746A70FE" w:rsidR="00005830" w:rsidRDefault="00005830" w:rsidP="007731CF">
      <w:pPr>
        <w:spacing w:before="100" w:beforeAutospacing="1" w:after="100" w:afterAutospacing="1" w:line="240" w:lineRule="auto"/>
        <w:rPr>
          <w:rFonts w:ascii="Arial" w:hAnsi="Arial" w:cs="Arial"/>
          <w:kern w:val="0"/>
          <w14:ligatures w14:val="none"/>
        </w:rPr>
      </w:pPr>
      <w:r w:rsidRPr="001F5ADD">
        <w:rPr>
          <w:rFonts w:ascii="Arial" w:hAnsi="Arial" w:cs="Arial"/>
          <w:kern w:val="0"/>
          <w14:ligatures w14:val="none"/>
        </w:rPr>
        <w:t>In conclusion, the moral worth of actions should not be judged solely on their consequences. Consequentialism provides valuable insights because outcomes clearly influence human well-being and social welfare. Utilitarianism remains attractive due to its practicality, flexibility, and emphasis upon collective happiness. However, judging morality exclusively through consequences risks justifying injustice, undermining individual rights, and ignoring the significance of intention and character. Kantian ethics demonstrates the importance of duty and human dignity, while virtue ethics highlights the role of moral character and flourishing. Ultimately, morality is too complex to be reduced to outcomes alone. A comprehensive ethical framework must therefore consider consequences alongside motives, duties, and virtues in order to provide a fuller understanding of moral worth.</w:t>
      </w:r>
    </w:p>
    <w:p w14:paraId="35C82E08" w14:textId="3B178DFA" w:rsidR="005D1F9F" w:rsidRDefault="005D1F9F" w:rsidP="007731CF">
      <w:pPr>
        <w:spacing w:before="100" w:beforeAutospacing="1" w:after="100" w:afterAutospacing="1" w:line="240" w:lineRule="auto"/>
        <w:rPr>
          <w:rFonts w:ascii="Arial" w:hAnsi="Arial" w:cs="Arial"/>
          <w:kern w:val="0"/>
          <w14:ligatures w14:val="none"/>
        </w:rPr>
      </w:pPr>
    </w:p>
    <w:p w14:paraId="11AE7AD4" w14:textId="77777777" w:rsidR="005D1F9F" w:rsidRDefault="005D1F9F">
      <w:pPr>
        <w:rPr>
          <w:rFonts w:ascii="Arial" w:hAnsi="Arial" w:cs="Arial"/>
          <w:kern w:val="0"/>
          <w14:ligatures w14:val="none"/>
        </w:rPr>
      </w:pPr>
      <w:r>
        <w:rPr>
          <w:rFonts w:ascii="Arial" w:hAnsi="Arial" w:cs="Arial"/>
          <w:kern w:val="0"/>
          <w14:ligatures w14:val="none"/>
        </w:rPr>
        <w:br w:type="page"/>
      </w:r>
    </w:p>
    <w:p w14:paraId="0BF6F5CD" w14:textId="77777777" w:rsidR="005D1F9F" w:rsidRPr="005D1F9F" w:rsidRDefault="005D1F9F" w:rsidP="00F16BBF">
      <w:pPr>
        <w:spacing w:before="100" w:beforeAutospacing="1" w:after="100" w:afterAutospacing="1" w:line="240" w:lineRule="auto"/>
        <w:jc w:val="center"/>
        <w:outlineLvl w:val="0"/>
        <w:rPr>
          <w:rFonts w:ascii="Arial" w:eastAsia="Times New Roman" w:hAnsi="Arial" w:cs="Arial"/>
          <w:b/>
          <w:bCs/>
          <w:kern w:val="36"/>
          <w14:ligatures w14:val="none"/>
        </w:rPr>
      </w:pPr>
      <w:r w:rsidRPr="005D1F9F">
        <w:rPr>
          <w:rFonts w:ascii="Arial" w:eastAsia="Times New Roman" w:hAnsi="Arial" w:cs="Arial"/>
          <w:b/>
          <w:bCs/>
          <w:kern w:val="36"/>
          <w14:ligatures w14:val="none"/>
        </w:rPr>
        <w:lastRenderedPageBreak/>
        <w:t>Bibliography</w:t>
      </w:r>
    </w:p>
    <w:p w14:paraId="1C408348"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Aristotle, </w:t>
      </w:r>
      <w:r w:rsidRPr="005D1F9F">
        <w:rPr>
          <w:rFonts w:ascii="Arial" w:hAnsi="Arial" w:cs="Arial"/>
          <w:i/>
          <w:iCs/>
          <w:kern w:val="0"/>
          <w14:ligatures w14:val="none"/>
        </w:rPr>
        <w:t>Nicomachean Ethics</w:t>
      </w:r>
      <w:r w:rsidRPr="005D1F9F">
        <w:rPr>
          <w:rFonts w:ascii="Arial" w:hAnsi="Arial" w:cs="Arial"/>
          <w:kern w:val="0"/>
          <w14:ligatures w14:val="none"/>
        </w:rPr>
        <w:t>, trans. by Roger Crisp (Cambridge: Cambridge University Press, 2000).</w:t>
      </w:r>
    </w:p>
    <w:p w14:paraId="71F91168"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Bentham, Jeremy, </w:t>
      </w:r>
      <w:r w:rsidRPr="005D1F9F">
        <w:rPr>
          <w:rFonts w:ascii="Arial" w:hAnsi="Arial" w:cs="Arial"/>
          <w:i/>
          <w:iCs/>
          <w:kern w:val="0"/>
          <w14:ligatures w14:val="none"/>
        </w:rPr>
        <w:t>A Fragment on Government</w:t>
      </w:r>
      <w:r w:rsidRPr="005D1F9F">
        <w:rPr>
          <w:rFonts w:ascii="Arial" w:hAnsi="Arial" w:cs="Arial"/>
          <w:kern w:val="0"/>
          <w14:ligatures w14:val="none"/>
        </w:rPr>
        <w:t xml:space="preserve"> (Cambridge: Cambridge University Press, 1988).</w:t>
      </w:r>
    </w:p>
    <w:p w14:paraId="7B1DC215"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Bentham, Jeremy, </w:t>
      </w:r>
      <w:r w:rsidRPr="005D1F9F">
        <w:rPr>
          <w:rFonts w:ascii="Arial" w:hAnsi="Arial" w:cs="Arial"/>
          <w:i/>
          <w:iCs/>
          <w:kern w:val="0"/>
          <w14:ligatures w14:val="none"/>
        </w:rPr>
        <w:t>An Introduction to the Principles of Morals and Legislation</w:t>
      </w:r>
      <w:r w:rsidRPr="005D1F9F">
        <w:rPr>
          <w:rFonts w:ascii="Arial" w:hAnsi="Arial" w:cs="Arial"/>
          <w:kern w:val="0"/>
          <w14:ligatures w14:val="none"/>
        </w:rPr>
        <w:t xml:space="preserve"> (Oxford: Clarendon Press, 1907).</w:t>
      </w:r>
    </w:p>
    <w:p w14:paraId="3FAB90D9"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Gilligan, Carol, </w:t>
      </w:r>
      <w:r w:rsidRPr="005D1F9F">
        <w:rPr>
          <w:rFonts w:ascii="Arial" w:hAnsi="Arial" w:cs="Arial"/>
          <w:i/>
          <w:iCs/>
          <w:kern w:val="0"/>
          <w14:ligatures w14:val="none"/>
        </w:rPr>
        <w:t>In a Different Voice</w:t>
      </w:r>
      <w:r w:rsidRPr="005D1F9F">
        <w:rPr>
          <w:rFonts w:ascii="Arial" w:hAnsi="Arial" w:cs="Arial"/>
          <w:kern w:val="0"/>
          <w14:ligatures w14:val="none"/>
        </w:rPr>
        <w:t xml:space="preserve"> (Cambridge, MA: Harvard University Press, 1982).</w:t>
      </w:r>
    </w:p>
    <w:p w14:paraId="33E099FE"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Hegel, G. W. F., </w:t>
      </w:r>
      <w:r w:rsidRPr="005D1F9F">
        <w:rPr>
          <w:rFonts w:ascii="Arial" w:hAnsi="Arial" w:cs="Arial"/>
          <w:i/>
          <w:iCs/>
          <w:kern w:val="0"/>
          <w14:ligatures w14:val="none"/>
        </w:rPr>
        <w:t>Philosophy of Right</w:t>
      </w:r>
      <w:r w:rsidRPr="005D1F9F">
        <w:rPr>
          <w:rFonts w:ascii="Arial" w:hAnsi="Arial" w:cs="Arial"/>
          <w:kern w:val="0"/>
          <w14:ligatures w14:val="none"/>
        </w:rPr>
        <w:t>, trans. by T. M. Knox (Oxford: Oxford University Press, 1967).</w:t>
      </w:r>
    </w:p>
    <w:p w14:paraId="4A8071DA"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Hursthouse, Rosalind, </w:t>
      </w:r>
      <w:r w:rsidRPr="005D1F9F">
        <w:rPr>
          <w:rFonts w:ascii="Arial" w:hAnsi="Arial" w:cs="Arial"/>
          <w:i/>
          <w:iCs/>
          <w:kern w:val="0"/>
          <w14:ligatures w14:val="none"/>
        </w:rPr>
        <w:t>On Virtue Ethics</w:t>
      </w:r>
      <w:r w:rsidRPr="005D1F9F">
        <w:rPr>
          <w:rFonts w:ascii="Arial" w:hAnsi="Arial" w:cs="Arial"/>
          <w:kern w:val="0"/>
          <w14:ligatures w14:val="none"/>
        </w:rPr>
        <w:t xml:space="preserve"> (Oxford: Oxford University Press, 1999).</w:t>
      </w:r>
    </w:p>
    <w:p w14:paraId="3C9C8419"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Kant, Immanuel, </w:t>
      </w:r>
      <w:r w:rsidRPr="005D1F9F">
        <w:rPr>
          <w:rFonts w:ascii="Arial" w:hAnsi="Arial" w:cs="Arial"/>
          <w:i/>
          <w:iCs/>
          <w:kern w:val="0"/>
          <w14:ligatures w14:val="none"/>
        </w:rPr>
        <w:t>Groundwork of the Metaphysics of Morals</w:t>
      </w:r>
      <w:r w:rsidRPr="005D1F9F">
        <w:rPr>
          <w:rFonts w:ascii="Arial" w:hAnsi="Arial" w:cs="Arial"/>
          <w:kern w:val="0"/>
          <w14:ligatures w14:val="none"/>
        </w:rPr>
        <w:t>, trans. by H. J. Paton (London: Hutchinson, 1948).</w:t>
      </w:r>
    </w:p>
    <w:p w14:paraId="5B848CFF"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MacIntyre, Alasdair, </w:t>
      </w:r>
      <w:r w:rsidRPr="005D1F9F">
        <w:rPr>
          <w:rFonts w:ascii="Arial" w:hAnsi="Arial" w:cs="Arial"/>
          <w:i/>
          <w:iCs/>
          <w:kern w:val="0"/>
          <w14:ligatures w14:val="none"/>
        </w:rPr>
        <w:t>After Virtue</w:t>
      </w:r>
      <w:r w:rsidRPr="005D1F9F">
        <w:rPr>
          <w:rFonts w:ascii="Arial" w:hAnsi="Arial" w:cs="Arial"/>
          <w:kern w:val="0"/>
          <w14:ligatures w14:val="none"/>
        </w:rPr>
        <w:t>, 3rd edn (Notre Dame: University of Notre Dame Press, 2007).</w:t>
      </w:r>
    </w:p>
    <w:p w14:paraId="0721EB48"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Mill, John Stuart, </w:t>
      </w:r>
      <w:r w:rsidRPr="005D1F9F">
        <w:rPr>
          <w:rFonts w:ascii="Arial" w:hAnsi="Arial" w:cs="Arial"/>
          <w:i/>
          <w:iCs/>
          <w:kern w:val="0"/>
          <w14:ligatures w14:val="none"/>
        </w:rPr>
        <w:t>Utilitarianism</w:t>
      </w:r>
      <w:r w:rsidRPr="005D1F9F">
        <w:rPr>
          <w:rFonts w:ascii="Arial" w:hAnsi="Arial" w:cs="Arial"/>
          <w:kern w:val="0"/>
          <w14:ligatures w14:val="none"/>
        </w:rPr>
        <w:t xml:space="preserve"> (London: Parker, Son, and Bourn, 1863).</w:t>
      </w:r>
    </w:p>
    <w:p w14:paraId="3B4BD810"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Nagel, Thomas, ‘Moral Luck’, in </w:t>
      </w:r>
      <w:r w:rsidRPr="005D1F9F">
        <w:rPr>
          <w:rFonts w:ascii="Arial" w:hAnsi="Arial" w:cs="Arial"/>
          <w:i/>
          <w:iCs/>
          <w:kern w:val="0"/>
          <w14:ligatures w14:val="none"/>
        </w:rPr>
        <w:t>Mortal Questions</w:t>
      </w:r>
      <w:r w:rsidRPr="005D1F9F">
        <w:rPr>
          <w:rFonts w:ascii="Arial" w:hAnsi="Arial" w:cs="Arial"/>
          <w:kern w:val="0"/>
          <w14:ligatures w14:val="none"/>
        </w:rPr>
        <w:t xml:space="preserve"> (Cambridge: Cambridge University Press, 1979), pp. 24–38.</w:t>
      </w:r>
    </w:p>
    <w:p w14:paraId="67ACAC69"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Nozick, Robert, </w:t>
      </w:r>
      <w:r w:rsidRPr="005D1F9F">
        <w:rPr>
          <w:rFonts w:ascii="Arial" w:hAnsi="Arial" w:cs="Arial"/>
          <w:i/>
          <w:iCs/>
          <w:kern w:val="0"/>
          <w14:ligatures w14:val="none"/>
        </w:rPr>
        <w:t>Anarchy, State, and Utopia</w:t>
      </w:r>
      <w:r w:rsidRPr="005D1F9F">
        <w:rPr>
          <w:rFonts w:ascii="Arial" w:hAnsi="Arial" w:cs="Arial"/>
          <w:kern w:val="0"/>
          <w14:ligatures w14:val="none"/>
        </w:rPr>
        <w:t xml:space="preserve"> (New York: Basic Books, 1974).</w:t>
      </w:r>
    </w:p>
    <w:p w14:paraId="665F26BD"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Ross, W. D., </w:t>
      </w:r>
      <w:r w:rsidRPr="005D1F9F">
        <w:rPr>
          <w:rFonts w:ascii="Arial" w:hAnsi="Arial" w:cs="Arial"/>
          <w:i/>
          <w:iCs/>
          <w:kern w:val="0"/>
          <w14:ligatures w14:val="none"/>
        </w:rPr>
        <w:t>The Right and the Good</w:t>
      </w:r>
      <w:r w:rsidRPr="005D1F9F">
        <w:rPr>
          <w:rFonts w:ascii="Arial" w:hAnsi="Arial" w:cs="Arial"/>
          <w:kern w:val="0"/>
          <w14:ligatures w14:val="none"/>
        </w:rPr>
        <w:t xml:space="preserve"> (Oxford: Clarendon Press, 1930).</w:t>
      </w:r>
    </w:p>
    <w:p w14:paraId="6B5DFE65"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Sandel, Michael, </w:t>
      </w:r>
      <w:r w:rsidRPr="005D1F9F">
        <w:rPr>
          <w:rFonts w:ascii="Arial" w:hAnsi="Arial" w:cs="Arial"/>
          <w:i/>
          <w:iCs/>
          <w:kern w:val="0"/>
          <w14:ligatures w14:val="none"/>
        </w:rPr>
        <w:t>Justice: What’s the Right Thing to Do?</w:t>
      </w:r>
      <w:r w:rsidRPr="005D1F9F">
        <w:rPr>
          <w:rFonts w:ascii="Arial" w:hAnsi="Arial" w:cs="Arial"/>
          <w:kern w:val="0"/>
          <w14:ligatures w14:val="none"/>
        </w:rPr>
        <w:t xml:space="preserve"> (London: Penguin, 2009).</w:t>
      </w:r>
    </w:p>
    <w:p w14:paraId="0FF54B73"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Scheffler, Samuel, </w:t>
      </w:r>
      <w:r w:rsidRPr="005D1F9F">
        <w:rPr>
          <w:rFonts w:ascii="Arial" w:hAnsi="Arial" w:cs="Arial"/>
          <w:i/>
          <w:iCs/>
          <w:kern w:val="0"/>
          <w14:ligatures w14:val="none"/>
        </w:rPr>
        <w:t>The Rejection of Consequentialism</w:t>
      </w:r>
      <w:r w:rsidRPr="005D1F9F">
        <w:rPr>
          <w:rFonts w:ascii="Arial" w:hAnsi="Arial" w:cs="Arial"/>
          <w:kern w:val="0"/>
          <w14:ligatures w14:val="none"/>
        </w:rPr>
        <w:t xml:space="preserve"> (Oxford: Oxford University Press, 1994).</w:t>
      </w:r>
    </w:p>
    <w:p w14:paraId="505C3DB0"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Williams, Bernard, </w:t>
      </w:r>
      <w:r w:rsidRPr="005D1F9F">
        <w:rPr>
          <w:rFonts w:ascii="Arial" w:hAnsi="Arial" w:cs="Arial"/>
          <w:i/>
          <w:iCs/>
          <w:kern w:val="0"/>
          <w14:ligatures w14:val="none"/>
        </w:rPr>
        <w:t>Moral Luck</w:t>
      </w:r>
      <w:r w:rsidRPr="005D1F9F">
        <w:rPr>
          <w:rFonts w:ascii="Arial" w:hAnsi="Arial" w:cs="Arial"/>
          <w:kern w:val="0"/>
          <w14:ligatures w14:val="none"/>
        </w:rPr>
        <w:t xml:space="preserve"> (Cambridge: Cambridge University Press, 1981).</w:t>
      </w:r>
    </w:p>
    <w:p w14:paraId="7DB76AA4" w14:textId="77777777" w:rsidR="005D1F9F" w:rsidRPr="005D1F9F" w:rsidRDefault="005D1F9F" w:rsidP="00F16BBF">
      <w:pPr>
        <w:spacing w:before="100" w:beforeAutospacing="1" w:after="100" w:afterAutospacing="1" w:line="240" w:lineRule="auto"/>
        <w:ind w:left="720" w:hanging="720"/>
        <w:rPr>
          <w:rFonts w:ascii="Arial" w:hAnsi="Arial" w:cs="Arial"/>
          <w:kern w:val="0"/>
          <w14:ligatures w14:val="none"/>
        </w:rPr>
      </w:pPr>
      <w:r w:rsidRPr="005D1F9F">
        <w:rPr>
          <w:rFonts w:ascii="Arial" w:hAnsi="Arial" w:cs="Arial"/>
          <w:kern w:val="0"/>
          <w14:ligatures w14:val="none"/>
        </w:rPr>
        <w:t xml:space="preserve">Williams, Bernard, </w:t>
      </w:r>
      <w:r w:rsidRPr="005D1F9F">
        <w:rPr>
          <w:rFonts w:ascii="Arial" w:hAnsi="Arial" w:cs="Arial"/>
          <w:i/>
          <w:iCs/>
          <w:kern w:val="0"/>
          <w14:ligatures w14:val="none"/>
        </w:rPr>
        <w:t>Morality: An Introduction to Ethics</w:t>
      </w:r>
      <w:r w:rsidRPr="005D1F9F">
        <w:rPr>
          <w:rFonts w:ascii="Arial" w:hAnsi="Arial" w:cs="Arial"/>
          <w:kern w:val="0"/>
          <w14:ligatures w14:val="none"/>
        </w:rPr>
        <w:t xml:space="preserve"> (Cambridge: Cambridge University Press, 1972).</w:t>
      </w:r>
    </w:p>
    <w:p w14:paraId="59EED96A" w14:textId="77777777" w:rsidR="005D1F9F" w:rsidRPr="007731CF" w:rsidRDefault="005D1F9F" w:rsidP="007731CF">
      <w:pPr>
        <w:spacing w:before="100" w:beforeAutospacing="1" w:after="100" w:afterAutospacing="1" w:line="240" w:lineRule="auto"/>
        <w:rPr>
          <w:rFonts w:ascii="Arial" w:hAnsi="Arial" w:cs="Arial"/>
          <w:kern w:val="0"/>
          <w14:ligatures w14:val="none"/>
        </w:rPr>
      </w:pPr>
    </w:p>
    <w:sectPr w:rsidR="005D1F9F" w:rsidRPr="007731CF">
      <w:headerReference w:type="even" r:id="rId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139C18" w14:textId="77777777" w:rsidR="00192050" w:rsidRDefault="00192050" w:rsidP="001F5ADD">
      <w:pPr>
        <w:spacing w:after="0" w:line="240" w:lineRule="auto"/>
      </w:pPr>
      <w:r>
        <w:separator/>
      </w:r>
    </w:p>
  </w:endnote>
  <w:endnote w:type="continuationSeparator" w:id="0">
    <w:p w14:paraId="0E8B9FD2" w14:textId="77777777" w:rsidR="00192050" w:rsidRDefault="00192050" w:rsidP="001F5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4645E" w14:textId="4E831A1E" w:rsidR="001F5ADD" w:rsidRDefault="001F5ADD">
    <w:pPr>
      <w:pStyle w:val="Footer"/>
    </w:pPr>
    <w:r w:rsidRPr="001F5ADD">
      <w:rPr>
        <w:rFonts w:ascii="Arial" w:hAnsi="Arial" w:cs="Arial"/>
        <w:b/>
        <w:bCs/>
        <w:kern w:val="0"/>
        <w14:ligatures w14:val="none"/>
      </w:rPr>
      <w:t>Introduction to Ethics (HPPH4902)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438DCE" w14:textId="77777777" w:rsidR="00192050" w:rsidRDefault="00192050" w:rsidP="001F5ADD">
      <w:pPr>
        <w:spacing w:after="0" w:line="240" w:lineRule="auto"/>
      </w:pPr>
      <w:r>
        <w:separator/>
      </w:r>
    </w:p>
  </w:footnote>
  <w:footnote w:type="continuationSeparator" w:id="0">
    <w:p w14:paraId="47CDCE38" w14:textId="77777777" w:rsidR="00192050" w:rsidRDefault="00192050" w:rsidP="001F5ADD">
      <w:pPr>
        <w:spacing w:after="0" w:line="240" w:lineRule="auto"/>
      </w:pPr>
      <w:r>
        <w:continuationSeparator/>
      </w:r>
    </w:p>
  </w:footnote>
  <w:footnote w:id="1">
    <w:p w14:paraId="5B2B4791" w14:textId="09B695BC" w:rsidR="004B2F19" w:rsidRPr="00407280" w:rsidRDefault="004B2F19" w:rsidP="0079316D">
      <w:pPr>
        <w:spacing w:before="100" w:beforeAutospacing="1" w:after="100" w:afterAutospacing="1" w:line="240" w:lineRule="auto"/>
        <w:rPr>
          <w:rFonts w:ascii="Arial" w:eastAsia="Times New Roman" w:hAnsi="Arial" w:cs="Arial"/>
          <w:kern w:val="0"/>
          <w14:ligatures w14:val="none"/>
        </w:rPr>
      </w:pPr>
      <w:r w:rsidRPr="00407280">
        <w:rPr>
          <w:rStyle w:val="FootnoteReference"/>
          <w:rFonts w:ascii="Arial" w:hAnsi="Arial" w:cs="Arial"/>
        </w:rPr>
        <w:footnoteRef/>
      </w:r>
      <w:r w:rsidRPr="00407280">
        <w:rPr>
          <w:rFonts w:ascii="Arial" w:hAnsi="Arial" w:cs="Arial"/>
        </w:rPr>
        <w:t xml:space="preserve"> </w:t>
      </w:r>
      <w:r w:rsidRPr="00407280">
        <w:rPr>
          <w:rFonts w:ascii="Arial" w:eastAsia="Times New Roman" w:hAnsi="Arial" w:cs="Arial"/>
          <w:kern w:val="0"/>
          <w14:ligatures w14:val="none"/>
        </w:rPr>
        <w:t xml:space="preserve">Jeremy Bentham, </w:t>
      </w:r>
      <w:r w:rsidRPr="00407280">
        <w:rPr>
          <w:rFonts w:ascii="Arial" w:eastAsia="Times New Roman" w:hAnsi="Arial" w:cs="Arial"/>
          <w:i/>
          <w:iCs/>
          <w:kern w:val="0"/>
          <w14:ligatures w14:val="none"/>
        </w:rPr>
        <w:t>An Introduction to the Principles of Morals and Legislation</w:t>
      </w:r>
      <w:r w:rsidRPr="00407280">
        <w:rPr>
          <w:rFonts w:ascii="Arial" w:eastAsia="Times New Roman" w:hAnsi="Arial" w:cs="Arial"/>
          <w:kern w:val="0"/>
          <w14:ligatures w14:val="none"/>
        </w:rPr>
        <w:t xml:space="preserve"> (Oxford: Clarendon Press, 1907), p. 1.</w:t>
      </w:r>
    </w:p>
  </w:footnote>
  <w:footnote w:id="2">
    <w:p w14:paraId="0FE259AA" w14:textId="5A352E6B" w:rsidR="0035483B" w:rsidRPr="00407280" w:rsidRDefault="0035483B" w:rsidP="0079316D">
      <w:pPr>
        <w:spacing w:before="100" w:beforeAutospacing="1" w:after="100" w:afterAutospacing="1" w:line="240" w:lineRule="auto"/>
        <w:rPr>
          <w:rFonts w:ascii="Arial" w:eastAsia="Times New Roman" w:hAnsi="Arial" w:cs="Arial"/>
          <w:kern w:val="0"/>
          <w14:ligatures w14:val="none"/>
        </w:rPr>
      </w:pPr>
      <w:r w:rsidRPr="00407280">
        <w:rPr>
          <w:rStyle w:val="FootnoteReference"/>
          <w:rFonts w:ascii="Arial" w:hAnsi="Arial" w:cs="Arial"/>
        </w:rPr>
        <w:footnoteRef/>
      </w:r>
      <w:r w:rsidRPr="00407280">
        <w:rPr>
          <w:rFonts w:ascii="Arial" w:hAnsi="Arial" w:cs="Arial"/>
        </w:rPr>
        <w:t xml:space="preserve"> </w:t>
      </w:r>
      <w:r w:rsidRPr="00407280">
        <w:rPr>
          <w:rFonts w:ascii="Arial" w:eastAsia="Times New Roman" w:hAnsi="Arial" w:cs="Arial"/>
          <w:kern w:val="0"/>
          <w14:ligatures w14:val="none"/>
        </w:rPr>
        <w:t>Bentham, p. 2.</w:t>
      </w:r>
    </w:p>
  </w:footnote>
  <w:footnote w:id="3">
    <w:p w14:paraId="52093850" w14:textId="3A260D7C" w:rsidR="00AF69E4" w:rsidRPr="00407280" w:rsidRDefault="00AF69E4" w:rsidP="0079316D">
      <w:pPr>
        <w:spacing w:before="100" w:beforeAutospacing="1" w:after="100" w:afterAutospacing="1" w:line="240" w:lineRule="auto"/>
        <w:rPr>
          <w:rFonts w:ascii="Arial" w:eastAsia="Times New Roman" w:hAnsi="Arial" w:cs="Arial"/>
          <w:kern w:val="0"/>
          <w14:ligatures w14:val="none"/>
        </w:rPr>
      </w:pPr>
      <w:r w:rsidRPr="00407280">
        <w:rPr>
          <w:rStyle w:val="FootnoteReference"/>
          <w:rFonts w:ascii="Arial" w:hAnsi="Arial" w:cs="Arial"/>
        </w:rPr>
        <w:footnoteRef/>
      </w:r>
      <w:r w:rsidRPr="00407280">
        <w:rPr>
          <w:rFonts w:ascii="Arial" w:hAnsi="Arial" w:cs="Arial"/>
        </w:rPr>
        <w:t xml:space="preserve"> </w:t>
      </w:r>
      <w:r w:rsidRPr="00407280">
        <w:rPr>
          <w:rFonts w:ascii="Arial" w:eastAsia="Times New Roman" w:hAnsi="Arial" w:cs="Arial"/>
          <w:kern w:val="0"/>
          <w14:ligatures w14:val="none"/>
        </w:rPr>
        <w:t xml:space="preserve">Jeremy Bentham, </w:t>
      </w:r>
      <w:r w:rsidRPr="00407280">
        <w:rPr>
          <w:rFonts w:ascii="Arial" w:eastAsia="Times New Roman" w:hAnsi="Arial" w:cs="Arial"/>
          <w:i/>
          <w:iCs/>
          <w:kern w:val="0"/>
          <w14:ligatures w14:val="none"/>
        </w:rPr>
        <w:t>A Fragment on Government</w:t>
      </w:r>
      <w:r w:rsidRPr="00407280">
        <w:rPr>
          <w:rFonts w:ascii="Arial" w:eastAsia="Times New Roman" w:hAnsi="Arial" w:cs="Arial"/>
          <w:kern w:val="0"/>
          <w14:ligatures w14:val="none"/>
        </w:rPr>
        <w:t xml:space="preserve"> (Cambridge: Cambridge University Press, 1988), p. 393.</w:t>
      </w:r>
    </w:p>
  </w:footnote>
  <w:footnote w:id="4">
    <w:p w14:paraId="28E98E76" w14:textId="5EE2FC89" w:rsidR="00AF69E4" w:rsidRPr="00407280" w:rsidRDefault="00AF69E4" w:rsidP="0059055C">
      <w:pPr>
        <w:spacing w:before="100" w:beforeAutospacing="1" w:after="100" w:afterAutospacing="1" w:line="240" w:lineRule="auto"/>
        <w:rPr>
          <w:rFonts w:ascii="Arial" w:eastAsia="Times New Roman" w:hAnsi="Arial" w:cs="Arial"/>
          <w:kern w:val="0"/>
          <w14:ligatures w14:val="none"/>
        </w:rPr>
      </w:pPr>
      <w:r w:rsidRPr="00407280">
        <w:rPr>
          <w:rStyle w:val="FootnoteReference"/>
          <w:rFonts w:ascii="Arial" w:hAnsi="Arial" w:cs="Arial"/>
        </w:rPr>
        <w:footnoteRef/>
      </w:r>
      <w:r w:rsidRPr="00407280">
        <w:rPr>
          <w:rFonts w:ascii="Arial" w:hAnsi="Arial" w:cs="Arial"/>
        </w:rPr>
        <w:t xml:space="preserve"> </w:t>
      </w:r>
      <w:r w:rsidRPr="00407280">
        <w:rPr>
          <w:rFonts w:ascii="Arial" w:eastAsia="Times New Roman" w:hAnsi="Arial" w:cs="Arial"/>
          <w:kern w:val="0"/>
          <w14:ligatures w14:val="none"/>
        </w:rPr>
        <w:t xml:space="preserve">John Stuart Mill, </w:t>
      </w:r>
      <w:r w:rsidRPr="00407280">
        <w:rPr>
          <w:rFonts w:ascii="Arial" w:eastAsia="Times New Roman" w:hAnsi="Arial" w:cs="Arial"/>
          <w:i/>
          <w:iCs/>
          <w:kern w:val="0"/>
          <w14:ligatures w14:val="none"/>
        </w:rPr>
        <w:t>Utilitarianism</w:t>
      </w:r>
      <w:r w:rsidRPr="00407280">
        <w:rPr>
          <w:rFonts w:ascii="Arial" w:eastAsia="Times New Roman" w:hAnsi="Arial" w:cs="Arial"/>
          <w:kern w:val="0"/>
          <w14:ligatures w14:val="none"/>
        </w:rPr>
        <w:t xml:space="preserve"> (London: Parker, Son, and Bourn, 1863), p. 9.</w:t>
      </w:r>
    </w:p>
  </w:footnote>
  <w:footnote w:id="5">
    <w:p w14:paraId="014B38E3" w14:textId="44B22FA9" w:rsidR="00AF69E4" w:rsidRPr="00407280" w:rsidRDefault="00AF69E4" w:rsidP="0079316D">
      <w:pPr>
        <w:spacing w:before="100" w:beforeAutospacing="1" w:after="100" w:afterAutospacing="1" w:line="240" w:lineRule="auto"/>
        <w:rPr>
          <w:rFonts w:ascii="Arial" w:eastAsia="Times New Roman" w:hAnsi="Arial" w:cs="Arial"/>
          <w:kern w:val="0"/>
          <w14:ligatures w14:val="none"/>
        </w:rPr>
      </w:pPr>
      <w:r w:rsidRPr="00407280">
        <w:rPr>
          <w:rStyle w:val="FootnoteReference"/>
          <w:rFonts w:ascii="Arial" w:hAnsi="Arial" w:cs="Arial"/>
        </w:rPr>
        <w:footnoteRef/>
      </w:r>
      <w:r w:rsidRPr="00407280">
        <w:rPr>
          <w:rFonts w:ascii="Arial" w:hAnsi="Arial" w:cs="Arial"/>
        </w:rPr>
        <w:t xml:space="preserve"> </w:t>
      </w:r>
      <w:r w:rsidRPr="00407280">
        <w:rPr>
          <w:rFonts w:ascii="Arial" w:eastAsia="Times New Roman" w:hAnsi="Arial" w:cs="Arial"/>
          <w:kern w:val="0"/>
          <w14:ligatures w14:val="none"/>
        </w:rPr>
        <w:t>Mill, p. 17.</w:t>
      </w:r>
    </w:p>
  </w:footnote>
  <w:footnote w:id="6">
    <w:p w14:paraId="40E81F5A" w14:textId="031865BF" w:rsidR="00D13AF0" w:rsidRPr="00407280" w:rsidRDefault="00D13AF0" w:rsidP="0079316D">
      <w:pPr>
        <w:spacing w:before="100" w:beforeAutospacing="1" w:after="100" w:afterAutospacing="1" w:line="240" w:lineRule="auto"/>
        <w:rPr>
          <w:rFonts w:ascii="Arial" w:eastAsia="Times New Roman" w:hAnsi="Arial" w:cs="Arial"/>
          <w:kern w:val="0"/>
          <w14:ligatures w14:val="none"/>
        </w:rPr>
      </w:pPr>
      <w:r w:rsidRPr="00407280">
        <w:rPr>
          <w:rStyle w:val="FootnoteReference"/>
          <w:rFonts w:ascii="Arial" w:hAnsi="Arial" w:cs="Arial"/>
        </w:rPr>
        <w:footnoteRef/>
      </w:r>
      <w:r w:rsidRPr="00407280">
        <w:rPr>
          <w:rFonts w:ascii="Arial" w:hAnsi="Arial" w:cs="Arial"/>
        </w:rPr>
        <w:t xml:space="preserve"> </w:t>
      </w:r>
      <w:r w:rsidRPr="00407280">
        <w:rPr>
          <w:rFonts w:ascii="Arial" w:eastAsia="Times New Roman" w:hAnsi="Arial" w:cs="Arial"/>
          <w:kern w:val="0"/>
          <w14:ligatures w14:val="none"/>
        </w:rPr>
        <w:t xml:space="preserve">Bernard Williams, </w:t>
      </w:r>
      <w:r w:rsidRPr="00407280">
        <w:rPr>
          <w:rFonts w:ascii="Arial" w:eastAsia="Times New Roman" w:hAnsi="Arial" w:cs="Arial"/>
          <w:i/>
          <w:iCs/>
          <w:kern w:val="0"/>
          <w14:ligatures w14:val="none"/>
        </w:rPr>
        <w:t>Morality: An Introduction to Ethics</w:t>
      </w:r>
      <w:r w:rsidRPr="00407280">
        <w:rPr>
          <w:rFonts w:ascii="Arial" w:eastAsia="Times New Roman" w:hAnsi="Arial" w:cs="Arial"/>
          <w:kern w:val="0"/>
          <w14:ligatures w14:val="none"/>
        </w:rPr>
        <w:t xml:space="preserve"> (Cambridge: Cambridge University Press, 1972), p. 108.</w:t>
      </w:r>
    </w:p>
  </w:footnote>
  <w:footnote w:id="7">
    <w:p w14:paraId="7C271A54" w14:textId="17530E0F" w:rsidR="00D13AF0" w:rsidRPr="00407280" w:rsidRDefault="00D13AF0" w:rsidP="0079316D">
      <w:pPr>
        <w:spacing w:before="100" w:beforeAutospacing="1" w:after="100" w:afterAutospacing="1" w:line="240" w:lineRule="auto"/>
        <w:rPr>
          <w:rFonts w:ascii="Arial" w:eastAsia="Times New Roman" w:hAnsi="Arial" w:cs="Arial"/>
          <w:kern w:val="0"/>
          <w14:ligatures w14:val="none"/>
        </w:rPr>
      </w:pPr>
      <w:r w:rsidRPr="00407280">
        <w:rPr>
          <w:rStyle w:val="FootnoteReference"/>
          <w:rFonts w:ascii="Arial" w:hAnsi="Arial" w:cs="Arial"/>
        </w:rPr>
        <w:footnoteRef/>
      </w:r>
      <w:r w:rsidRPr="00407280">
        <w:rPr>
          <w:rFonts w:ascii="Arial" w:hAnsi="Arial" w:cs="Arial"/>
        </w:rPr>
        <w:t xml:space="preserve"> </w:t>
      </w:r>
      <w:r w:rsidRPr="00407280">
        <w:rPr>
          <w:rFonts w:ascii="Arial" w:eastAsia="Times New Roman" w:hAnsi="Arial" w:cs="Arial"/>
          <w:kern w:val="0"/>
          <w14:ligatures w14:val="none"/>
        </w:rPr>
        <w:t xml:space="preserve">Robert Nozick, </w:t>
      </w:r>
      <w:r w:rsidRPr="00407280">
        <w:rPr>
          <w:rFonts w:ascii="Arial" w:eastAsia="Times New Roman" w:hAnsi="Arial" w:cs="Arial"/>
          <w:i/>
          <w:iCs/>
          <w:kern w:val="0"/>
          <w14:ligatures w14:val="none"/>
        </w:rPr>
        <w:t>Anarchy, State, and Utopia</w:t>
      </w:r>
      <w:r w:rsidRPr="00407280">
        <w:rPr>
          <w:rFonts w:ascii="Arial" w:eastAsia="Times New Roman" w:hAnsi="Arial" w:cs="Arial"/>
          <w:kern w:val="0"/>
          <w14:ligatures w14:val="none"/>
        </w:rPr>
        <w:t xml:space="preserve"> (New York: Basic Books, 1974), p. 41.</w:t>
      </w:r>
    </w:p>
  </w:footnote>
  <w:footnote w:id="8">
    <w:p w14:paraId="2EE827FF" w14:textId="33E91A6D" w:rsidR="00966AAC" w:rsidRPr="00407280" w:rsidRDefault="00966AAC" w:rsidP="0079316D">
      <w:pPr>
        <w:spacing w:before="100" w:beforeAutospacing="1" w:after="100" w:afterAutospacing="1" w:line="240" w:lineRule="auto"/>
        <w:rPr>
          <w:rFonts w:ascii="Arial" w:eastAsia="Times New Roman" w:hAnsi="Arial" w:cs="Arial"/>
          <w:kern w:val="0"/>
          <w14:ligatures w14:val="none"/>
        </w:rPr>
      </w:pPr>
      <w:r w:rsidRPr="00407280">
        <w:rPr>
          <w:rStyle w:val="FootnoteReference"/>
          <w:rFonts w:ascii="Arial" w:hAnsi="Arial" w:cs="Arial"/>
        </w:rPr>
        <w:footnoteRef/>
      </w:r>
      <w:r w:rsidRPr="00407280">
        <w:rPr>
          <w:rFonts w:ascii="Arial" w:hAnsi="Arial" w:cs="Arial"/>
        </w:rPr>
        <w:t xml:space="preserve"> </w:t>
      </w:r>
      <w:r w:rsidRPr="00407280">
        <w:rPr>
          <w:rFonts w:ascii="Arial" w:eastAsia="Times New Roman" w:hAnsi="Arial" w:cs="Arial"/>
          <w:kern w:val="0"/>
          <w14:ligatures w14:val="none"/>
        </w:rPr>
        <w:t xml:space="preserve">Alasdair MacIntyre, </w:t>
      </w:r>
      <w:r w:rsidRPr="00407280">
        <w:rPr>
          <w:rFonts w:ascii="Arial" w:eastAsia="Times New Roman" w:hAnsi="Arial" w:cs="Arial"/>
          <w:i/>
          <w:iCs/>
          <w:kern w:val="0"/>
          <w14:ligatures w14:val="none"/>
        </w:rPr>
        <w:t>After Virtue</w:t>
      </w:r>
      <w:r w:rsidRPr="00407280">
        <w:rPr>
          <w:rFonts w:ascii="Arial" w:eastAsia="Times New Roman" w:hAnsi="Arial" w:cs="Arial"/>
          <w:kern w:val="0"/>
          <w14:ligatures w14:val="none"/>
        </w:rPr>
        <w:t>, 3rd edn (Notre Dame: University of Notre Dame Press, 2007), p. 6.</w:t>
      </w:r>
    </w:p>
  </w:footnote>
  <w:footnote w:id="9">
    <w:p w14:paraId="7493A55C" w14:textId="2060C467" w:rsidR="00966AAC" w:rsidRPr="00407280" w:rsidRDefault="00966AAC" w:rsidP="0079316D">
      <w:pPr>
        <w:spacing w:before="100" w:beforeAutospacing="1" w:after="100" w:afterAutospacing="1" w:line="240" w:lineRule="auto"/>
        <w:rPr>
          <w:rFonts w:ascii="Arial" w:eastAsia="Times New Roman" w:hAnsi="Arial" w:cs="Arial"/>
          <w:kern w:val="0"/>
          <w14:ligatures w14:val="none"/>
        </w:rPr>
      </w:pPr>
      <w:r w:rsidRPr="00407280">
        <w:rPr>
          <w:rStyle w:val="FootnoteReference"/>
          <w:rFonts w:ascii="Arial" w:hAnsi="Arial" w:cs="Arial"/>
        </w:rPr>
        <w:footnoteRef/>
      </w:r>
      <w:r w:rsidRPr="00407280">
        <w:rPr>
          <w:rFonts w:ascii="Arial" w:hAnsi="Arial" w:cs="Arial"/>
        </w:rPr>
        <w:t xml:space="preserve"> </w:t>
      </w:r>
      <w:r w:rsidRPr="00407280">
        <w:rPr>
          <w:rFonts w:ascii="Arial" w:eastAsia="Times New Roman" w:hAnsi="Arial" w:cs="Arial"/>
          <w:kern w:val="0"/>
          <w14:ligatures w14:val="none"/>
        </w:rPr>
        <w:t xml:space="preserve">Immanuel Kant, </w:t>
      </w:r>
      <w:r w:rsidRPr="00407280">
        <w:rPr>
          <w:rFonts w:ascii="Arial" w:eastAsia="Times New Roman" w:hAnsi="Arial" w:cs="Arial"/>
          <w:i/>
          <w:iCs/>
          <w:kern w:val="0"/>
          <w14:ligatures w14:val="none"/>
        </w:rPr>
        <w:t>Groundwork of the Metaphysics of Morals</w:t>
      </w:r>
      <w:r w:rsidRPr="00407280">
        <w:rPr>
          <w:rFonts w:ascii="Arial" w:eastAsia="Times New Roman" w:hAnsi="Arial" w:cs="Arial"/>
          <w:kern w:val="0"/>
          <w14:ligatures w14:val="none"/>
        </w:rPr>
        <w:t>, trans. by H. J. Paton (London: Hutchinson, 1948), p. 11.</w:t>
      </w:r>
    </w:p>
  </w:footnote>
  <w:footnote w:id="10">
    <w:p w14:paraId="089DDE81" w14:textId="2EFA1724" w:rsidR="00AB6142" w:rsidRPr="00B65B4F" w:rsidRDefault="00AB6142" w:rsidP="00B65B4F">
      <w:pPr>
        <w:spacing w:before="100" w:beforeAutospacing="1" w:after="100" w:afterAutospacing="1" w:line="240" w:lineRule="auto"/>
        <w:rPr>
          <w:rFonts w:ascii="Arial" w:eastAsia="Times New Roman" w:hAnsi="Arial" w:cs="Arial"/>
          <w:kern w:val="0"/>
          <w14:ligatures w14:val="none"/>
        </w:rPr>
      </w:pPr>
      <w:r w:rsidRPr="00B65B4F">
        <w:rPr>
          <w:rStyle w:val="FootnoteReference"/>
          <w:rFonts w:ascii="Arial" w:hAnsi="Arial" w:cs="Arial"/>
        </w:rPr>
        <w:footnoteRef/>
      </w:r>
      <w:r w:rsidRPr="00B65B4F">
        <w:rPr>
          <w:rFonts w:ascii="Arial" w:hAnsi="Arial" w:cs="Arial"/>
        </w:rPr>
        <w:t xml:space="preserve"> </w:t>
      </w:r>
      <w:r w:rsidRPr="00B65B4F">
        <w:rPr>
          <w:rFonts w:ascii="Arial" w:eastAsia="Times New Roman" w:hAnsi="Arial" w:cs="Arial"/>
          <w:kern w:val="0"/>
          <w14:ligatures w14:val="none"/>
        </w:rPr>
        <w:t>Kant, p. 88.</w:t>
      </w:r>
    </w:p>
  </w:footnote>
  <w:footnote w:id="11">
    <w:p w14:paraId="416CC905" w14:textId="4893C679" w:rsidR="00AB6142" w:rsidRPr="00B65B4F" w:rsidRDefault="00AB6142" w:rsidP="00B65B4F">
      <w:pPr>
        <w:spacing w:before="100" w:beforeAutospacing="1" w:after="100" w:afterAutospacing="1" w:line="240" w:lineRule="auto"/>
        <w:rPr>
          <w:rFonts w:ascii="Arial" w:eastAsia="Times New Roman" w:hAnsi="Arial" w:cs="Arial"/>
          <w:kern w:val="0"/>
          <w14:ligatures w14:val="none"/>
        </w:rPr>
      </w:pPr>
      <w:r w:rsidRPr="00B65B4F">
        <w:rPr>
          <w:rStyle w:val="FootnoteReference"/>
          <w:rFonts w:ascii="Arial" w:hAnsi="Arial" w:cs="Arial"/>
        </w:rPr>
        <w:footnoteRef/>
      </w:r>
      <w:r w:rsidRPr="00B65B4F">
        <w:rPr>
          <w:rFonts w:ascii="Arial" w:hAnsi="Arial" w:cs="Arial"/>
        </w:rPr>
        <w:t xml:space="preserve"> </w:t>
      </w:r>
      <w:r w:rsidRPr="00B65B4F">
        <w:rPr>
          <w:rFonts w:ascii="Arial" w:eastAsia="Times New Roman" w:hAnsi="Arial" w:cs="Arial"/>
          <w:kern w:val="0"/>
          <w14:ligatures w14:val="none"/>
        </w:rPr>
        <w:t xml:space="preserve">G. W. F. Hegel, </w:t>
      </w:r>
      <w:r w:rsidRPr="00B65B4F">
        <w:rPr>
          <w:rFonts w:ascii="Arial" w:eastAsia="Times New Roman" w:hAnsi="Arial" w:cs="Arial"/>
          <w:i/>
          <w:iCs/>
          <w:kern w:val="0"/>
          <w14:ligatures w14:val="none"/>
        </w:rPr>
        <w:t>Philosophy of Right</w:t>
      </w:r>
      <w:r w:rsidRPr="00B65B4F">
        <w:rPr>
          <w:rFonts w:ascii="Arial" w:eastAsia="Times New Roman" w:hAnsi="Arial" w:cs="Arial"/>
          <w:kern w:val="0"/>
          <w14:ligatures w14:val="none"/>
        </w:rPr>
        <w:t>, trans. by T. M. Knox (Oxford: Oxford University Press, 1967), p. 37.</w:t>
      </w:r>
    </w:p>
  </w:footnote>
  <w:footnote w:id="12">
    <w:p w14:paraId="75C195C6" w14:textId="1F58A537" w:rsidR="00BB1C9E" w:rsidRPr="00B65B4F" w:rsidRDefault="00BB1C9E" w:rsidP="00B65B4F">
      <w:pPr>
        <w:spacing w:before="100" w:beforeAutospacing="1" w:after="100" w:afterAutospacing="1" w:line="240" w:lineRule="auto"/>
        <w:rPr>
          <w:rFonts w:ascii="Arial" w:eastAsia="Times New Roman" w:hAnsi="Arial" w:cs="Arial"/>
          <w:kern w:val="0"/>
          <w14:ligatures w14:val="none"/>
        </w:rPr>
      </w:pPr>
      <w:r w:rsidRPr="00B65B4F">
        <w:rPr>
          <w:rStyle w:val="FootnoteReference"/>
          <w:rFonts w:ascii="Arial" w:hAnsi="Arial" w:cs="Arial"/>
        </w:rPr>
        <w:footnoteRef/>
      </w:r>
      <w:r w:rsidRPr="00B65B4F">
        <w:rPr>
          <w:rFonts w:ascii="Arial" w:hAnsi="Arial" w:cs="Arial"/>
        </w:rPr>
        <w:t xml:space="preserve"> </w:t>
      </w:r>
      <w:r w:rsidRPr="00B65B4F">
        <w:rPr>
          <w:rFonts w:ascii="Arial" w:eastAsia="Times New Roman" w:hAnsi="Arial" w:cs="Arial"/>
          <w:kern w:val="0"/>
          <w14:ligatures w14:val="none"/>
        </w:rPr>
        <w:t xml:space="preserve">Aristotle, </w:t>
      </w:r>
      <w:r w:rsidRPr="00B65B4F">
        <w:rPr>
          <w:rFonts w:ascii="Arial" w:eastAsia="Times New Roman" w:hAnsi="Arial" w:cs="Arial"/>
          <w:i/>
          <w:iCs/>
          <w:kern w:val="0"/>
          <w14:ligatures w14:val="none"/>
        </w:rPr>
        <w:t>Nicomachean Ethics</w:t>
      </w:r>
      <w:r w:rsidRPr="00B65B4F">
        <w:rPr>
          <w:rFonts w:ascii="Arial" w:eastAsia="Times New Roman" w:hAnsi="Arial" w:cs="Arial"/>
          <w:kern w:val="0"/>
          <w14:ligatures w14:val="none"/>
        </w:rPr>
        <w:t>, trans. by Roger Crisp (Cambridge: Cambridge University Press, 2000), p. 4.</w:t>
      </w:r>
    </w:p>
  </w:footnote>
  <w:footnote w:id="13">
    <w:p w14:paraId="55E8BAB7" w14:textId="1766F80D" w:rsidR="00BB1C9E" w:rsidRPr="00B65B4F" w:rsidRDefault="00BB1C9E" w:rsidP="00B65B4F">
      <w:pPr>
        <w:spacing w:before="100" w:beforeAutospacing="1" w:after="100" w:afterAutospacing="1" w:line="240" w:lineRule="auto"/>
        <w:rPr>
          <w:rFonts w:ascii="Arial" w:eastAsia="Times New Roman" w:hAnsi="Arial" w:cs="Arial"/>
          <w:kern w:val="0"/>
          <w14:ligatures w14:val="none"/>
        </w:rPr>
      </w:pPr>
      <w:r w:rsidRPr="00B65B4F">
        <w:rPr>
          <w:rStyle w:val="FootnoteReference"/>
          <w:rFonts w:ascii="Arial" w:hAnsi="Arial" w:cs="Arial"/>
        </w:rPr>
        <w:footnoteRef/>
      </w:r>
      <w:r w:rsidRPr="00B65B4F">
        <w:rPr>
          <w:rFonts w:ascii="Arial" w:hAnsi="Arial" w:cs="Arial"/>
        </w:rPr>
        <w:t xml:space="preserve"> </w:t>
      </w:r>
      <w:r w:rsidRPr="00B65B4F">
        <w:rPr>
          <w:rFonts w:ascii="Arial" w:eastAsia="Times New Roman" w:hAnsi="Arial" w:cs="Arial"/>
          <w:kern w:val="0"/>
          <w14:ligatures w14:val="none"/>
        </w:rPr>
        <w:t>Aristotle, p. 23.</w:t>
      </w:r>
    </w:p>
  </w:footnote>
  <w:footnote w:id="14">
    <w:p w14:paraId="5E355F7E" w14:textId="2D083DD4" w:rsidR="00BB1C9E" w:rsidRPr="00F351D2" w:rsidRDefault="00BB1C9E" w:rsidP="00F351D2">
      <w:pPr>
        <w:spacing w:before="100" w:beforeAutospacing="1" w:after="100" w:afterAutospacing="1" w:line="240" w:lineRule="auto"/>
        <w:rPr>
          <w:rFonts w:ascii="Arial" w:eastAsia="Times New Roman" w:hAnsi="Arial" w:cs="Arial"/>
          <w:kern w:val="0"/>
          <w14:ligatures w14:val="none"/>
        </w:rPr>
      </w:pPr>
      <w:r w:rsidRPr="00F351D2">
        <w:rPr>
          <w:rStyle w:val="FootnoteReference"/>
          <w:rFonts w:ascii="Arial" w:hAnsi="Arial" w:cs="Arial"/>
        </w:rPr>
        <w:footnoteRef/>
      </w:r>
      <w:r w:rsidRPr="00F351D2">
        <w:rPr>
          <w:rFonts w:ascii="Arial" w:hAnsi="Arial" w:cs="Arial"/>
        </w:rPr>
        <w:t xml:space="preserve"> </w:t>
      </w:r>
      <w:r w:rsidRPr="00F351D2">
        <w:rPr>
          <w:rFonts w:ascii="Arial" w:eastAsia="Times New Roman" w:hAnsi="Arial" w:cs="Arial"/>
          <w:kern w:val="0"/>
          <w14:ligatures w14:val="none"/>
        </w:rPr>
        <w:t xml:space="preserve">Rosalind Hursthouse, </w:t>
      </w:r>
      <w:r w:rsidRPr="00F351D2">
        <w:rPr>
          <w:rFonts w:ascii="Arial" w:eastAsia="Times New Roman" w:hAnsi="Arial" w:cs="Arial"/>
          <w:i/>
          <w:iCs/>
          <w:kern w:val="0"/>
          <w14:ligatures w14:val="none"/>
        </w:rPr>
        <w:t>On Virtue Ethics</w:t>
      </w:r>
      <w:r w:rsidRPr="00F351D2">
        <w:rPr>
          <w:rFonts w:ascii="Arial" w:eastAsia="Times New Roman" w:hAnsi="Arial" w:cs="Arial"/>
          <w:kern w:val="0"/>
          <w14:ligatures w14:val="none"/>
        </w:rPr>
        <w:t xml:space="preserve"> (Oxford: Oxford University Press, 1999), p. 28.</w:t>
      </w:r>
    </w:p>
  </w:footnote>
  <w:footnote w:id="15">
    <w:p w14:paraId="53905DEE" w14:textId="3EEF96FA" w:rsidR="007D476B" w:rsidRPr="00F351D2" w:rsidRDefault="007D476B" w:rsidP="00AE1AEC">
      <w:pPr>
        <w:spacing w:before="100" w:beforeAutospacing="1" w:after="100" w:afterAutospacing="1" w:line="240" w:lineRule="auto"/>
        <w:rPr>
          <w:rFonts w:ascii="Arial" w:eastAsia="Times New Roman" w:hAnsi="Arial" w:cs="Arial"/>
          <w:kern w:val="0"/>
          <w14:ligatures w14:val="none"/>
        </w:rPr>
      </w:pPr>
      <w:r w:rsidRPr="00F351D2">
        <w:rPr>
          <w:rStyle w:val="FootnoteReference"/>
          <w:rFonts w:ascii="Arial" w:hAnsi="Arial" w:cs="Arial"/>
        </w:rPr>
        <w:footnoteRef/>
      </w:r>
      <w:r w:rsidRPr="00F351D2">
        <w:rPr>
          <w:rFonts w:ascii="Arial" w:hAnsi="Arial" w:cs="Arial"/>
        </w:rPr>
        <w:t xml:space="preserve"> </w:t>
      </w:r>
      <w:r w:rsidRPr="00F351D2">
        <w:rPr>
          <w:rFonts w:ascii="Arial" w:eastAsia="Times New Roman" w:hAnsi="Arial" w:cs="Arial"/>
          <w:kern w:val="0"/>
          <w14:ligatures w14:val="none"/>
        </w:rPr>
        <w:t xml:space="preserve">Thomas Nagel, ‘Moral Luck’, in </w:t>
      </w:r>
      <w:r w:rsidRPr="00F351D2">
        <w:rPr>
          <w:rFonts w:ascii="Arial" w:eastAsia="Times New Roman" w:hAnsi="Arial" w:cs="Arial"/>
          <w:i/>
          <w:iCs/>
          <w:kern w:val="0"/>
          <w14:ligatures w14:val="none"/>
        </w:rPr>
        <w:t>Mortal Questions</w:t>
      </w:r>
      <w:r w:rsidRPr="00F351D2">
        <w:rPr>
          <w:rFonts w:ascii="Arial" w:eastAsia="Times New Roman" w:hAnsi="Arial" w:cs="Arial"/>
          <w:kern w:val="0"/>
          <w14:ligatures w14:val="none"/>
        </w:rPr>
        <w:t xml:space="preserve"> (Cambridge: Cambridge University Press, 1979), p. 26.</w:t>
      </w:r>
    </w:p>
  </w:footnote>
  <w:footnote w:id="16">
    <w:p w14:paraId="6C06D41D" w14:textId="56667375" w:rsidR="00AC3886" w:rsidRPr="00F351D2" w:rsidRDefault="00AC3886" w:rsidP="00AE1AEC">
      <w:pPr>
        <w:spacing w:before="100" w:beforeAutospacing="1" w:after="100" w:afterAutospacing="1" w:line="240" w:lineRule="auto"/>
        <w:rPr>
          <w:rFonts w:ascii="Arial" w:eastAsia="Times New Roman" w:hAnsi="Arial" w:cs="Arial"/>
          <w:kern w:val="0"/>
          <w14:ligatures w14:val="none"/>
        </w:rPr>
      </w:pPr>
      <w:r w:rsidRPr="00F351D2">
        <w:rPr>
          <w:rStyle w:val="FootnoteReference"/>
          <w:rFonts w:ascii="Arial" w:hAnsi="Arial" w:cs="Arial"/>
        </w:rPr>
        <w:footnoteRef/>
      </w:r>
      <w:r w:rsidRPr="00F351D2">
        <w:rPr>
          <w:rFonts w:ascii="Arial" w:hAnsi="Arial" w:cs="Arial"/>
        </w:rPr>
        <w:t xml:space="preserve"> </w:t>
      </w:r>
      <w:r w:rsidRPr="00F351D2">
        <w:rPr>
          <w:rFonts w:ascii="Arial" w:eastAsia="Times New Roman" w:hAnsi="Arial" w:cs="Arial"/>
          <w:kern w:val="0"/>
          <w14:ligatures w14:val="none"/>
        </w:rPr>
        <w:t xml:space="preserve">Bernard Williams, ‘Moral Luck’, in </w:t>
      </w:r>
      <w:r w:rsidRPr="00F351D2">
        <w:rPr>
          <w:rFonts w:ascii="Arial" w:eastAsia="Times New Roman" w:hAnsi="Arial" w:cs="Arial"/>
          <w:i/>
          <w:iCs/>
          <w:kern w:val="0"/>
          <w14:ligatures w14:val="none"/>
        </w:rPr>
        <w:t>Moral Luck</w:t>
      </w:r>
      <w:r w:rsidRPr="00F351D2">
        <w:rPr>
          <w:rFonts w:ascii="Arial" w:eastAsia="Times New Roman" w:hAnsi="Arial" w:cs="Arial"/>
          <w:kern w:val="0"/>
          <w14:ligatures w14:val="none"/>
        </w:rPr>
        <w:t xml:space="preserve"> (Cambridge: Cambridge University Press, 1981), p. 21.</w:t>
      </w:r>
    </w:p>
  </w:footnote>
  <w:footnote w:id="17">
    <w:p w14:paraId="3AD7401F" w14:textId="28A33A73" w:rsidR="00AC3886" w:rsidRPr="0030581A" w:rsidRDefault="00AC3886" w:rsidP="0030581A">
      <w:pPr>
        <w:spacing w:before="100" w:beforeAutospacing="1" w:after="100" w:afterAutospacing="1" w:line="240" w:lineRule="auto"/>
        <w:rPr>
          <w:rFonts w:ascii="Arial" w:eastAsia="Times New Roman" w:hAnsi="Arial" w:cs="Arial"/>
          <w:kern w:val="0"/>
          <w14:ligatures w14:val="none"/>
        </w:rPr>
      </w:pPr>
      <w:r w:rsidRPr="0030581A">
        <w:rPr>
          <w:rStyle w:val="FootnoteReference"/>
          <w:rFonts w:ascii="Arial" w:hAnsi="Arial" w:cs="Arial"/>
        </w:rPr>
        <w:footnoteRef/>
      </w:r>
      <w:r w:rsidRPr="0030581A">
        <w:rPr>
          <w:rFonts w:ascii="Arial" w:hAnsi="Arial" w:cs="Arial"/>
        </w:rPr>
        <w:t xml:space="preserve"> </w:t>
      </w:r>
      <w:r w:rsidRPr="0030581A">
        <w:rPr>
          <w:rFonts w:ascii="Arial" w:eastAsia="Times New Roman" w:hAnsi="Arial" w:cs="Arial"/>
          <w:kern w:val="0"/>
          <w14:ligatures w14:val="none"/>
        </w:rPr>
        <w:t xml:space="preserve">Michael Sandel, </w:t>
      </w:r>
      <w:r w:rsidRPr="0030581A">
        <w:rPr>
          <w:rFonts w:ascii="Arial" w:eastAsia="Times New Roman" w:hAnsi="Arial" w:cs="Arial"/>
          <w:i/>
          <w:iCs/>
          <w:kern w:val="0"/>
          <w14:ligatures w14:val="none"/>
        </w:rPr>
        <w:t>Justice: What’s the Right Thing to Do?</w:t>
      </w:r>
      <w:r w:rsidRPr="0030581A">
        <w:rPr>
          <w:rFonts w:ascii="Arial" w:eastAsia="Times New Roman" w:hAnsi="Arial" w:cs="Arial"/>
          <w:kern w:val="0"/>
          <w14:ligatures w14:val="none"/>
        </w:rPr>
        <w:t xml:space="preserve"> (London: Penguin, 2009), p. 103.</w:t>
      </w:r>
    </w:p>
  </w:footnote>
  <w:footnote w:id="18">
    <w:p w14:paraId="4B6DEC2B" w14:textId="1859EFDB" w:rsidR="00AC3886" w:rsidRPr="00522704" w:rsidRDefault="00AC3886" w:rsidP="00522704">
      <w:pPr>
        <w:spacing w:before="100" w:beforeAutospacing="1" w:after="100" w:afterAutospacing="1" w:line="240" w:lineRule="auto"/>
        <w:rPr>
          <w:rFonts w:ascii="Arial" w:eastAsia="Times New Roman" w:hAnsi="Arial" w:cs="Arial"/>
          <w:kern w:val="0"/>
          <w14:ligatures w14:val="none"/>
        </w:rPr>
      </w:pPr>
      <w:r w:rsidRPr="00522704">
        <w:rPr>
          <w:rStyle w:val="FootnoteReference"/>
          <w:rFonts w:ascii="Arial" w:hAnsi="Arial" w:cs="Arial"/>
        </w:rPr>
        <w:footnoteRef/>
      </w:r>
      <w:r w:rsidRPr="00522704">
        <w:rPr>
          <w:rFonts w:ascii="Arial" w:hAnsi="Arial" w:cs="Arial"/>
        </w:rPr>
        <w:t xml:space="preserve"> </w:t>
      </w:r>
      <w:r w:rsidRPr="00522704">
        <w:rPr>
          <w:rFonts w:ascii="Arial" w:eastAsia="Times New Roman" w:hAnsi="Arial" w:cs="Arial"/>
          <w:kern w:val="0"/>
          <w14:ligatures w14:val="none"/>
        </w:rPr>
        <w:t xml:space="preserve">Samuel Scheffler, </w:t>
      </w:r>
      <w:r w:rsidRPr="00522704">
        <w:rPr>
          <w:rFonts w:ascii="Arial" w:eastAsia="Times New Roman" w:hAnsi="Arial" w:cs="Arial"/>
          <w:i/>
          <w:iCs/>
          <w:kern w:val="0"/>
          <w14:ligatures w14:val="none"/>
        </w:rPr>
        <w:t>The Rejection of Consequentialism</w:t>
      </w:r>
      <w:r w:rsidRPr="00522704">
        <w:rPr>
          <w:rFonts w:ascii="Arial" w:eastAsia="Times New Roman" w:hAnsi="Arial" w:cs="Arial"/>
          <w:kern w:val="0"/>
          <w14:ligatures w14:val="none"/>
        </w:rPr>
        <w:t xml:space="preserve"> (Oxford: Oxford University Press, 1994), p. 17.</w:t>
      </w:r>
    </w:p>
  </w:footnote>
  <w:footnote w:id="19">
    <w:p w14:paraId="63887A59" w14:textId="594AFB4D" w:rsidR="007731CF" w:rsidRPr="00522704" w:rsidRDefault="007731CF" w:rsidP="00522704">
      <w:pPr>
        <w:spacing w:before="100" w:beforeAutospacing="1" w:after="100" w:afterAutospacing="1" w:line="240" w:lineRule="auto"/>
        <w:rPr>
          <w:rFonts w:ascii="Arial" w:eastAsia="Times New Roman" w:hAnsi="Arial" w:cs="Arial"/>
          <w:kern w:val="0"/>
          <w14:ligatures w14:val="none"/>
        </w:rPr>
      </w:pPr>
      <w:r w:rsidRPr="00522704">
        <w:rPr>
          <w:rStyle w:val="FootnoteReference"/>
          <w:rFonts w:ascii="Arial" w:hAnsi="Arial" w:cs="Arial"/>
        </w:rPr>
        <w:footnoteRef/>
      </w:r>
      <w:r w:rsidRPr="00522704">
        <w:rPr>
          <w:rFonts w:ascii="Arial" w:hAnsi="Arial" w:cs="Arial"/>
        </w:rPr>
        <w:t xml:space="preserve"> </w:t>
      </w:r>
      <w:r w:rsidRPr="00522704">
        <w:rPr>
          <w:rFonts w:ascii="Arial" w:eastAsia="Times New Roman" w:hAnsi="Arial" w:cs="Arial"/>
          <w:kern w:val="0"/>
          <w14:ligatures w14:val="none"/>
        </w:rPr>
        <w:t xml:space="preserve">Carol Gilligan, </w:t>
      </w:r>
      <w:r w:rsidRPr="00522704">
        <w:rPr>
          <w:rFonts w:ascii="Arial" w:eastAsia="Times New Roman" w:hAnsi="Arial" w:cs="Arial"/>
          <w:i/>
          <w:iCs/>
          <w:kern w:val="0"/>
          <w14:ligatures w14:val="none"/>
        </w:rPr>
        <w:t>In a Different Voice</w:t>
      </w:r>
      <w:r w:rsidRPr="00522704">
        <w:rPr>
          <w:rFonts w:ascii="Arial" w:eastAsia="Times New Roman" w:hAnsi="Arial" w:cs="Arial"/>
          <w:kern w:val="0"/>
          <w14:ligatures w14:val="none"/>
        </w:rPr>
        <w:t xml:space="preserve"> (Cambridge, MA: Harvard University Press, 1982), p. 30.</w:t>
      </w:r>
    </w:p>
  </w:footnote>
  <w:footnote w:id="20">
    <w:p w14:paraId="157499EF" w14:textId="77777777" w:rsidR="007D476B" w:rsidRPr="00522704" w:rsidRDefault="007D476B" w:rsidP="00522704">
      <w:pPr>
        <w:spacing w:before="100" w:beforeAutospacing="1" w:after="100" w:afterAutospacing="1" w:line="240" w:lineRule="auto"/>
        <w:rPr>
          <w:rFonts w:ascii="Arial" w:eastAsia="Times New Roman" w:hAnsi="Arial" w:cs="Arial"/>
          <w:kern w:val="0"/>
          <w14:ligatures w14:val="none"/>
        </w:rPr>
      </w:pPr>
      <w:r w:rsidRPr="00522704">
        <w:rPr>
          <w:rStyle w:val="FootnoteReference"/>
          <w:rFonts w:ascii="Arial" w:hAnsi="Arial" w:cs="Arial"/>
        </w:rPr>
        <w:footnoteRef/>
      </w:r>
      <w:r w:rsidRPr="00522704">
        <w:rPr>
          <w:rFonts w:ascii="Arial" w:hAnsi="Arial" w:cs="Arial"/>
        </w:rPr>
        <w:t xml:space="preserve"> </w:t>
      </w:r>
      <w:r w:rsidRPr="00522704">
        <w:rPr>
          <w:rFonts w:ascii="Arial" w:eastAsia="Times New Roman" w:hAnsi="Arial" w:cs="Arial"/>
          <w:kern w:val="0"/>
          <w14:ligatures w14:val="none"/>
        </w:rPr>
        <w:t xml:space="preserve">W. D. Ross, </w:t>
      </w:r>
      <w:r w:rsidRPr="00522704">
        <w:rPr>
          <w:rFonts w:ascii="Arial" w:eastAsia="Times New Roman" w:hAnsi="Arial" w:cs="Arial"/>
          <w:i/>
          <w:iCs/>
          <w:kern w:val="0"/>
          <w14:ligatures w14:val="none"/>
        </w:rPr>
        <w:t>The Right and the Good</w:t>
      </w:r>
      <w:r w:rsidRPr="00522704">
        <w:rPr>
          <w:rFonts w:ascii="Arial" w:eastAsia="Times New Roman" w:hAnsi="Arial" w:cs="Arial"/>
          <w:kern w:val="0"/>
          <w14:ligatures w14:val="none"/>
        </w:rPr>
        <w:t xml:space="preserve"> (Oxford: Clarendon Press, 1930), p. 19.</w:t>
      </w:r>
    </w:p>
    <w:p w14:paraId="470A45EB" w14:textId="35422331" w:rsidR="007D476B" w:rsidRDefault="007D476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50706783"/>
      <w:docPartObj>
        <w:docPartGallery w:val="Page Numbers (Top of Page)"/>
        <w:docPartUnique/>
      </w:docPartObj>
    </w:sdtPr>
    <w:sdtContent>
      <w:p w14:paraId="6D6901F0" w14:textId="6B2064B2" w:rsidR="00410296" w:rsidRDefault="00410296" w:rsidP="000777AD">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27A6CC" w14:textId="77777777" w:rsidR="00410296" w:rsidRDefault="00410296" w:rsidP="0041029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rial" w:hAnsi="Arial" w:cs="Arial"/>
        <w:b/>
        <w:bCs/>
      </w:rPr>
      <w:id w:val="1928380666"/>
      <w:docPartObj>
        <w:docPartGallery w:val="Page Numbers (Top of Page)"/>
        <w:docPartUnique/>
      </w:docPartObj>
    </w:sdtPr>
    <w:sdtContent>
      <w:p w14:paraId="5165E52B" w14:textId="1583222B" w:rsidR="00410296" w:rsidRPr="00E12270" w:rsidRDefault="00410296" w:rsidP="000777AD">
        <w:pPr>
          <w:pStyle w:val="Header"/>
          <w:framePr w:wrap="none" w:vAnchor="text" w:hAnchor="margin" w:xAlign="right" w:y="1"/>
          <w:jc w:val="right"/>
          <w:rPr>
            <w:rStyle w:val="PageNumber"/>
            <w:rFonts w:ascii="Arial" w:hAnsi="Arial" w:cs="Arial"/>
            <w:b/>
            <w:bCs/>
          </w:rPr>
        </w:pPr>
        <w:r w:rsidRPr="00E12270">
          <w:rPr>
            <w:rStyle w:val="PageNumber"/>
            <w:rFonts w:ascii="Arial" w:hAnsi="Arial" w:cs="Arial"/>
            <w:b/>
            <w:bCs/>
          </w:rPr>
          <w:fldChar w:fldCharType="begin"/>
        </w:r>
        <w:r w:rsidRPr="00E12270">
          <w:rPr>
            <w:rStyle w:val="PageNumber"/>
            <w:rFonts w:ascii="Arial" w:hAnsi="Arial" w:cs="Arial"/>
            <w:b/>
            <w:bCs/>
          </w:rPr>
          <w:instrText xml:space="preserve"> PAGE </w:instrText>
        </w:r>
        <w:r w:rsidRPr="00E12270">
          <w:rPr>
            <w:rStyle w:val="PageNumber"/>
            <w:rFonts w:ascii="Arial" w:hAnsi="Arial" w:cs="Arial"/>
            <w:b/>
            <w:bCs/>
          </w:rPr>
          <w:fldChar w:fldCharType="separate"/>
        </w:r>
        <w:r w:rsidRPr="00E12270">
          <w:rPr>
            <w:rStyle w:val="PageNumber"/>
            <w:rFonts w:ascii="Arial" w:hAnsi="Arial" w:cs="Arial"/>
            <w:b/>
            <w:bCs/>
            <w:noProof/>
          </w:rPr>
          <w:t>1</w:t>
        </w:r>
        <w:r w:rsidRPr="00E12270">
          <w:rPr>
            <w:rStyle w:val="PageNumber"/>
            <w:rFonts w:ascii="Arial" w:hAnsi="Arial" w:cs="Arial"/>
            <w:b/>
            <w:bCs/>
          </w:rPr>
          <w:fldChar w:fldCharType="end"/>
        </w:r>
      </w:p>
    </w:sdtContent>
  </w:sdt>
  <w:p w14:paraId="12C24563" w14:textId="7E591DC6" w:rsidR="00410296" w:rsidRPr="00410296" w:rsidRDefault="00410296" w:rsidP="00410296">
    <w:pPr>
      <w:tabs>
        <w:tab w:val="center" w:pos="4513"/>
        <w:tab w:val="right" w:pos="9026"/>
      </w:tabs>
      <w:spacing w:after="0" w:line="240" w:lineRule="auto"/>
      <w:rPr>
        <w:rFonts w:ascii="Arial" w:eastAsiaTheme="minorHAnsi" w:hAnsi="Arial" w:cs="Arial"/>
        <w:b/>
        <w:bCs/>
        <w:kern w:val="0"/>
        <w:lang w:eastAsia="en-US"/>
        <w14:ligatures w14:val="none"/>
      </w:rPr>
    </w:pPr>
    <w:r w:rsidRPr="00410296">
      <w:rPr>
        <w:rFonts w:ascii="Arial" w:eastAsiaTheme="minorHAnsi" w:hAnsi="Arial" w:cs="Arial"/>
        <w:b/>
        <w:bCs/>
        <w:kern w:val="0"/>
        <w:lang w:eastAsia="en-US"/>
        <w14:ligatures w14:val="none"/>
      </w:rPr>
      <w:t>Callum Carter 2404122</w:t>
    </w:r>
  </w:p>
</w:hdr>
</file>

<file path=word/intelligence2.xml><?xml version="1.0" encoding="utf-8"?>
<int2:intelligence xmlns:int2="http://schemas.microsoft.com/office/intelligence/2020/intelligence" xmlns:oel="http://schemas.microsoft.com/office/2019/extlst">
  <int2:observations>
    <int2:bookmark int2:bookmarkName="_Int_yXK8Hxou" int2:invalidationBookmarkName="" int2:hashCode="z54SXiaaL7NZb/" int2:id="OdsejFIy">
      <int2:state int2:value="Rejected" int2:type="gram"/>
    </int2:bookmark>
    <int2:bookmark int2:bookmarkName="_Int_L3twsKO1" int2:invalidationBookmarkName="" int2:hashCode="9kIXkgYRKD6AfN" int2:id="KKzYzZot">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81D"/>
    <w:multiLevelType w:val="multilevel"/>
    <w:tmpl w:val="FFFFFFFF"/>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673F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EF433EF"/>
    <w:multiLevelType w:val="multilevel"/>
    <w:tmpl w:val="FFFFFFFF"/>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08057">
    <w:abstractNumId w:val="1"/>
  </w:num>
  <w:num w:numId="2" w16cid:durableId="363018107">
    <w:abstractNumId w:val="2"/>
  </w:num>
  <w:num w:numId="3" w16cid:durableId="1601646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830"/>
    <w:rsid w:val="00005830"/>
    <w:rsid w:val="000A0357"/>
    <w:rsid w:val="00192050"/>
    <w:rsid w:val="001F5ADD"/>
    <w:rsid w:val="0030581A"/>
    <w:rsid w:val="00315CBF"/>
    <w:rsid w:val="0035483B"/>
    <w:rsid w:val="00407280"/>
    <w:rsid w:val="00410296"/>
    <w:rsid w:val="004B2F19"/>
    <w:rsid w:val="00517EC2"/>
    <w:rsid w:val="00522704"/>
    <w:rsid w:val="00552DDC"/>
    <w:rsid w:val="0059055C"/>
    <w:rsid w:val="005D1F9F"/>
    <w:rsid w:val="005F1C36"/>
    <w:rsid w:val="007731CF"/>
    <w:rsid w:val="0079316D"/>
    <w:rsid w:val="007D476B"/>
    <w:rsid w:val="008052D3"/>
    <w:rsid w:val="008E44B6"/>
    <w:rsid w:val="009315A2"/>
    <w:rsid w:val="00966AAC"/>
    <w:rsid w:val="00A61E4B"/>
    <w:rsid w:val="00AB6142"/>
    <w:rsid w:val="00AC3886"/>
    <w:rsid w:val="00AE1AEC"/>
    <w:rsid w:val="00AF69E4"/>
    <w:rsid w:val="00B43DFE"/>
    <w:rsid w:val="00B65B4F"/>
    <w:rsid w:val="00B72B09"/>
    <w:rsid w:val="00BB1C9E"/>
    <w:rsid w:val="00D13AF0"/>
    <w:rsid w:val="00D45BA2"/>
    <w:rsid w:val="00E12270"/>
    <w:rsid w:val="00ED5506"/>
    <w:rsid w:val="00F16BBF"/>
    <w:rsid w:val="00F351D2"/>
    <w:rsid w:val="00F84C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FD0818"/>
  <w15:chartTrackingRefBased/>
  <w15:docId w15:val="{368EAE5A-CF0B-BF4B-92EB-16A1A2AE4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58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58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58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58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58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58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58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58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58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8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58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58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58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58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58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58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58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5830"/>
    <w:rPr>
      <w:rFonts w:eastAsiaTheme="majorEastAsia" w:cstheme="majorBidi"/>
      <w:color w:val="272727" w:themeColor="text1" w:themeTint="D8"/>
    </w:rPr>
  </w:style>
  <w:style w:type="paragraph" w:styleId="Title">
    <w:name w:val="Title"/>
    <w:basedOn w:val="Normal"/>
    <w:next w:val="Normal"/>
    <w:link w:val="TitleChar"/>
    <w:uiPriority w:val="10"/>
    <w:qFormat/>
    <w:rsid w:val="000058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58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58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58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5830"/>
    <w:pPr>
      <w:spacing w:before="160"/>
      <w:jc w:val="center"/>
    </w:pPr>
    <w:rPr>
      <w:i/>
      <w:iCs/>
      <w:color w:val="404040" w:themeColor="text1" w:themeTint="BF"/>
    </w:rPr>
  </w:style>
  <w:style w:type="character" w:customStyle="1" w:styleId="QuoteChar">
    <w:name w:val="Quote Char"/>
    <w:basedOn w:val="DefaultParagraphFont"/>
    <w:link w:val="Quote"/>
    <w:uiPriority w:val="29"/>
    <w:rsid w:val="00005830"/>
    <w:rPr>
      <w:i/>
      <w:iCs/>
      <w:color w:val="404040" w:themeColor="text1" w:themeTint="BF"/>
    </w:rPr>
  </w:style>
  <w:style w:type="paragraph" w:styleId="ListParagraph">
    <w:name w:val="List Paragraph"/>
    <w:basedOn w:val="Normal"/>
    <w:uiPriority w:val="34"/>
    <w:qFormat/>
    <w:rsid w:val="00005830"/>
    <w:pPr>
      <w:ind w:left="720"/>
      <w:contextualSpacing/>
    </w:pPr>
  </w:style>
  <w:style w:type="character" w:styleId="IntenseEmphasis">
    <w:name w:val="Intense Emphasis"/>
    <w:basedOn w:val="DefaultParagraphFont"/>
    <w:uiPriority w:val="21"/>
    <w:qFormat/>
    <w:rsid w:val="00005830"/>
    <w:rPr>
      <w:i/>
      <w:iCs/>
      <w:color w:val="0F4761" w:themeColor="accent1" w:themeShade="BF"/>
    </w:rPr>
  </w:style>
  <w:style w:type="paragraph" w:styleId="IntenseQuote">
    <w:name w:val="Intense Quote"/>
    <w:basedOn w:val="Normal"/>
    <w:next w:val="Normal"/>
    <w:link w:val="IntenseQuoteChar"/>
    <w:uiPriority w:val="30"/>
    <w:qFormat/>
    <w:rsid w:val="000058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5830"/>
    <w:rPr>
      <w:i/>
      <w:iCs/>
      <w:color w:val="0F4761" w:themeColor="accent1" w:themeShade="BF"/>
    </w:rPr>
  </w:style>
  <w:style w:type="character" w:styleId="IntenseReference">
    <w:name w:val="Intense Reference"/>
    <w:basedOn w:val="DefaultParagraphFont"/>
    <w:uiPriority w:val="32"/>
    <w:qFormat/>
    <w:rsid w:val="00005830"/>
    <w:rPr>
      <w:b/>
      <w:bCs/>
      <w:smallCaps/>
      <w:color w:val="0F4761" w:themeColor="accent1" w:themeShade="BF"/>
      <w:spacing w:val="5"/>
    </w:rPr>
  </w:style>
  <w:style w:type="character" w:customStyle="1" w:styleId="s1">
    <w:name w:val="s1"/>
    <w:basedOn w:val="DefaultParagraphFont"/>
    <w:rsid w:val="00005830"/>
  </w:style>
  <w:style w:type="paragraph" w:customStyle="1" w:styleId="p2">
    <w:name w:val="p2"/>
    <w:basedOn w:val="Normal"/>
    <w:rsid w:val="00005830"/>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005830"/>
  </w:style>
  <w:style w:type="character" w:customStyle="1" w:styleId="s2">
    <w:name w:val="s2"/>
    <w:basedOn w:val="DefaultParagraphFont"/>
    <w:rsid w:val="00005830"/>
  </w:style>
  <w:style w:type="paragraph" w:customStyle="1" w:styleId="p3">
    <w:name w:val="p3"/>
    <w:basedOn w:val="Normal"/>
    <w:rsid w:val="00005830"/>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315CBF"/>
    <w:pPr>
      <w:spacing w:after="0" w:line="240" w:lineRule="auto"/>
    </w:pPr>
    <w:rPr>
      <w:rFonts w:ascii=".AppleSystemUIFont" w:hAnsi=".AppleSystemUIFont" w:cs="Times New Roman"/>
      <w:kern w:val="0"/>
      <w:sz w:val="30"/>
      <w:szCs w:val="30"/>
      <w14:ligatures w14:val="none"/>
    </w:rPr>
  </w:style>
  <w:style w:type="paragraph" w:styleId="Header">
    <w:name w:val="header"/>
    <w:basedOn w:val="Normal"/>
    <w:link w:val="HeaderChar"/>
    <w:uiPriority w:val="99"/>
    <w:unhideWhenUsed/>
    <w:rsid w:val="001F5A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5ADD"/>
  </w:style>
  <w:style w:type="paragraph" w:styleId="Footer">
    <w:name w:val="footer"/>
    <w:basedOn w:val="Normal"/>
    <w:link w:val="FooterChar"/>
    <w:uiPriority w:val="99"/>
    <w:unhideWhenUsed/>
    <w:rsid w:val="001F5A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5ADD"/>
  </w:style>
  <w:style w:type="character" w:styleId="PageNumber">
    <w:name w:val="page number"/>
    <w:basedOn w:val="DefaultParagraphFont"/>
    <w:uiPriority w:val="99"/>
    <w:semiHidden/>
    <w:unhideWhenUsed/>
    <w:rsid w:val="00410296"/>
  </w:style>
  <w:style w:type="paragraph" w:styleId="FootnoteText">
    <w:name w:val="footnote text"/>
    <w:basedOn w:val="Normal"/>
    <w:link w:val="FootnoteTextChar"/>
    <w:uiPriority w:val="99"/>
    <w:semiHidden/>
    <w:unhideWhenUsed/>
    <w:rsid w:val="004B2F1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2F19"/>
    <w:rPr>
      <w:sz w:val="20"/>
      <w:szCs w:val="20"/>
    </w:rPr>
  </w:style>
  <w:style w:type="character" w:styleId="FootnoteReference">
    <w:name w:val="footnote reference"/>
    <w:basedOn w:val="DefaultParagraphFont"/>
    <w:uiPriority w:val="99"/>
    <w:semiHidden/>
    <w:unhideWhenUsed/>
    <w:rsid w:val="004B2F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2402</Words>
  <Characters>13693</Characters>
  <Application>Microsoft Office Word</Application>
  <DocSecurity>0</DocSecurity>
  <Lines>114</Lines>
  <Paragraphs>32</Paragraphs>
  <ScaleCrop>false</ScaleCrop>
  <Company/>
  <LinksUpToDate>false</LinksUpToDate>
  <CharactersWithSpaces>16063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Carter (2404122)</dc:creator>
  <cp:keywords/>
  <dc:description/>
  <cp:lastModifiedBy>Callum Carter (2404122)</cp:lastModifiedBy>
  <cp:revision>37</cp:revision>
  <dcterms:created xsi:type="dcterms:W3CDTF">2026-05-08T15:01:00Z</dcterms:created>
  <dcterms:modified xsi:type="dcterms:W3CDTF">2026-05-08T15:40:00Z</dcterms:modified>
</cp:coreProperties>
</file>