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0ABFD" w14:textId="77777777" w:rsidR="000E7AEB" w:rsidRDefault="000E7AEB" w:rsidP="006B34AA">
      <w:pPr>
        <w:spacing w:line="360" w:lineRule="auto"/>
        <w:jc w:val="center"/>
        <w:rPr>
          <w:rFonts w:ascii="Times New Roman" w:eastAsia="Times New Roman" w:hAnsi="Times New Roman" w:cs="Times New Roman"/>
          <w:b/>
          <w:bCs/>
          <w:sz w:val="32"/>
          <w:szCs w:val="32"/>
          <w:lang w:val="en-GB"/>
        </w:rPr>
      </w:pPr>
    </w:p>
    <w:p w14:paraId="5652D004" w14:textId="77777777" w:rsidR="000E7AEB" w:rsidRDefault="000E7AEB" w:rsidP="006B34AA">
      <w:pPr>
        <w:spacing w:line="360" w:lineRule="auto"/>
        <w:jc w:val="center"/>
        <w:rPr>
          <w:rFonts w:ascii="Times New Roman" w:eastAsia="Times New Roman" w:hAnsi="Times New Roman" w:cs="Times New Roman"/>
          <w:b/>
          <w:bCs/>
          <w:sz w:val="32"/>
          <w:szCs w:val="32"/>
          <w:lang w:val="en-GB"/>
        </w:rPr>
      </w:pPr>
    </w:p>
    <w:p w14:paraId="420311C1" w14:textId="77777777" w:rsidR="000E7AEB" w:rsidRDefault="000E7AEB" w:rsidP="006B34AA">
      <w:pPr>
        <w:spacing w:line="360" w:lineRule="auto"/>
        <w:jc w:val="center"/>
        <w:rPr>
          <w:rFonts w:ascii="Times New Roman" w:eastAsia="Times New Roman" w:hAnsi="Times New Roman" w:cs="Times New Roman"/>
          <w:b/>
          <w:bCs/>
          <w:sz w:val="32"/>
          <w:szCs w:val="32"/>
          <w:lang w:val="en-GB"/>
        </w:rPr>
      </w:pPr>
    </w:p>
    <w:p w14:paraId="513F8A38" w14:textId="7D8ECED7" w:rsidR="000E7AEB" w:rsidRDefault="000E7AEB" w:rsidP="00F34CE8">
      <w:pPr>
        <w:spacing w:line="360" w:lineRule="auto"/>
        <w:rPr>
          <w:rFonts w:ascii="Times New Roman" w:eastAsia="Times New Roman" w:hAnsi="Times New Roman" w:cs="Times New Roman"/>
          <w:b/>
          <w:bCs/>
          <w:sz w:val="32"/>
          <w:szCs w:val="32"/>
          <w:lang w:val="en-GB"/>
        </w:rPr>
      </w:pPr>
    </w:p>
    <w:p w14:paraId="0DA66641" w14:textId="2909FD01" w:rsidR="000E7AEB" w:rsidRDefault="00F34CE8" w:rsidP="006B34AA">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Marketing Management </w:t>
      </w:r>
    </w:p>
    <w:p w14:paraId="43AD9245" w14:textId="3609FD1C" w:rsidR="00600C96" w:rsidRDefault="00266115" w:rsidP="006B34AA">
      <w:pPr>
        <w:spacing w:line="360" w:lineRule="auto"/>
        <w:jc w:val="center"/>
        <w:rPr>
          <w:rFonts w:ascii="Times New Roman" w:eastAsia="Times New Roman" w:hAnsi="Times New Roman" w:cs="Times New Roman"/>
          <w:b/>
          <w:bCs/>
          <w:sz w:val="32"/>
          <w:szCs w:val="32"/>
          <w:lang w:val="en-GB"/>
        </w:rPr>
      </w:pPr>
      <w:r w:rsidRPr="00F722A9">
        <w:rPr>
          <w:rFonts w:ascii="Times New Roman" w:eastAsia="Times New Roman" w:hAnsi="Times New Roman" w:cs="Times New Roman"/>
          <w:b/>
          <w:bCs/>
          <w:sz w:val="32"/>
          <w:szCs w:val="32"/>
          <w:lang w:val="en-GB"/>
        </w:rPr>
        <w:t xml:space="preserve">Portfolio: Brand </w:t>
      </w:r>
      <w:r w:rsidR="00F34CE8">
        <w:rPr>
          <w:rFonts w:ascii="Times New Roman" w:eastAsia="Times New Roman" w:hAnsi="Times New Roman" w:cs="Times New Roman"/>
          <w:b/>
          <w:bCs/>
          <w:sz w:val="32"/>
          <w:szCs w:val="32"/>
          <w:lang w:val="en-GB"/>
        </w:rPr>
        <w:t xml:space="preserve">extension </w:t>
      </w:r>
    </w:p>
    <w:p w14:paraId="548907C3" w14:textId="77777777" w:rsidR="00F34CE8" w:rsidRDefault="00F34CE8" w:rsidP="006B34AA">
      <w:pPr>
        <w:spacing w:line="360" w:lineRule="auto"/>
        <w:jc w:val="center"/>
        <w:rPr>
          <w:rFonts w:ascii="Times New Roman" w:eastAsia="Times New Roman" w:hAnsi="Times New Roman" w:cs="Times New Roman"/>
          <w:b/>
          <w:bCs/>
          <w:sz w:val="32"/>
          <w:szCs w:val="32"/>
          <w:lang w:val="en-GB"/>
        </w:rPr>
      </w:pPr>
    </w:p>
    <w:p w14:paraId="7C4470E0" w14:textId="77777777" w:rsidR="00F34CE8" w:rsidRDefault="00F34CE8" w:rsidP="00F34CE8">
      <w:pPr>
        <w:spacing w:line="480" w:lineRule="auto"/>
        <w:jc w:val="center"/>
        <w:rPr>
          <w:b/>
          <w:bCs/>
          <w:sz w:val="36"/>
          <w:szCs w:val="32"/>
        </w:rPr>
      </w:pPr>
      <w:r>
        <w:rPr>
          <w:b/>
          <w:bCs/>
          <w:sz w:val="36"/>
          <w:szCs w:val="32"/>
        </w:rPr>
        <w:t xml:space="preserve">Name: </w:t>
      </w:r>
      <w:r w:rsidRPr="000633D7">
        <w:rPr>
          <w:b/>
          <w:bCs/>
          <w:sz w:val="36"/>
          <w:szCs w:val="32"/>
        </w:rPr>
        <w:t xml:space="preserve">Jay </w:t>
      </w:r>
      <w:proofErr w:type="spellStart"/>
      <w:r>
        <w:rPr>
          <w:b/>
          <w:bCs/>
          <w:sz w:val="36"/>
          <w:szCs w:val="32"/>
        </w:rPr>
        <w:t>S</w:t>
      </w:r>
      <w:r w:rsidRPr="000633D7">
        <w:rPr>
          <w:b/>
          <w:bCs/>
          <w:sz w:val="36"/>
          <w:szCs w:val="32"/>
        </w:rPr>
        <w:t>haileshbhai</w:t>
      </w:r>
      <w:proofErr w:type="spellEnd"/>
      <w:r w:rsidRPr="000633D7">
        <w:rPr>
          <w:b/>
          <w:bCs/>
          <w:sz w:val="36"/>
          <w:szCs w:val="32"/>
        </w:rPr>
        <w:t xml:space="preserve"> Patel</w:t>
      </w:r>
    </w:p>
    <w:p w14:paraId="68AB4552" w14:textId="77777777" w:rsidR="00F34CE8" w:rsidRDefault="00F34CE8" w:rsidP="00F34CE8">
      <w:pPr>
        <w:spacing w:line="480" w:lineRule="auto"/>
        <w:jc w:val="center"/>
        <w:rPr>
          <w:b/>
          <w:bCs/>
          <w:sz w:val="36"/>
          <w:szCs w:val="32"/>
        </w:rPr>
      </w:pPr>
      <w:r>
        <w:rPr>
          <w:b/>
          <w:bCs/>
          <w:sz w:val="36"/>
          <w:szCs w:val="32"/>
        </w:rPr>
        <w:t xml:space="preserve">Student ID: </w:t>
      </w:r>
      <w:r w:rsidRPr="000633D7">
        <w:rPr>
          <w:b/>
          <w:bCs/>
          <w:sz w:val="36"/>
          <w:szCs w:val="32"/>
        </w:rPr>
        <w:t>2529400</w:t>
      </w:r>
    </w:p>
    <w:p w14:paraId="0D8F560D" w14:textId="58B5219F" w:rsidR="00F34CE8" w:rsidRPr="000633D7" w:rsidRDefault="00F34CE8" w:rsidP="00F34CE8">
      <w:pPr>
        <w:spacing w:line="480" w:lineRule="auto"/>
        <w:jc w:val="center"/>
        <w:rPr>
          <w:b/>
          <w:bCs/>
          <w:sz w:val="36"/>
          <w:szCs w:val="32"/>
        </w:rPr>
      </w:pPr>
      <w:r>
        <w:rPr>
          <w:b/>
          <w:bCs/>
          <w:sz w:val="36"/>
          <w:szCs w:val="32"/>
        </w:rPr>
        <w:t xml:space="preserve">Lecturer: </w:t>
      </w:r>
      <w:r>
        <w:rPr>
          <w:b/>
          <w:bCs/>
          <w:sz w:val="36"/>
          <w:szCs w:val="32"/>
        </w:rPr>
        <w:t xml:space="preserve">Laila </w:t>
      </w:r>
      <w:proofErr w:type="spellStart"/>
      <w:r>
        <w:rPr>
          <w:b/>
          <w:bCs/>
          <w:sz w:val="36"/>
          <w:szCs w:val="32"/>
        </w:rPr>
        <w:t>Maazouz</w:t>
      </w:r>
      <w:proofErr w:type="spellEnd"/>
      <w:r>
        <w:rPr>
          <w:b/>
          <w:bCs/>
          <w:sz w:val="36"/>
          <w:szCs w:val="32"/>
        </w:rPr>
        <w:t xml:space="preserve"> </w:t>
      </w:r>
    </w:p>
    <w:p w14:paraId="5C6DD2FF" w14:textId="77777777" w:rsidR="00F34CE8" w:rsidRPr="00F722A9" w:rsidRDefault="00F34CE8" w:rsidP="006B34AA">
      <w:pPr>
        <w:spacing w:line="360" w:lineRule="auto"/>
        <w:jc w:val="center"/>
        <w:rPr>
          <w:rFonts w:ascii="Times New Roman" w:eastAsia="Times New Roman" w:hAnsi="Times New Roman" w:cs="Times New Roman"/>
          <w:b/>
          <w:bCs/>
          <w:sz w:val="32"/>
          <w:szCs w:val="32"/>
          <w:lang w:val="en-GB"/>
        </w:rPr>
      </w:pPr>
    </w:p>
    <w:p w14:paraId="74D145EB" w14:textId="77777777" w:rsidR="00600C96" w:rsidRPr="00F722A9" w:rsidRDefault="00266115" w:rsidP="006B34AA">
      <w:pPr>
        <w:spacing w:line="360" w:lineRule="auto"/>
        <w:jc w:val="center"/>
        <w:rPr>
          <w:rFonts w:ascii="Times New Roman" w:eastAsia="Times New Roman" w:hAnsi="Times New Roman" w:cs="Times New Roman"/>
          <w:b/>
          <w:bCs/>
          <w:sz w:val="32"/>
          <w:szCs w:val="32"/>
          <w:lang w:val="en-GB"/>
        </w:rPr>
      </w:pPr>
      <w:r w:rsidRPr="00F722A9">
        <w:rPr>
          <w:rFonts w:ascii="Times New Roman" w:eastAsia="Times New Roman" w:hAnsi="Times New Roman" w:cs="Times New Roman"/>
          <w:b/>
          <w:bCs/>
          <w:sz w:val="32"/>
          <w:szCs w:val="32"/>
          <w:lang w:val="en-GB"/>
        </w:rPr>
        <w:t xml:space="preserve">Choosing an existing technology company and developing a brand extension </w:t>
      </w:r>
    </w:p>
    <w:p w14:paraId="1B7434F2" w14:textId="77777777" w:rsidR="00600C96" w:rsidRPr="00F722A9" w:rsidRDefault="00266115" w:rsidP="006B34AA">
      <w:pPr>
        <w:spacing w:line="360" w:lineRule="auto"/>
        <w:jc w:val="center"/>
        <w:rPr>
          <w:rFonts w:ascii="Times New Roman" w:eastAsia="Times New Roman" w:hAnsi="Times New Roman" w:cs="Times New Roman"/>
          <w:b/>
          <w:bCs/>
          <w:sz w:val="32"/>
          <w:szCs w:val="32"/>
          <w:lang w:val="en-GB"/>
        </w:rPr>
      </w:pPr>
      <w:r w:rsidRPr="00F722A9">
        <w:rPr>
          <w:rFonts w:ascii="Times New Roman" w:eastAsia="Times New Roman" w:hAnsi="Times New Roman" w:cs="Times New Roman"/>
          <w:b/>
          <w:bCs/>
          <w:sz w:val="32"/>
          <w:szCs w:val="32"/>
          <w:lang w:val="en-GB"/>
        </w:rPr>
        <w:t>Brand Extension: Android XR Glasses</w:t>
      </w:r>
    </w:p>
    <w:p w14:paraId="541FE308" w14:textId="77777777" w:rsidR="00600C96" w:rsidRPr="00F722A9" w:rsidRDefault="00266115" w:rsidP="006B34AA">
      <w:pPr>
        <w:spacing w:line="360" w:lineRule="auto"/>
        <w:jc w:val="center"/>
        <w:rPr>
          <w:rFonts w:ascii="Times New Roman" w:eastAsia="Times New Roman" w:hAnsi="Times New Roman" w:cs="Times New Roman"/>
          <w:b/>
          <w:bCs/>
          <w:sz w:val="32"/>
          <w:szCs w:val="32"/>
          <w:lang w:val="en-GB"/>
        </w:rPr>
      </w:pPr>
      <w:r w:rsidRPr="00F722A9">
        <w:rPr>
          <w:rFonts w:ascii="Times New Roman" w:eastAsia="Times New Roman" w:hAnsi="Times New Roman" w:cs="Times New Roman"/>
          <w:b/>
          <w:bCs/>
          <w:sz w:val="32"/>
          <w:szCs w:val="32"/>
          <w:lang w:val="en-GB"/>
        </w:rPr>
        <w:t xml:space="preserve">Company: Google </w:t>
      </w:r>
    </w:p>
    <w:p w14:paraId="66558FCF" w14:textId="77777777" w:rsidR="00040D9B" w:rsidRDefault="00040D9B" w:rsidP="006B34AA">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5C0F19B8" w14:textId="77777777" w:rsidR="00F34CE8" w:rsidRDefault="00F34CE8" w:rsidP="006B34AA">
      <w:pPr>
        <w:spacing w:line="360" w:lineRule="auto"/>
        <w:rPr>
          <w:rFonts w:ascii="Times New Roman" w:eastAsia="Times New Roman" w:hAnsi="Times New Roman" w:cs="Times New Roman"/>
          <w:b/>
          <w:bCs/>
          <w:sz w:val="24"/>
          <w:szCs w:val="24"/>
          <w:lang w:val="en-GB"/>
        </w:rPr>
      </w:pPr>
    </w:p>
    <w:p w14:paraId="0D9E0335" w14:textId="77777777" w:rsidR="00F34CE8" w:rsidRDefault="00F34CE8" w:rsidP="006B34AA">
      <w:pPr>
        <w:spacing w:line="360" w:lineRule="auto"/>
        <w:rPr>
          <w:rFonts w:ascii="Times New Roman" w:eastAsia="Times New Roman" w:hAnsi="Times New Roman" w:cs="Times New Roman"/>
          <w:b/>
          <w:bCs/>
          <w:sz w:val="24"/>
          <w:szCs w:val="24"/>
          <w:lang w:val="en-GB"/>
        </w:rPr>
      </w:pPr>
    </w:p>
    <w:sdt>
      <w:sdtPr>
        <w:rPr>
          <w:rFonts w:ascii="Arial" w:eastAsia="Arial" w:hAnsi="Arial" w:cs="Arial"/>
          <w:color w:val="auto"/>
          <w:sz w:val="22"/>
          <w:szCs w:val="22"/>
          <w:lang w:val="en" w:eastAsia="en-IN"/>
        </w:rPr>
        <w:id w:val="-891886695"/>
        <w:docPartObj>
          <w:docPartGallery w:val="Table of Contents"/>
          <w:docPartUnique/>
        </w:docPartObj>
      </w:sdtPr>
      <w:sdtEndPr>
        <w:rPr>
          <w:b/>
          <w:bCs/>
          <w:noProof/>
        </w:rPr>
      </w:sdtEndPr>
      <w:sdtContent>
        <w:p w14:paraId="7B7AD33C" w14:textId="77777777" w:rsidR="002A78B6" w:rsidRPr="002A78B6" w:rsidRDefault="002A78B6" w:rsidP="002A78B6">
          <w:pPr>
            <w:pStyle w:val="TOCHeading"/>
            <w:spacing w:line="360" w:lineRule="auto"/>
            <w:jc w:val="center"/>
            <w:rPr>
              <w:rFonts w:ascii="Times New Roman" w:hAnsi="Times New Roman" w:cs="Times New Roman"/>
              <w:b/>
              <w:color w:val="000000" w:themeColor="text1"/>
              <w:sz w:val="24"/>
              <w:szCs w:val="24"/>
            </w:rPr>
          </w:pPr>
          <w:r w:rsidRPr="002A78B6">
            <w:rPr>
              <w:rFonts w:ascii="Times New Roman" w:hAnsi="Times New Roman" w:cs="Times New Roman"/>
              <w:b/>
              <w:color w:val="000000" w:themeColor="text1"/>
              <w:sz w:val="24"/>
              <w:szCs w:val="24"/>
            </w:rPr>
            <w:t>Table of Contents</w:t>
          </w:r>
        </w:p>
        <w:p w14:paraId="3206993D" w14:textId="77777777" w:rsidR="002A78B6" w:rsidRPr="002A78B6" w:rsidRDefault="002A78B6" w:rsidP="002A78B6">
          <w:pPr>
            <w:pStyle w:val="TOC1"/>
            <w:tabs>
              <w:tab w:val="right" w:leader="dot" w:pos="9350"/>
            </w:tabs>
            <w:spacing w:line="360" w:lineRule="auto"/>
            <w:jc w:val="both"/>
            <w:rPr>
              <w:rFonts w:ascii="Times New Roman" w:hAnsi="Times New Roman" w:cs="Times New Roman"/>
              <w:noProof/>
              <w:sz w:val="24"/>
              <w:szCs w:val="24"/>
            </w:rPr>
          </w:pPr>
          <w:r w:rsidRPr="002A78B6">
            <w:rPr>
              <w:rFonts w:ascii="Times New Roman" w:hAnsi="Times New Roman" w:cs="Times New Roman"/>
              <w:b/>
              <w:bCs/>
              <w:noProof/>
              <w:sz w:val="24"/>
              <w:szCs w:val="24"/>
            </w:rPr>
            <w:fldChar w:fldCharType="begin"/>
          </w:r>
          <w:r w:rsidRPr="002A78B6">
            <w:rPr>
              <w:rFonts w:ascii="Times New Roman" w:hAnsi="Times New Roman" w:cs="Times New Roman"/>
              <w:b/>
              <w:bCs/>
              <w:noProof/>
              <w:sz w:val="24"/>
              <w:szCs w:val="24"/>
            </w:rPr>
            <w:instrText xml:space="preserve"> TOC \o "1-3" \h \z \u </w:instrText>
          </w:r>
          <w:r w:rsidRPr="002A78B6">
            <w:rPr>
              <w:rFonts w:ascii="Times New Roman" w:hAnsi="Times New Roman" w:cs="Times New Roman"/>
              <w:b/>
              <w:bCs/>
              <w:noProof/>
              <w:sz w:val="24"/>
              <w:szCs w:val="24"/>
            </w:rPr>
            <w:fldChar w:fldCharType="separate"/>
          </w:r>
          <w:hyperlink w:anchor="_Toc226931073" w:history="1">
            <w:r w:rsidRPr="002A78B6">
              <w:rPr>
                <w:rStyle w:val="Hyperlink"/>
                <w:rFonts w:ascii="Times New Roman" w:hAnsi="Times New Roman" w:cs="Times New Roman"/>
                <w:noProof/>
                <w:sz w:val="24"/>
                <w:szCs w:val="24"/>
                <w:lang w:val="en-GB"/>
              </w:rPr>
              <w:t>Element 1: Brand Extension Poster Presentation</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_Toc226931073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3</w:t>
            </w:r>
            <w:r w:rsidRPr="002A78B6">
              <w:rPr>
                <w:rFonts w:ascii="Times New Roman" w:hAnsi="Times New Roman" w:cs="Times New Roman"/>
                <w:noProof/>
                <w:webHidden/>
                <w:sz w:val="24"/>
                <w:szCs w:val="24"/>
              </w:rPr>
              <w:fldChar w:fldCharType="end"/>
            </w:r>
          </w:hyperlink>
        </w:p>
        <w:p w14:paraId="423176FA" w14:textId="77777777" w:rsidR="002A78B6" w:rsidRPr="002A78B6" w:rsidRDefault="002A78B6" w:rsidP="002A78B6">
          <w:pPr>
            <w:pStyle w:val="TOC1"/>
            <w:tabs>
              <w:tab w:val="right" w:leader="dot" w:pos="9350"/>
            </w:tabs>
            <w:spacing w:line="360" w:lineRule="auto"/>
            <w:jc w:val="both"/>
            <w:rPr>
              <w:rFonts w:ascii="Times New Roman" w:hAnsi="Times New Roman" w:cs="Times New Roman"/>
              <w:noProof/>
              <w:sz w:val="24"/>
              <w:szCs w:val="24"/>
            </w:rPr>
          </w:pPr>
          <w:hyperlink w:anchor="_Toc226931074" w:history="1">
            <w:r w:rsidRPr="002A78B6">
              <w:rPr>
                <w:rStyle w:val="Hyperlink"/>
                <w:rFonts w:ascii="Times New Roman" w:hAnsi="Times New Roman" w:cs="Times New Roman"/>
                <w:noProof/>
                <w:sz w:val="24"/>
                <w:szCs w:val="24"/>
                <w:lang w:val="en-GB"/>
              </w:rPr>
              <w:t>Element 2: STDP Analysis</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_Toc226931074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4</w:t>
            </w:r>
            <w:r w:rsidRPr="002A78B6">
              <w:rPr>
                <w:rFonts w:ascii="Times New Roman" w:hAnsi="Times New Roman" w:cs="Times New Roman"/>
                <w:noProof/>
                <w:webHidden/>
                <w:sz w:val="24"/>
                <w:szCs w:val="24"/>
              </w:rPr>
              <w:fldChar w:fldCharType="end"/>
            </w:r>
          </w:hyperlink>
        </w:p>
        <w:p w14:paraId="7EAE2909"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75" w:history="1">
            <w:r w:rsidRPr="002A78B6">
              <w:rPr>
                <w:rStyle w:val="Hyperlink"/>
                <w:rFonts w:ascii="Times New Roman" w:hAnsi="Times New Roman" w:cs="Times New Roman"/>
                <w:noProof/>
                <w:sz w:val="24"/>
                <w:szCs w:val="24"/>
                <w:lang w:val="en-GB"/>
              </w:rPr>
              <w:t>Identification of relevant market segments</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_Toc226931075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4</w:t>
            </w:r>
            <w:r w:rsidRPr="002A78B6">
              <w:rPr>
                <w:rFonts w:ascii="Times New Roman" w:hAnsi="Times New Roman" w:cs="Times New Roman"/>
                <w:noProof/>
                <w:webHidden/>
                <w:sz w:val="24"/>
                <w:szCs w:val="24"/>
              </w:rPr>
              <w:fldChar w:fldCharType="end"/>
            </w:r>
          </w:hyperlink>
        </w:p>
        <w:p w14:paraId="7A6944C3"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76" w:history="1">
            <w:r w:rsidRPr="002A78B6">
              <w:rPr>
                <w:rStyle w:val="Hyperlink"/>
                <w:rFonts w:ascii="Times New Roman" w:hAnsi="Times New Roman" w:cs="Times New Roman"/>
                <w:noProof/>
                <w:sz w:val="24"/>
                <w:szCs w:val="24"/>
                <w:lang w:val="en-GB"/>
              </w:rPr>
              <w:t>Justification of the target audience</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_Toc226931076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6</w:t>
            </w:r>
            <w:r w:rsidRPr="002A78B6">
              <w:rPr>
                <w:rFonts w:ascii="Times New Roman" w:hAnsi="Times New Roman" w:cs="Times New Roman"/>
                <w:noProof/>
                <w:webHidden/>
                <w:sz w:val="24"/>
                <w:szCs w:val="24"/>
              </w:rPr>
              <w:fldChar w:fldCharType="end"/>
            </w:r>
          </w:hyperlink>
        </w:p>
        <w:p w14:paraId="337FEED7"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77" w:history="1">
            <w:r w:rsidRPr="002A78B6">
              <w:rPr>
                <w:rStyle w:val="Hyperlink"/>
                <w:rFonts w:ascii="Times New Roman" w:hAnsi="Times New Roman" w:cs="Times New Roman"/>
                <w:noProof/>
                <w:sz w:val="24"/>
                <w:szCs w:val="24"/>
                <w:lang w:val="en-GB"/>
              </w:rPr>
              <w:t>Differentiation of brand extension from competitors</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_Toc226931077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6</w:t>
            </w:r>
            <w:r w:rsidRPr="002A78B6">
              <w:rPr>
                <w:rFonts w:ascii="Times New Roman" w:hAnsi="Times New Roman" w:cs="Times New Roman"/>
                <w:noProof/>
                <w:webHidden/>
                <w:sz w:val="24"/>
                <w:szCs w:val="24"/>
              </w:rPr>
              <w:fldChar w:fldCharType="end"/>
            </w:r>
          </w:hyperlink>
        </w:p>
        <w:p w14:paraId="4DFA8DA3"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78" w:history="1">
            <w:r w:rsidRPr="002A78B6">
              <w:rPr>
                <w:rStyle w:val="Hyperlink"/>
                <w:rFonts w:ascii="Times New Roman" w:hAnsi="Times New Roman" w:cs="Times New Roman"/>
                <w:noProof/>
                <w:sz w:val="24"/>
                <w:szCs w:val="24"/>
                <w:lang w:val="en-GB"/>
              </w:rPr>
              <w:t>Positioning strategy</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_Toc226931078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7</w:t>
            </w:r>
            <w:r w:rsidRPr="002A78B6">
              <w:rPr>
                <w:rFonts w:ascii="Times New Roman" w:hAnsi="Times New Roman" w:cs="Times New Roman"/>
                <w:noProof/>
                <w:webHidden/>
                <w:sz w:val="24"/>
                <w:szCs w:val="24"/>
              </w:rPr>
              <w:fldChar w:fldCharType="end"/>
            </w:r>
          </w:hyperlink>
        </w:p>
        <w:p w14:paraId="201896C2" w14:textId="77777777" w:rsidR="002A78B6" w:rsidRPr="002A78B6" w:rsidRDefault="002A78B6" w:rsidP="002A78B6">
          <w:pPr>
            <w:pStyle w:val="TOC1"/>
            <w:tabs>
              <w:tab w:val="right" w:leader="dot" w:pos="9350"/>
            </w:tabs>
            <w:spacing w:line="360" w:lineRule="auto"/>
            <w:jc w:val="both"/>
            <w:rPr>
              <w:rFonts w:ascii="Times New Roman" w:hAnsi="Times New Roman" w:cs="Times New Roman"/>
              <w:noProof/>
              <w:sz w:val="24"/>
              <w:szCs w:val="24"/>
            </w:rPr>
          </w:pPr>
          <w:hyperlink w:anchor="_Toc226931079" w:history="1">
            <w:r w:rsidRPr="002A78B6">
              <w:rPr>
                <w:rStyle w:val="Hyperlink"/>
                <w:rFonts w:ascii="Times New Roman" w:hAnsi="Times New Roman" w:cs="Times New Roman"/>
                <w:noProof/>
                <w:sz w:val="24"/>
                <w:szCs w:val="24"/>
                <w:lang w:val="en-GB"/>
              </w:rPr>
              <w:t>Element 3: 7Ps Marketing Mix</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_Toc226931079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8</w:t>
            </w:r>
            <w:r w:rsidRPr="002A78B6">
              <w:rPr>
                <w:rFonts w:ascii="Times New Roman" w:hAnsi="Times New Roman" w:cs="Times New Roman"/>
                <w:noProof/>
                <w:webHidden/>
                <w:sz w:val="24"/>
                <w:szCs w:val="24"/>
              </w:rPr>
              <w:fldChar w:fldCharType="end"/>
            </w:r>
          </w:hyperlink>
        </w:p>
        <w:p w14:paraId="6A5C6392"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0" w:history="1">
            <w:r w:rsidRPr="002A78B6">
              <w:rPr>
                <w:rStyle w:val="Hyperlink"/>
                <w:rFonts w:ascii="Times New Roman" w:hAnsi="Times New Roman" w:cs="Times New Roman"/>
                <w:noProof/>
                <w:sz w:val="24"/>
                <w:szCs w:val="24"/>
                <w:lang w:val="en-GB"/>
              </w:rPr>
              <w:t>1.  Product</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_Toc226931080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8</w:t>
            </w:r>
            <w:r w:rsidRPr="002A78B6">
              <w:rPr>
                <w:rFonts w:ascii="Times New Roman" w:hAnsi="Times New Roman" w:cs="Times New Roman"/>
                <w:noProof/>
                <w:webHidden/>
                <w:sz w:val="24"/>
                <w:szCs w:val="24"/>
              </w:rPr>
              <w:fldChar w:fldCharType="end"/>
            </w:r>
          </w:hyperlink>
        </w:p>
        <w:p w14:paraId="7564C2BC"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1" w:history="1">
            <w:r w:rsidRPr="002A78B6">
              <w:rPr>
                <w:rStyle w:val="Hyperlink"/>
                <w:rFonts w:ascii="Times New Roman" w:hAnsi="Times New Roman" w:cs="Times New Roman"/>
                <w:noProof/>
                <w:sz w:val="24"/>
                <w:szCs w:val="24"/>
                <w:lang w:val="en-GB"/>
              </w:rPr>
              <w:t>2. Price</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_Toc226931081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9</w:t>
            </w:r>
            <w:r w:rsidRPr="002A78B6">
              <w:rPr>
                <w:rFonts w:ascii="Times New Roman" w:hAnsi="Times New Roman" w:cs="Times New Roman"/>
                <w:noProof/>
                <w:webHidden/>
                <w:sz w:val="24"/>
                <w:szCs w:val="24"/>
              </w:rPr>
              <w:fldChar w:fldCharType="end"/>
            </w:r>
          </w:hyperlink>
        </w:p>
        <w:p w14:paraId="358F9950"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2" w:history="1">
            <w:r w:rsidRPr="002A78B6">
              <w:rPr>
                <w:rStyle w:val="Hyperlink"/>
                <w:rFonts w:ascii="Times New Roman" w:hAnsi="Times New Roman" w:cs="Times New Roman"/>
                <w:noProof/>
                <w:sz w:val="24"/>
                <w:szCs w:val="24"/>
                <w:lang w:val="en-GB"/>
              </w:rPr>
              <w:t>3. Place</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_Toc226931082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9</w:t>
            </w:r>
            <w:r w:rsidRPr="002A78B6">
              <w:rPr>
                <w:rFonts w:ascii="Times New Roman" w:hAnsi="Times New Roman" w:cs="Times New Roman"/>
                <w:noProof/>
                <w:webHidden/>
                <w:sz w:val="24"/>
                <w:szCs w:val="24"/>
              </w:rPr>
              <w:fldChar w:fldCharType="end"/>
            </w:r>
          </w:hyperlink>
        </w:p>
        <w:p w14:paraId="60F96502"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3" w:history="1">
            <w:r w:rsidRPr="002A78B6">
              <w:rPr>
                <w:rStyle w:val="Hyperlink"/>
                <w:rFonts w:ascii="Times New Roman" w:hAnsi="Times New Roman" w:cs="Times New Roman"/>
                <w:noProof/>
                <w:sz w:val="24"/>
                <w:szCs w:val="24"/>
                <w:lang w:val="en-GB"/>
              </w:rPr>
              <w:t>4. Promotion</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_Toc226931083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10</w:t>
            </w:r>
            <w:r w:rsidRPr="002A78B6">
              <w:rPr>
                <w:rFonts w:ascii="Times New Roman" w:hAnsi="Times New Roman" w:cs="Times New Roman"/>
                <w:noProof/>
                <w:webHidden/>
                <w:sz w:val="24"/>
                <w:szCs w:val="24"/>
              </w:rPr>
              <w:fldChar w:fldCharType="end"/>
            </w:r>
          </w:hyperlink>
        </w:p>
        <w:p w14:paraId="5AA4DA7D"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4" w:history="1">
            <w:r w:rsidRPr="002A78B6">
              <w:rPr>
                <w:rStyle w:val="Hyperlink"/>
                <w:rFonts w:ascii="Times New Roman" w:hAnsi="Times New Roman" w:cs="Times New Roman"/>
                <w:noProof/>
                <w:sz w:val="24"/>
                <w:szCs w:val="24"/>
                <w:lang w:val="en-GB"/>
              </w:rPr>
              <w:t>5. People</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_Toc226931084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10</w:t>
            </w:r>
            <w:r w:rsidRPr="002A78B6">
              <w:rPr>
                <w:rFonts w:ascii="Times New Roman" w:hAnsi="Times New Roman" w:cs="Times New Roman"/>
                <w:noProof/>
                <w:webHidden/>
                <w:sz w:val="24"/>
                <w:szCs w:val="24"/>
              </w:rPr>
              <w:fldChar w:fldCharType="end"/>
            </w:r>
          </w:hyperlink>
        </w:p>
        <w:p w14:paraId="015EC24F"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5" w:history="1">
            <w:r w:rsidRPr="002A78B6">
              <w:rPr>
                <w:rStyle w:val="Hyperlink"/>
                <w:rFonts w:ascii="Times New Roman" w:hAnsi="Times New Roman" w:cs="Times New Roman"/>
                <w:noProof/>
                <w:sz w:val="24"/>
                <w:szCs w:val="24"/>
                <w:lang w:val="en-GB"/>
              </w:rPr>
              <w:t>6. Process</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_Toc226931085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11</w:t>
            </w:r>
            <w:r w:rsidRPr="002A78B6">
              <w:rPr>
                <w:rFonts w:ascii="Times New Roman" w:hAnsi="Times New Roman" w:cs="Times New Roman"/>
                <w:noProof/>
                <w:webHidden/>
                <w:sz w:val="24"/>
                <w:szCs w:val="24"/>
              </w:rPr>
              <w:fldChar w:fldCharType="end"/>
            </w:r>
          </w:hyperlink>
        </w:p>
        <w:p w14:paraId="2B50FC75" w14:textId="77777777" w:rsidR="002A78B6" w:rsidRPr="002A78B6" w:rsidRDefault="002A78B6" w:rsidP="002A78B6">
          <w:pPr>
            <w:pStyle w:val="TOC2"/>
            <w:tabs>
              <w:tab w:val="right" w:leader="dot" w:pos="9350"/>
            </w:tabs>
            <w:spacing w:line="360" w:lineRule="auto"/>
            <w:jc w:val="both"/>
            <w:rPr>
              <w:rFonts w:ascii="Times New Roman" w:hAnsi="Times New Roman" w:cs="Times New Roman"/>
              <w:noProof/>
              <w:sz w:val="24"/>
              <w:szCs w:val="24"/>
            </w:rPr>
          </w:pPr>
          <w:hyperlink w:anchor="_Toc226931086" w:history="1">
            <w:r w:rsidRPr="002A78B6">
              <w:rPr>
                <w:rStyle w:val="Hyperlink"/>
                <w:rFonts w:ascii="Times New Roman" w:hAnsi="Times New Roman" w:cs="Times New Roman"/>
                <w:noProof/>
                <w:sz w:val="24"/>
                <w:szCs w:val="24"/>
                <w:lang w:val="en-GB"/>
              </w:rPr>
              <w:t>7. Physical Evidence</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_Toc226931086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11</w:t>
            </w:r>
            <w:r w:rsidRPr="002A78B6">
              <w:rPr>
                <w:rFonts w:ascii="Times New Roman" w:hAnsi="Times New Roman" w:cs="Times New Roman"/>
                <w:noProof/>
                <w:webHidden/>
                <w:sz w:val="24"/>
                <w:szCs w:val="24"/>
              </w:rPr>
              <w:fldChar w:fldCharType="end"/>
            </w:r>
          </w:hyperlink>
        </w:p>
        <w:p w14:paraId="5CF1F157" w14:textId="77777777" w:rsidR="002A78B6" w:rsidRPr="002A78B6" w:rsidRDefault="002A78B6" w:rsidP="002A78B6">
          <w:pPr>
            <w:pStyle w:val="TOC1"/>
            <w:tabs>
              <w:tab w:val="right" w:leader="dot" w:pos="9350"/>
            </w:tabs>
            <w:spacing w:line="360" w:lineRule="auto"/>
            <w:jc w:val="both"/>
            <w:rPr>
              <w:rFonts w:ascii="Times New Roman" w:hAnsi="Times New Roman" w:cs="Times New Roman"/>
              <w:noProof/>
              <w:sz w:val="24"/>
              <w:szCs w:val="24"/>
            </w:rPr>
          </w:pPr>
          <w:hyperlink w:anchor="_Toc226931087" w:history="1">
            <w:r w:rsidRPr="002A78B6">
              <w:rPr>
                <w:rStyle w:val="Hyperlink"/>
                <w:rFonts w:ascii="Times New Roman" w:hAnsi="Times New Roman" w:cs="Times New Roman"/>
                <w:noProof/>
                <w:sz w:val="24"/>
                <w:szCs w:val="24"/>
                <w:lang w:val="en-GB"/>
              </w:rPr>
              <w:t>Element 4: Reflection</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_Toc226931087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11</w:t>
            </w:r>
            <w:r w:rsidRPr="002A78B6">
              <w:rPr>
                <w:rFonts w:ascii="Times New Roman" w:hAnsi="Times New Roman" w:cs="Times New Roman"/>
                <w:noProof/>
                <w:webHidden/>
                <w:sz w:val="24"/>
                <w:szCs w:val="24"/>
              </w:rPr>
              <w:fldChar w:fldCharType="end"/>
            </w:r>
          </w:hyperlink>
        </w:p>
        <w:p w14:paraId="48C47DF8" w14:textId="77777777" w:rsidR="002A78B6" w:rsidRPr="002A78B6" w:rsidRDefault="002A78B6" w:rsidP="002A78B6">
          <w:pPr>
            <w:pStyle w:val="TOC1"/>
            <w:tabs>
              <w:tab w:val="right" w:leader="dot" w:pos="9350"/>
            </w:tabs>
            <w:spacing w:line="360" w:lineRule="auto"/>
            <w:jc w:val="both"/>
            <w:rPr>
              <w:rFonts w:ascii="Times New Roman" w:hAnsi="Times New Roman" w:cs="Times New Roman"/>
              <w:noProof/>
              <w:sz w:val="24"/>
              <w:szCs w:val="24"/>
            </w:rPr>
          </w:pPr>
          <w:hyperlink w:anchor="_Toc226931088" w:history="1">
            <w:r w:rsidRPr="002A78B6">
              <w:rPr>
                <w:rStyle w:val="Hyperlink"/>
                <w:rFonts w:ascii="Times New Roman" w:hAnsi="Times New Roman" w:cs="Times New Roman"/>
                <w:noProof/>
                <w:sz w:val="24"/>
                <w:szCs w:val="24"/>
                <w:lang w:val="en-GB"/>
              </w:rPr>
              <w:t>References</w:t>
            </w:r>
            <w:r w:rsidRPr="002A78B6">
              <w:rPr>
                <w:rFonts w:ascii="Times New Roman" w:hAnsi="Times New Roman" w:cs="Times New Roman"/>
                <w:noProof/>
                <w:webHidden/>
                <w:sz w:val="24"/>
                <w:szCs w:val="24"/>
              </w:rPr>
              <w:tab/>
            </w:r>
            <w:r w:rsidRPr="002A78B6">
              <w:rPr>
                <w:rFonts w:ascii="Times New Roman" w:hAnsi="Times New Roman" w:cs="Times New Roman"/>
                <w:noProof/>
                <w:webHidden/>
                <w:sz w:val="24"/>
                <w:szCs w:val="24"/>
              </w:rPr>
              <w:fldChar w:fldCharType="begin"/>
            </w:r>
            <w:r w:rsidRPr="002A78B6">
              <w:rPr>
                <w:rFonts w:ascii="Times New Roman" w:hAnsi="Times New Roman" w:cs="Times New Roman"/>
                <w:noProof/>
                <w:webHidden/>
                <w:sz w:val="24"/>
                <w:szCs w:val="24"/>
              </w:rPr>
              <w:instrText xml:space="preserve"> PAGEREF _Toc226931088 \h </w:instrText>
            </w:r>
            <w:r w:rsidRPr="002A78B6">
              <w:rPr>
                <w:rFonts w:ascii="Times New Roman" w:hAnsi="Times New Roman" w:cs="Times New Roman"/>
                <w:noProof/>
                <w:webHidden/>
                <w:sz w:val="24"/>
                <w:szCs w:val="24"/>
              </w:rPr>
            </w:r>
            <w:r w:rsidRPr="002A78B6">
              <w:rPr>
                <w:rFonts w:ascii="Times New Roman" w:hAnsi="Times New Roman" w:cs="Times New Roman"/>
                <w:noProof/>
                <w:webHidden/>
                <w:sz w:val="24"/>
                <w:szCs w:val="24"/>
              </w:rPr>
              <w:fldChar w:fldCharType="separate"/>
            </w:r>
            <w:r w:rsidRPr="002A78B6">
              <w:rPr>
                <w:rFonts w:ascii="Times New Roman" w:hAnsi="Times New Roman" w:cs="Times New Roman"/>
                <w:noProof/>
                <w:webHidden/>
                <w:sz w:val="24"/>
                <w:szCs w:val="24"/>
              </w:rPr>
              <w:t>14</w:t>
            </w:r>
            <w:r w:rsidRPr="002A78B6">
              <w:rPr>
                <w:rFonts w:ascii="Times New Roman" w:hAnsi="Times New Roman" w:cs="Times New Roman"/>
                <w:noProof/>
                <w:webHidden/>
                <w:sz w:val="24"/>
                <w:szCs w:val="24"/>
              </w:rPr>
              <w:fldChar w:fldCharType="end"/>
            </w:r>
          </w:hyperlink>
        </w:p>
        <w:p w14:paraId="35216FC8" w14:textId="77777777" w:rsidR="002A78B6" w:rsidRDefault="002A78B6" w:rsidP="002A78B6">
          <w:pPr>
            <w:spacing w:line="360" w:lineRule="auto"/>
            <w:jc w:val="both"/>
          </w:pPr>
          <w:r w:rsidRPr="002A78B6">
            <w:rPr>
              <w:rFonts w:ascii="Times New Roman" w:hAnsi="Times New Roman" w:cs="Times New Roman"/>
              <w:b/>
              <w:bCs/>
              <w:noProof/>
              <w:sz w:val="24"/>
              <w:szCs w:val="24"/>
            </w:rPr>
            <w:fldChar w:fldCharType="end"/>
          </w:r>
        </w:p>
      </w:sdtContent>
    </w:sdt>
    <w:p w14:paraId="5ECA1995" w14:textId="77777777" w:rsidR="004D0C26" w:rsidRDefault="004D0C26">
      <w:pP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0A443F60" w14:textId="01EDB404" w:rsidR="002C194B" w:rsidRDefault="002C194B" w:rsidP="008E3352">
      <w:pPr>
        <w:pStyle w:val="Heading1"/>
        <w:rPr>
          <w:lang w:val="en-GB"/>
        </w:rPr>
      </w:pPr>
      <w:bookmarkStart w:id="0" w:name="_Toc226931073"/>
      <w:r w:rsidRPr="002C194B">
        <w:rPr>
          <w:lang w:val="en-GB"/>
        </w:rPr>
        <w:lastRenderedPageBreak/>
        <w:t>Element 1: Brand Extension Poster Presentation</w:t>
      </w:r>
      <w:bookmarkEnd w:id="0"/>
    </w:p>
    <w:p w14:paraId="773FFBF8" w14:textId="77777777" w:rsidR="006B34AA" w:rsidRDefault="002C194B" w:rsidP="00F34CE8">
      <w:pPr>
        <w:spacing w:line="360" w:lineRule="auto"/>
        <w:ind w:left="-567"/>
        <w:jc w:val="center"/>
        <w:rPr>
          <w:rFonts w:ascii="Times New Roman" w:eastAsia="Times New Roman" w:hAnsi="Times New Roman" w:cs="Times New Roman"/>
          <w:b/>
          <w:bCs/>
          <w:sz w:val="24"/>
          <w:szCs w:val="24"/>
          <w:lang w:val="en-GB"/>
        </w:rPr>
      </w:pPr>
      <w:r w:rsidRPr="002C194B">
        <w:rPr>
          <w:rFonts w:ascii="Times New Roman" w:eastAsia="Times New Roman" w:hAnsi="Times New Roman" w:cs="Times New Roman"/>
          <w:b/>
          <w:bCs/>
          <w:noProof/>
          <w:sz w:val="24"/>
          <w:szCs w:val="24"/>
          <w:lang w:val="en-IN"/>
        </w:rPr>
        <w:drawing>
          <wp:inline distT="0" distB="0" distL="0" distR="0" wp14:anchorId="01C9F8A8" wp14:editId="52E9BE30">
            <wp:extent cx="6794695" cy="763222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842578" cy="7686012"/>
                    </a:xfrm>
                    <a:prstGeom prst="rect">
                      <a:avLst/>
                    </a:prstGeom>
                  </pic:spPr>
                </pic:pic>
              </a:graphicData>
            </a:graphic>
          </wp:inline>
        </w:drawing>
      </w:r>
    </w:p>
    <w:p w14:paraId="6CB25ED7" w14:textId="77777777" w:rsidR="006B34AA" w:rsidRPr="006B34AA" w:rsidRDefault="006B34AA" w:rsidP="006B34AA">
      <w:pPr>
        <w:spacing w:line="360" w:lineRule="auto"/>
        <w:jc w:val="center"/>
        <w:rPr>
          <w:rFonts w:ascii="Times New Roman" w:eastAsia="Times New Roman" w:hAnsi="Times New Roman" w:cs="Times New Roman"/>
          <w:b/>
          <w:bCs/>
          <w:sz w:val="24"/>
          <w:szCs w:val="24"/>
          <w:lang w:val="en-GB"/>
        </w:rPr>
      </w:pPr>
      <w:r w:rsidRPr="006B34AA">
        <w:rPr>
          <w:rFonts w:ascii="Times New Roman" w:eastAsia="Times New Roman" w:hAnsi="Times New Roman" w:cs="Times New Roman"/>
          <w:b/>
          <w:bCs/>
          <w:sz w:val="24"/>
          <w:szCs w:val="24"/>
          <w:lang w:val="en-GB"/>
        </w:rPr>
        <w:lastRenderedPageBreak/>
        <w:t>Figure 1: Brand Extension Poster</w:t>
      </w:r>
    </w:p>
    <w:p w14:paraId="11ED40CA" w14:textId="77777777" w:rsidR="006B34AA" w:rsidRPr="006B34AA" w:rsidRDefault="006B34AA" w:rsidP="006B34AA">
      <w:pPr>
        <w:spacing w:line="360" w:lineRule="auto"/>
        <w:jc w:val="center"/>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(Source: Self-created)</w:t>
      </w:r>
    </w:p>
    <w:p w14:paraId="55DB4166" w14:textId="77777777" w:rsidR="00600C96" w:rsidRPr="00040D9B" w:rsidRDefault="00266115" w:rsidP="008E3352">
      <w:pPr>
        <w:pStyle w:val="Heading1"/>
        <w:rPr>
          <w:lang w:val="en-GB"/>
        </w:rPr>
      </w:pPr>
      <w:bookmarkStart w:id="1" w:name="_Toc226931074"/>
      <w:r w:rsidRPr="00040D9B">
        <w:rPr>
          <w:lang w:val="en-GB"/>
        </w:rPr>
        <w:t>Element 2: STDP Analysis</w:t>
      </w:r>
      <w:bookmarkEnd w:id="1"/>
    </w:p>
    <w:p w14:paraId="5768D2D9" w14:textId="77777777" w:rsidR="00600C96" w:rsidRPr="00F722A9" w:rsidRDefault="00266115" w:rsidP="008C5C1F">
      <w:pPr>
        <w:pStyle w:val="Heading2"/>
        <w:rPr>
          <w:lang w:val="en-GB"/>
        </w:rPr>
      </w:pPr>
      <w:bookmarkStart w:id="2" w:name="_Toc226931075"/>
      <w:r w:rsidRPr="00F722A9">
        <w:rPr>
          <w:lang w:val="en-GB"/>
        </w:rPr>
        <w:t>Identification of relevant market segments</w:t>
      </w:r>
      <w:bookmarkEnd w:id="2"/>
      <w:r w:rsidRPr="00F722A9">
        <w:rPr>
          <w:lang w:val="en-GB"/>
        </w:rPr>
        <w:t xml:space="preserve"> </w:t>
      </w:r>
    </w:p>
    <w:tbl>
      <w:tblPr>
        <w:tblStyle w:val="a"/>
        <w:tblW w:w="977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2127"/>
        <w:gridCol w:w="3543"/>
        <w:gridCol w:w="2410"/>
      </w:tblGrid>
      <w:tr w:rsidR="00600C96" w:rsidRPr="00F722A9" w14:paraId="55FAC735" w14:textId="77777777" w:rsidTr="00F34CE8">
        <w:tc>
          <w:tcPr>
            <w:tcW w:w="1691" w:type="dxa"/>
            <w:shd w:val="clear" w:color="auto" w:fill="auto"/>
            <w:tcMar>
              <w:top w:w="100" w:type="dxa"/>
              <w:left w:w="100" w:type="dxa"/>
              <w:bottom w:w="100" w:type="dxa"/>
              <w:right w:w="100" w:type="dxa"/>
            </w:tcMar>
          </w:tcPr>
          <w:p w14:paraId="6B6DC524"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b/>
                <w:bCs/>
                <w:sz w:val="24"/>
                <w:szCs w:val="24"/>
                <w:lang w:val="en-GB"/>
              </w:rPr>
              <w:t xml:space="preserve">Segmentation Variables </w:t>
            </w:r>
          </w:p>
        </w:tc>
        <w:tc>
          <w:tcPr>
            <w:tcW w:w="2127" w:type="dxa"/>
            <w:shd w:val="clear" w:color="auto" w:fill="auto"/>
            <w:tcMar>
              <w:top w:w="100" w:type="dxa"/>
              <w:left w:w="100" w:type="dxa"/>
              <w:bottom w:w="100" w:type="dxa"/>
              <w:right w:w="100" w:type="dxa"/>
            </w:tcMar>
          </w:tcPr>
          <w:p w14:paraId="6D30EF03"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b/>
                <w:bCs/>
                <w:sz w:val="24"/>
                <w:szCs w:val="24"/>
                <w:lang w:val="en-GB"/>
              </w:rPr>
              <w:t>Description of Segment</w:t>
            </w:r>
          </w:p>
        </w:tc>
        <w:tc>
          <w:tcPr>
            <w:tcW w:w="3543" w:type="dxa"/>
            <w:shd w:val="clear" w:color="auto" w:fill="auto"/>
            <w:tcMar>
              <w:top w:w="100" w:type="dxa"/>
              <w:left w:w="100" w:type="dxa"/>
              <w:bottom w:w="100" w:type="dxa"/>
              <w:right w:w="100" w:type="dxa"/>
            </w:tcMar>
          </w:tcPr>
          <w:p w14:paraId="094E2660"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b/>
                <w:bCs/>
                <w:sz w:val="24"/>
                <w:szCs w:val="24"/>
                <w:lang w:val="en-GB"/>
              </w:rPr>
              <w:t>Data focusing on the UK</w:t>
            </w:r>
          </w:p>
        </w:tc>
        <w:tc>
          <w:tcPr>
            <w:tcW w:w="2410" w:type="dxa"/>
            <w:shd w:val="clear" w:color="auto" w:fill="auto"/>
            <w:tcMar>
              <w:top w:w="100" w:type="dxa"/>
              <w:left w:w="100" w:type="dxa"/>
              <w:bottom w:w="100" w:type="dxa"/>
              <w:right w:w="100" w:type="dxa"/>
            </w:tcMar>
          </w:tcPr>
          <w:p w14:paraId="1622F417"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b/>
                <w:bCs/>
                <w:sz w:val="24"/>
                <w:szCs w:val="24"/>
                <w:lang w:val="en-GB"/>
              </w:rPr>
              <w:t xml:space="preserve">Relevance to Android XR Glasses </w:t>
            </w:r>
          </w:p>
        </w:tc>
      </w:tr>
      <w:tr w:rsidR="00600C96" w:rsidRPr="00F722A9" w14:paraId="008C157A" w14:textId="77777777" w:rsidTr="00F34CE8">
        <w:tc>
          <w:tcPr>
            <w:tcW w:w="1691" w:type="dxa"/>
            <w:shd w:val="clear" w:color="auto" w:fill="auto"/>
            <w:tcMar>
              <w:top w:w="100" w:type="dxa"/>
              <w:left w:w="100" w:type="dxa"/>
              <w:bottom w:w="100" w:type="dxa"/>
              <w:right w:w="100" w:type="dxa"/>
            </w:tcMar>
          </w:tcPr>
          <w:p w14:paraId="10B92695"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Geographic</w:t>
            </w:r>
          </w:p>
        </w:tc>
        <w:tc>
          <w:tcPr>
            <w:tcW w:w="2127" w:type="dxa"/>
            <w:shd w:val="clear" w:color="auto" w:fill="auto"/>
            <w:tcMar>
              <w:top w:w="100" w:type="dxa"/>
              <w:left w:w="100" w:type="dxa"/>
              <w:bottom w:w="100" w:type="dxa"/>
              <w:right w:w="100" w:type="dxa"/>
            </w:tcMar>
          </w:tcPr>
          <w:p w14:paraId="2A09CBF1"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London, Manchester, Birmingham, Cambridge and Edinburgh</w:t>
            </w:r>
          </w:p>
        </w:tc>
        <w:tc>
          <w:tcPr>
            <w:tcW w:w="3543" w:type="dxa"/>
            <w:shd w:val="clear" w:color="auto" w:fill="auto"/>
            <w:tcMar>
              <w:top w:w="100" w:type="dxa"/>
              <w:left w:w="100" w:type="dxa"/>
              <w:bottom w:w="100" w:type="dxa"/>
              <w:right w:w="100" w:type="dxa"/>
            </w:tcMar>
          </w:tcPr>
          <w:p w14:paraId="54E19DAA"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 xml:space="preserve">The top UK tech hubs include London, Manchester, Birmingham, Cambridge and Edinburgh. London is the UK tech investment </w:t>
            </w:r>
            <w:r w:rsidR="008E3352" w:rsidRPr="00F722A9">
              <w:rPr>
                <w:rFonts w:ascii="Times New Roman" w:eastAsia="Times New Roman" w:hAnsi="Times New Roman" w:cs="Times New Roman"/>
                <w:sz w:val="24"/>
                <w:szCs w:val="24"/>
                <w:lang w:val="en-GB"/>
              </w:rPr>
              <w:t>centre</w:t>
            </w:r>
            <w:r w:rsidRPr="00F722A9">
              <w:rPr>
                <w:rFonts w:ascii="Times New Roman" w:eastAsia="Times New Roman" w:hAnsi="Times New Roman" w:cs="Times New Roman"/>
                <w:sz w:val="24"/>
                <w:szCs w:val="24"/>
                <w:lang w:val="en-GB"/>
              </w:rPr>
              <w:t>, contributing to the UK tech investment by 23%, as well as the home of more than 300,000 tech professionals (</w:t>
            </w:r>
            <w:proofErr w:type="spellStart"/>
            <w:r w:rsidRPr="00F722A9">
              <w:rPr>
                <w:rFonts w:ascii="Times New Roman" w:eastAsia="Times New Roman" w:hAnsi="Times New Roman" w:cs="Times New Roman"/>
                <w:sz w:val="24"/>
                <w:szCs w:val="24"/>
                <w:lang w:val="en-GB"/>
              </w:rPr>
              <w:t>AInvest</w:t>
            </w:r>
            <w:proofErr w:type="spellEnd"/>
            <w:r w:rsidRPr="00F722A9">
              <w:rPr>
                <w:rFonts w:ascii="Times New Roman" w:eastAsia="Times New Roman" w:hAnsi="Times New Roman" w:cs="Times New Roman"/>
                <w:sz w:val="24"/>
                <w:szCs w:val="24"/>
                <w:lang w:val="en-GB"/>
              </w:rPr>
              <w:t>, 2025).</w:t>
            </w:r>
          </w:p>
        </w:tc>
        <w:tc>
          <w:tcPr>
            <w:tcW w:w="2410" w:type="dxa"/>
            <w:shd w:val="clear" w:color="auto" w:fill="auto"/>
            <w:tcMar>
              <w:top w:w="100" w:type="dxa"/>
              <w:left w:w="100" w:type="dxa"/>
              <w:bottom w:w="100" w:type="dxa"/>
              <w:right w:w="100" w:type="dxa"/>
            </w:tcMar>
          </w:tcPr>
          <w:p w14:paraId="6E6A56AD"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The likelihood of high adoption because of digital infrastructure, smart city programs, and a culture of early technology adoption (</w:t>
            </w:r>
            <w:r w:rsidRPr="00F722A9">
              <w:rPr>
                <w:rFonts w:ascii="Times New Roman" w:eastAsia="Times New Roman" w:hAnsi="Times New Roman" w:cs="Times New Roman"/>
                <w:sz w:val="24"/>
                <w:szCs w:val="24"/>
                <w:highlight w:val="white"/>
                <w:lang w:val="en-GB"/>
              </w:rPr>
              <w:t xml:space="preserve">Choi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2023</w:t>
            </w:r>
            <w:r w:rsidRPr="00F722A9">
              <w:rPr>
                <w:rFonts w:ascii="Times New Roman" w:eastAsia="Times New Roman" w:hAnsi="Times New Roman" w:cs="Times New Roman"/>
                <w:sz w:val="24"/>
                <w:szCs w:val="24"/>
                <w:lang w:val="en-GB"/>
              </w:rPr>
              <w:t>).</w:t>
            </w:r>
          </w:p>
        </w:tc>
      </w:tr>
      <w:tr w:rsidR="00600C96" w:rsidRPr="00F722A9" w14:paraId="11616C93" w14:textId="77777777" w:rsidTr="00F34CE8">
        <w:tc>
          <w:tcPr>
            <w:tcW w:w="1691" w:type="dxa"/>
            <w:shd w:val="clear" w:color="auto" w:fill="auto"/>
            <w:tcMar>
              <w:top w:w="100" w:type="dxa"/>
              <w:left w:w="100" w:type="dxa"/>
              <w:bottom w:w="100" w:type="dxa"/>
              <w:right w:w="100" w:type="dxa"/>
            </w:tcMar>
          </w:tcPr>
          <w:p w14:paraId="192088B8"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Demographic</w:t>
            </w:r>
          </w:p>
        </w:tc>
        <w:tc>
          <w:tcPr>
            <w:tcW w:w="2127" w:type="dxa"/>
            <w:shd w:val="clear" w:color="auto" w:fill="auto"/>
            <w:tcMar>
              <w:top w:w="100" w:type="dxa"/>
              <w:left w:w="100" w:type="dxa"/>
              <w:bottom w:w="100" w:type="dxa"/>
              <w:right w:w="100" w:type="dxa"/>
            </w:tcMar>
          </w:tcPr>
          <w:p w14:paraId="1029B272"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Enterprise users &amp; young professionals from 20 to 45 years.</w:t>
            </w:r>
          </w:p>
        </w:tc>
        <w:tc>
          <w:tcPr>
            <w:tcW w:w="3543" w:type="dxa"/>
            <w:shd w:val="clear" w:color="auto" w:fill="auto"/>
            <w:tcMar>
              <w:top w:w="100" w:type="dxa"/>
              <w:left w:w="100" w:type="dxa"/>
              <w:bottom w:w="100" w:type="dxa"/>
              <w:right w:w="100" w:type="dxa"/>
            </w:tcMar>
          </w:tcPr>
          <w:p w14:paraId="2AAF75DA"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UK contains 14 million people between 20 and 44 years, as it contains 60% of its population who are active smartphone and wearable users (The Register, 2026). The upper income groups were concentrated in South East England.</w:t>
            </w:r>
          </w:p>
        </w:tc>
        <w:tc>
          <w:tcPr>
            <w:tcW w:w="2410" w:type="dxa"/>
            <w:shd w:val="clear" w:color="auto" w:fill="auto"/>
            <w:tcMar>
              <w:top w:w="100" w:type="dxa"/>
              <w:left w:w="100" w:type="dxa"/>
              <w:bottom w:w="100" w:type="dxa"/>
              <w:right w:w="100" w:type="dxa"/>
            </w:tcMar>
          </w:tcPr>
          <w:p w14:paraId="2848F165"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Money and the high demand for wearable technology that will improve productivity.</w:t>
            </w:r>
          </w:p>
        </w:tc>
      </w:tr>
      <w:tr w:rsidR="00600C96" w:rsidRPr="00F722A9" w14:paraId="00D75985" w14:textId="77777777" w:rsidTr="00F34CE8">
        <w:tc>
          <w:tcPr>
            <w:tcW w:w="1691" w:type="dxa"/>
            <w:shd w:val="clear" w:color="auto" w:fill="auto"/>
            <w:tcMar>
              <w:top w:w="100" w:type="dxa"/>
              <w:left w:w="100" w:type="dxa"/>
              <w:bottom w:w="100" w:type="dxa"/>
              <w:right w:w="100" w:type="dxa"/>
            </w:tcMar>
          </w:tcPr>
          <w:p w14:paraId="618EFA10"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Psychographic</w:t>
            </w:r>
          </w:p>
        </w:tc>
        <w:tc>
          <w:tcPr>
            <w:tcW w:w="2127" w:type="dxa"/>
            <w:shd w:val="clear" w:color="auto" w:fill="auto"/>
            <w:tcMar>
              <w:top w:w="100" w:type="dxa"/>
              <w:left w:w="100" w:type="dxa"/>
              <w:bottom w:w="100" w:type="dxa"/>
              <w:right w:w="100" w:type="dxa"/>
            </w:tcMar>
          </w:tcPr>
          <w:p w14:paraId="451C11EA"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 xml:space="preserve">Innovation-oriented, tech-savvy and </w:t>
            </w:r>
            <w:r w:rsidRPr="00F722A9">
              <w:rPr>
                <w:rFonts w:ascii="Times New Roman" w:eastAsia="Times New Roman" w:hAnsi="Times New Roman" w:cs="Times New Roman"/>
                <w:sz w:val="24"/>
                <w:szCs w:val="24"/>
                <w:lang w:val="en-GB"/>
              </w:rPr>
              <w:lastRenderedPageBreak/>
              <w:t>sustainability-minded consumers.</w:t>
            </w:r>
          </w:p>
        </w:tc>
        <w:tc>
          <w:tcPr>
            <w:tcW w:w="3543" w:type="dxa"/>
            <w:shd w:val="clear" w:color="auto" w:fill="auto"/>
            <w:tcMar>
              <w:top w:w="100" w:type="dxa"/>
              <w:left w:w="100" w:type="dxa"/>
              <w:bottom w:w="100" w:type="dxa"/>
              <w:right w:w="100" w:type="dxa"/>
            </w:tcMar>
          </w:tcPr>
          <w:p w14:paraId="60E814EC"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 xml:space="preserve">UK consumers choose brands with sustainable practices and 72% of consumers are interested in the </w:t>
            </w:r>
            <w:r w:rsidRPr="00F722A9">
              <w:rPr>
                <w:rFonts w:ascii="Times New Roman" w:eastAsia="Times New Roman" w:hAnsi="Times New Roman" w:cs="Times New Roman"/>
                <w:sz w:val="24"/>
                <w:szCs w:val="24"/>
                <w:lang w:val="en-GB"/>
              </w:rPr>
              <w:lastRenderedPageBreak/>
              <w:t>innovations of AI and AR (</w:t>
            </w:r>
            <w:proofErr w:type="spellStart"/>
            <w:r w:rsidRPr="00F722A9">
              <w:rPr>
                <w:rFonts w:ascii="Times New Roman" w:eastAsia="Times New Roman" w:hAnsi="Times New Roman" w:cs="Times New Roman"/>
                <w:sz w:val="24"/>
                <w:szCs w:val="24"/>
                <w:highlight w:val="white"/>
                <w:lang w:val="en-GB"/>
              </w:rPr>
              <w:t>Catbas</w:t>
            </w:r>
            <w:proofErr w:type="spellEnd"/>
            <w:r w:rsidRPr="00F722A9">
              <w:rPr>
                <w:rFonts w:ascii="Times New Roman" w:eastAsia="Times New Roman" w:hAnsi="Times New Roman" w:cs="Times New Roman"/>
                <w:sz w:val="24"/>
                <w:szCs w:val="24"/>
                <w:highlight w:val="white"/>
                <w:lang w:val="en-GB"/>
              </w:rPr>
              <w:t xml:space="preserv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2022</w:t>
            </w:r>
            <w:r w:rsidRPr="00F722A9">
              <w:rPr>
                <w:rFonts w:ascii="Times New Roman" w:eastAsia="Times New Roman" w:hAnsi="Times New Roman" w:cs="Times New Roman"/>
                <w:sz w:val="24"/>
                <w:szCs w:val="24"/>
                <w:lang w:val="en-GB"/>
              </w:rPr>
              <w:t>).</w:t>
            </w:r>
          </w:p>
        </w:tc>
        <w:tc>
          <w:tcPr>
            <w:tcW w:w="2410" w:type="dxa"/>
            <w:shd w:val="clear" w:color="auto" w:fill="auto"/>
            <w:tcMar>
              <w:top w:w="100" w:type="dxa"/>
              <w:left w:w="100" w:type="dxa"/>
              <w:bottom w:w="100" w:type="dxa"/>
              <w:right w:w="100" w:type="dxa"/>
            </w:tcMar>
          </w:tcPr>
          <w:p w14:paraId="4277968C"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 xml:space="preserve">Fits into the AI ecosystem and the sustainability of </w:t>
            </w:r>
            <w:r w:rsidRPr="00F722A9">
              <w:rPr>
                <w:rFonts w:ascii="Times New Roman" w:eastAsia="Times New Roman" w:hAnsi="Times New Roman" w:cs="Times New Roman"/>
                <w:sz w:val="24"/>
                <w:szCs w:val="24"/>
                <w:lang w:val="en-GB"/>
              </w:rPr>
              <w:lastRenderedPageBreak/>
              <w:t>reducing device dependency of Google (</w:t>
            </w:r>
            <w:r w:rsidRPr="00F722A9">
              <w:rPr>
                <w:rFonts w:ascii="Times New Roman" w:eastAsia="Times New Roman" w:hAnsi="Times New Roman" w:cs="Times New Roman"/>
                <w:sz w:val="24"/>
                <w:szCs w:val="24"/>
                <w:highlight w:val="white"/>
                <w:lang w:val="en-GB"/>
              </w:rPr>
              <w:t>Oh and Shon, 2024</w:t>
            </w:r>
            <w:r w:rsidRPr="00F722A9">
              <w:rPr>
                <w:rFonts w:ascii="Times New Roman" w:eastAsia="Times New Roman" w:hAnsi="Times New Roman" w:cs="Times New Roman"/>
                <w:sz w:val="24"/>
                <w:szCs w:val="24"/>
                <w:lang w:val="en-GB"/>
              </w:rPr>
              <w:t>).</w:t>
            </w:r>
          </w:p>
        </w:tc>
      </w:tr>
      <w:tr w:rsidR="00600C96" w:rsidRPr="00F722A9" w14:paraId="12880A7B" w14:textId="77777777" w:rsidTr="00F34CE8">
        <w:tc>
          <w:tcPr>
            <w:tcW w:w="1691" w:type="dxa"/>
            <w:shd w:val="clear" w:color="auto" w:fill="auto"/>
            <w:tcMar>
              <w:top w:w="100" w:type="dxa"/>
              <w:left w:w="100" w:type="dxa"/>
              <w:bottom w:w="100" w:type="dxa"/>
              <w:right w:w="100" w:type="dxa"/>
            </w:tcMar>
          </w:tcPr>
          <w:p w14:paraId="609202EE"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Behavioural</w:t>
            </w:r>
          </w:p>
        </w:tc>
        <w:tc>
          <w:tcPr>
            <w:tcW w:w="2127" w:type="dxa"/>
            <w:shd w:val="clear" w:color="auto" w:fill="auto"/>
            <w:tcMar>
              <w:top w:w="100" w:type="dxa"/>
              <w:left w:w="100" w:type="dxa"/>
              <w:bottom w:w="100" w:type="dxa"/>
              <w:right w:w="100" w:type="dxa"/>
            </w:tcMar>
          </w:tcPr>
          <w:p w14:paraId="5C874678"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High-volume users of the internet, multi-taskers and efficiency seekers in the enterprise.</w:t>
            </w:r>
          </w:p>
        </w:tc>
        <w:tc>
          <w:tcPr>
            <w:tcW w:w="3543" w:type="dxa"/>
            <w:shd w:val="clear" w:color="auto" w:fill="auto"/>
            <w:tcMar>
              <w:top w:w="100" w:type="dxa"/>
              <w:left w:w="100" w:type="dxa"/>
              <w:bottom w:w="100" w:type="dxa"/>
              <w:right w:w="100" w:type="dxa"/>
            </w:tcMar>
          </w:tcPr>
          <w:p w14:paraId="4CA73F03"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UK practitioners are dedicating an average of 6+ hours per day to digital devices; the implementation of XR by enterprises is projected to increase by an average of 11% per year in Europe (</w:t>
            </w:r>
            <w:r w:rsidRPr="00F722A9">
              <w:rPr>
                <w:rFonts w:ascii="Times New Roman" w:eastAsia="Times New Roman" w:hAnsi="Times New Roman" w:cs="Times New Roman"/>
                <w:sz w:val="24"/>
                <w:szCs w:val="24"/>
                <w:highlight w:val="white"/>
                <w:lang w:val="en-GB"/>
              </w:rPr>
              <w:t xml:space="preserve">Ye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2026</w:t>
            </w:r>
            <w:r w:rsidRPr="00F722A9">
              <w:rPr>
                <w:rFonts w:ascii="Times New Roman" w:eastAsia="Times New Roman" w:hAnsi="Times New Roman" w:cs="Times New Roman"/>
                <w:sz w:val="24"/>
                <w:szCs w:val="24"/>
                <w:lang w:val="en-GB"/>
              </w:rPr>
              <w:t>).</w:t>
            </w:r>
          </w:p>
        </w:tc>
        <w:tc>
          <w:tcPr>
            <w:tcW w:w="2410" w:type="dxa"/>
            <w:shd w:val="clear" w:color="auto" w:fill="auto"/>
            <w:tcMar>
              <w:top w:w="100" w:type="dxa"/>
              <w:left w:w="100" w:type="dxa"/>
              <w:bottom w:w="100" w:type="dxa"/>
              <w:right w:w="100" w:type="dxa"/>
            </w:tcMar>
          </w:tcPr>
          <w:p w14:paraId="472932A0" w14:textId="77777777" w:rsidR="00600C96" w:rsidRPr="00F722A9" w:rsidRDefault="00266115" w:rsidP="006B34A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XR glasses provide hands-free productivity, real-time data, and can be easily integrated into existing workflows.</w:t>
            </w:r>
          </w:p>
        </w:tc>
      </w:tr>
    </w:tbl>
    <w:p w14:paraId="0806C8CF" w14:textId="77777777" w:rsidR="00600C96" w:rsidRPr="00F722A9" w:rsidRDefault="00266115" w:rsidP="008E3352">
      <w:pPr>
        <w:spacing w:line="360" w:lineRule="auto"/>
        <w:jc w:val="center"/>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b/>
          <w:bCs/>
          <w:sz w:val="24"/>
          <w:szCs w:val="24"/>
          <w:lang w:val="en-GB"/>
        </w:rPr>
        <w:t>Table 1: Market segments</w:t>
      </w:r>
    </w:p>
    <w:p w14:paraId="0752628D" w14:textId="77777777" w:rsidR="00600C96" w:rsidRPr="00F722A9" w:rsidRDefault="00266115" w:rsidP="008C5C1F">
      <w:pPr>
        <w:pStyle w:val="Heading2"/>
        <w:rPr>
          <w:lang w:val="en-GB"/>
        </w:rPr>
      </w:pPr>
      <w:bookmarkStart w:id="3" w:name="_Toc226931076"/>
      <w:r w:rsidRPr="00F722A9">
        <w:rPr>
          <w:lang w:val="en-GB"/>
        </w:rPr>
        <w:t>Justification of the target audience</w:t>
      </w:r>
      <w:bookmarkEnd w:id="3"/>
      <w:r w:rsidRPr="00F722A9">
        <w:rPr>
          <w:lang w:val="en-GB"/>
        </w:rPr>
        <w:t xml:space="preserve"> </w:t>
      </w:r>
    </w:p>
    <w:p w14:paraId="7E9B7B48"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The main target audience will comprise urban, technologically-minded professionals between 20 and 45 years old who are based in large cities in the UK like London, Manchester and Birmingham (</w:t>
      </w:r>
      <w:r w:rsidRPr="00F722A9">
        <w:rPr>
          <w:rFonts w:ascii="Times New Roman" w:eastAsia="Times New Roman" w:hAnsi="Times New Roman" w:cs="Times New Roman"/>
          <w:sz w:val="24"/>
          <w:szCs w:val="24"/>
          <w:highlight w:val="white"/>
          <w:lang w:val="en-GB"/>
        </w:rPr>
        <w:t xml:space="preserve">Alam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 The segment will be defined by a great deal of digital interaction, constant disposable income and a heavy dependence on technology in their personal and professional life. Also, enterprise users, such as specialists in such areas as healthcare, engineering, and logistics, will be targeted since they require hands-free and real-time data access and improved productivity tools (</w:t>
      </w:r>
      <w:r w:rsidRPr="00F722A9">
        <w:rPr>
          <w:rFonts w:ascii="Times New Roman" w:eastAsia="Times New Roman" w:hAnsi="Times New Roman" w:cs="Times New Roman"/>
          <w:sz w:val="24"/>
          <w:szCs w:val="24"/>
          <w:highlight w:val="white"/>
          <w:lang w:val="en-GB"/>
        </w:rPr>
        <w:t xml:space="preserve">Alghamdi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2024</w:t>
      </w:r>
      <w:r w:rsidRPr="00F722A9">
        <w:rPr>
          <w:rFonts w:ascii="Times New Roman" w:eastAsia="Times New Roman" w:hAnsi="Times New Roman" w:cs="Times New Roman"/>
          <w:sz w:val="24"/>
          <w:szCs w:val="24"/>
          <w:lang w:val="en-GB"/>
        </w:rPr>
        <w:t>). Such an audience will be rationalised by its correspondence to new tendencies in AI implementation, AR, and wearable computerisation, which were discovered in the brand extension concept. Moreover, the innovative and sustainable nature of their solutions will make Android XR Glasses an essential component of their digital ecosystem, thus increasing the adoption opportunities and brand engagement in the long term (</w:t>
      </w:r>
      <w:r w:rsidRPr="00F722A9">
        <w:rPr>
          <w:rFonts w:ascii="Times New Roman" w:eastAsia="Times New Roman" w:hAnsi="Times New Roman" w:cs="Times New Roman"/>
          <w:sz w:val="24"/>
          <w:szCs w:val="24"/>
          <w:highlight w:val="white"/>
          <w:lang w:val="en-GB"/>
        </w:rPr>
        <w:t xml:space="preserve">Kini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2024</w:t>
      </w:r>
      <w:r w:rsidRPr="00F722A9">
        <w:rPr>
          <w:rFonts w:ascii="Times New Roman" w:eastAsia="Times New Roman" w:hAnsi="Times New Roman" w:cs="Times New Roman"/>
          <w:sz w:val="24"/>
          <w:szCs w:val="24"/>
          <w:lang w:val="en-GB"/>
        </w:rPr>
        <w:t>).</w:t>
      </w:r>
    </w:p>
    <w:p w14:paraId="2DD584F9" w14:textId="77777777" w:rsidR="00600C96" w:rsidRPr="00F722A9" w:rsidRDefault="00266115" w:rsidP="008C5C1F">
      <w:pPr>
        <w:pStyle w:val="Heading2"/>
        <w:rPr>
          <w:lang w:val="en-GB"/>
        </w:rPr>
      </w:pPr>
      <w:bookmarkStart w:id="4" w:name="_Toc226931077"/>
      <w:r w:rsidRPr="00F722A9">
        <w:rPr>
          <w:lang w:val="en-GB"/>
        </w:rPr>
        <w:t>Differentiation of brand extension from competitors</w:t>
      </w:r>
      <w:bookmarkEnd w:id="4"/>
    </w:p>
    <w:p w14:paraId="094FDF2A" w14:textId="30965F09"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 xml:space="preserve">A combination of AI integration, ecosystem connectivity, and accessibility will allow Android XR Glasses to stand out among the competitors. In contrast to Apple Vision Pro, which is marketed as an exclusive mixed reality product at a cost of about $3,499, Android XR Glasses will be more open and affordable and yet provide high-quality features (The Register, 2026). </w:t>
      </w:r>
      <w:proofErr w:type="gramStart"/>
      <w:r w:rsidRPr="00F722A9">
        <w:rPr>
          <w:rFonts w:ascii="Times New Roman" w:eastAsia="Times New Roman" w:hAnsi="Times New Roman" w:cs="Times New Roman"/>
          <w:sz w:val="24"/>
          <w:szCs w:val="24"/>
          <w:lang w:val="en-GB"/>
        </w:rPr>
        <w:t>In spite of</w:t>
      </w:r>
      <w:proofErr w:type="gramEnd"/>
      <w:r w:rsidRPr="00F722A9">
        <w:rPr>
          <w:rFonts w:ascii="Times New Roman" w:eastAsia="Times New Roman" w:hAnsi="Times New Roman" w:cs="Times New Roman"/>
          <w:sz w:val="24"/>
          <w:szCs w:val="24"/>
          <w:lang w:val="en-GB"/>
        </w:rPr>
        <w:t xml:space="preserve"> its high technical performance and high display quality, Apple Vision Pro has a low penetration in the </w:t>
      </w:r>
      <w:r w:rsidRPr="00F722A9">
        <w:rPr>
          <w:rFonts w:ascii="Times New Roman" w:eastAsia="Times New Roman" w:hAnsi="Times New Roman" w:cs="Times New Roman"/>
          <w:sz w:val="24"/>
          <w:szCs w:val="24"/>
          <w:lang w:val="en-GB"/>
        </w:rPr>
        <w:lastRenderedPageBreak/>
        <w:t>mass market due to its high price and low acceptance, with approximately 390,000 units shipped (Statista, 2025).</w:t>
      </w:r>
      <w:r w:rsidR="00F34CE8">
        <w:rPr>
          <w:rFonts w:ascii="Times New Roman" w:eastAsia="Times New Roman" w:hAnsi="Times New Roman" w:cs="Times New Roman"/>
          <w:sz w:val="24"/>
          <w:szCs w:val="24"/>
          <w:lang w:val="en-GB"/>
        </w:rPr>
        <w:t xml:space="preserve"> </w:t>
      </w:r>
      <w:r w:rsidRPr="00F722A9">
        <w:rPr>
          <w:rFonts w:ascii="Times New Roman" w:eastAsia="Times New Roman" w:hAnsi="Times New Roman" w:cs="Times New Roman"/>
          <w:sz w:val="24"/>
          <w:szCs w:val="24"/>
          <w:lang w:val="en-GB"/>
        </w:rPr>
        <w:t xml:space="preserve">Conversely, Meta Quest and Ray-Ban Meta glasses are leading the market share of over 70% and have sold over 13 million units and are mainly targeting affordability and entertainment purposes (IDC, 2025). Nonetheless, these products have less deep AI integration and prioritise less </w:t>
      </w:r>
      <w:r w:rsidR="00F34CE8">
        <w:rPr>
          <w:rFonts w:ascii="Times New Roman" w:eastAsia="Times New Roman" w:hAnsi="Times New Roman" w:cs="Times New Roman"/>
          <w:sz w:val="24"/>
          <w:szCs w:val="24"/>
          <w:lang w:val="en-GB"/>
        </w:rPr>
        <w:t>for</w:t>
      </w:r>
      <w:r w:rsidRPr="00F722A9">
        <w:rPr>
          <w:rFonts w:ascii="Times New Roman" w:eastAsia="Times New Roman" w:hAnsi="Times New Roman" w:cs="Times New Roman"/>
          <w:sz w:val="24"/>
          <w:szCs w:val="24"/>
          <w:lang w:val="en-GB"/>
        </w:rPr>
        <w:t xml:space="preserve"> productivity and enterprise applications.</w:t>
      </w:r>
    </w:p>
    <w:p w14:paraId="4F37F188"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583109D3" w14:textId="358A2D21"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 xml:space="preserve">Android XR Glasses will be placed between these two extremes as it will integrate cutting-edge AI (Gemini), real-time support, and a little bit of integration with Google (Maps, Search, Workspace) (Counterpoint Research, 2025). Moreover, the product will be in line with the increasing demand </w:t>
      </w:r>
      <w:r w:rsidR="00F34CE8">
        <w:rPr>
          <w:rFonts w:ascii="Times New Roman" w:eastAsia="Times New Roman" w:hAnsi="Times New Roman" w:cs="Times New Roman"/>
          <w:sz w:val="24"/>
          <w:szCs w:val="24"/>
          <w:lang w:val="en-GB"/>
        </w:rPr>
        <w:t>for</w:t>
      </w:r>
      <w:r w:rsidRPr="00F722A9">
        <w:rPr>
          <w:rFonts w:ascii="Times New Roman" w:eastAsia="Times New Roman" w:hAnsi="Times New Roman" w:cs="Times New Roman"/>
          <w:sz w:val="24"/>
          <w:szCs w:val="24"/>
          <w:lang w:val="en-GB"/>
        </w:rPr>
        <w:t xml:space="preserve"> smart glasses, which have witnessed more than 200% growth in 2025 (Canalys, 2025). Thus, Android XR Glasses will provide a balanced value offer, being more advanced than devices offered by Meta and more affordable than Apple, which will significantly appeal to both consumers and businesses (</w:t>
      </w:r>
      <w:proofErr w:type="spellStart"/>
      <w:r w:rsidRPr="00F722A9">
        <w:rPr>
          <w:rFonts w:ascii="Times New Roman" w:eastAsia="Times New Roman" w:hAnsi="Times New Roman" w:cs="Times New Roman"/>
          <w:sz w:val="24"/>
          <w:szCs w:val="24"/>
          <w:lang w:val="en-GB"/>
        </w:rPr>
        <w:t>AInvest</w:t>
      </w:r>
      <w:proofErr w:type="spellEnd"/>
      <w:r w:rsidRPr="00F722A9">
        <w:rPr>
          <w:rFonts w:ascii="Times New Roman" w:eastAsia="Times New Roman" w:hAnsi="Times New Roman" w:cs="Times New Roman"/>
          <w:sz w:val="24"/>
          <w:szCs w:val="24"/>
          <w:lang w:val="en-GB"/>
        </w:rPr>
        <w:t>, 2025).</w:t>
      </w:r>
    </w:p>
    <w:p w14:paraId="6C52CD00" w14:textId="77777777" w:rsidR="00600C96" w:rsidRPr="00F722A9" w:rsidRDefault="00266115" w:rsidP="008C5C1F">
      <w:pPr>
        <w:pStyle w:val="Heading2"/>
        <w:rPr>
          <w:lang w:val="en-GB"/>
        </w:rPr>
      </w:pPr>
      <w:bookmarkStart w:id="5" w:name="_Toc226931078"/>
      <w:r w:rsidRPr="00F722A9">
        <w:rPr>
          <w:lang w:val="en-GB"/>
        </w:rPr>
        <w:t>Positioning strategy</w:t>
      </w:r>
      <w:bookmarkEnd w:id="5"/>
      <w:r w:rsidRPr="00F722A9">
        <w:rPr>
          <w:lang w:val="en-GB"/>
        </w:rPr>
        <w:t xml:space="preserve"> </w:t>
      </w:r>
    </w:p>
    <w:p w14:paraId="3F8F61AD"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noProof/>
          <w:sz w:val="24"/>
          <w:szCs w:val="24"/>
          <w:lang w:val="en-IN"/>
        </w:rPr>
        <w:drawing>
          <wp:inline distT="114300" distB="114300" distL="114300" distR="114300" wp14:anchorId="2338C01E" wp14:editId="52B14D89">
            <wp:extent cx="5943600" cy="3756074"/>
            <wp:effectExtent l="0" t="0" r="0" b="31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7532" cy="3758559"/>
                    </a:xfrm>
                    <a:prstGeom prst="rect">
                      <a:avLst/>
                    </a:prstGeom>
                    <a:ln/>
                  </pic:spPr>
                </pic:pic>
              </a:graphicData>
            </a:graphic>
          </wp:inline>
        </w:drawing>
      </w:r>
    </w:p>
    <w:p w14:paraId="596718E7" w14:textId="03A9387F" w:rsidR="00600C96" w:rsidRPr="00F34CE8" w:rsidRDefault="008C5C1F" w:rsidP="00F34CE8">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Figure 2</w:t>
      </w:r>
      <w:r w:rsidR="00266115" w:rsidRPr="00F722A9">
        <w:rPr>
          <w:rFonts w:ascii="Times New Roman" w:eastAsia="Times New Roman" w:hAnsi="Times New Roman" w:cs="Times New Roman"/>
          <w:b/>
          <w:bCs/>
          <w:sz w:val="24"/>
          <w:szCs w:val="24"/>
          <w:lang w:val="en-GB"/>
        </w:rPr>
        <w:t>: Positioning map of Android XR Glasses</w:t>
      </w:r>
      <w:r w:rsidR="00F34CE8">
        <w:rPr>
          <w:rFonts w:ascii="Times New Roman" w:eastAsia="Times New Roman" w:hAnsi="Times New Roman" w:cs="Times New Roman"/>
          <w:b/>
          <w:bCs/>
          <w:sz w:val="24"/>
          <w:szCs w:val="24"/>
          <w:lang w:val="en-GB"/>
        </w:rPr>
        <w:t xml:space="preserve"> </w:t>
      </w:r>
      <w:r w:rsidR="00266115" w:rsidRPr="00F722A9">
        <w:rPr>
          <w:rFonts w:ascii="Times New Roman" w:eastAsia="Times New Roman" w:hAnsi="Times New Roman" w:cs="Times New Roman"/>
          <w:sz w:val="24"/>
          <w:szCs w:val="24"/>
          <w:lang w:val="en-GB"/>
        </w:rPr>
        <w:t>(Source: Self-created)</w:t>
      </w:r>
    </w:p>
    <w:p w14:paraId="633343D6" w14:textId="77777777" w:rsidR="00600C96" w:rsidRDefault="008C5C1F" w:rsidP="006B34AA">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Figure 2</w:t>
      </w:r>
      <w:r w:rsidR="00266115" w:rsidRPr="00F722A9">
        <w:rPr>
          <w:rFonts w:ascii="Times New Roman" w:eastAsia="Times New Roman" w:hAnsi="Times New Roman" w:cs="Times New Roman"/>
          <w:sz w:val="24"/>
          <w:szCs w:val="24"/>
          <w:lang w:val="en-GB"/>
        </w:rPr>
        <w:t xml:space="preserve"> shows that the Android XR Glasses positioning strategy will be based on providing high technological sophistication and comparatively wide accessibility, as demonstrated in the perceptual map. The product will have a strategic place between Apple Vision Pro and Meta Quest/Ray-Ban Meta. Although Apple Vision Pro is being marketed as a high-priced, high-technology product with mixed reality features, it is still only available to a niche market (</w:t>
      </w:r>
      <w:proofErr w:type="spellStart"/>
      <w:r w:rsidR="00266115" w:rsidRPr="00F722A9">
        <w:rPr>
          <w:rFonts w:ascii="Times New Roman" w:eastAsia="Times New Roman" w:hAnsi="Times New Roman" w:cs="Times New Roman"/>
          <w:sz w:val="24"/>
          <w:szCs w:val="24"/>
          <w:lang w:val="en-GB"/>
        </w:rPr>
        <w:t>AInvest</w:t>
      </w:r>
      <w:proofErr w:type="spellEnd"/>
      <w:r w:rsidR="00266115" w:rsidRPr="00F722A9">
        <w:rPr>
          <w:rFonts w:ascii="Times New Roman" w:eastAsia="Times New Roman" w:hAnsi="Times New Roman" w:cs="Times New Roman"/>
          <w:sz w:val="24"/>
          <w:szCs w:val="24"/>
          <w:lang w:val="en-GB"/>
        </w:rPr>
        <w:t xml:space="preserve">, 2025). </w:t>
      </w:r>
    </w:p>
    <w:p w14:paraId="4E4EEE78"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40BE547D"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Android XR Glasses will be differentiated by providing high-quality AI-based features, especially with Gemini integration, and easy connectivity with the Google ecosystem, such as Maps, Search, and Workspace. This will facilitate productivity and daily usability. Positioning will thus be based on a high-value innovation strategy, which will aim at serving the users with high-end technology but not at a high price point. As a result, the product will fill the void between high-end innovation and affordability by the mass market, improving on its competitive edge.</w:t>
      </w:r>
    </w:p>
    <w:p w14:paraId="60BC20E4" w14:textId="77777777" w:rsidR="00600C96" w:rsidRPr="00F722A9" w:rsidRDefault="00266115" w:rsidP="00E94FE4">
      <w:pPr>
        <w:pStyle w:val="Heading1"/>
        <w:rPr>
          <w:lang w:val="en-GB"/>
        </w:rPr>
      </w:pPr>
      <w:bookmarkStart w:id="6" w:name="_Toc226931079"/>
      <w:r w:rsidRPr="00F722A9">
        <w:rPr>
          <w:lang w:val="en-GB"/>
        </w:rPr>
        <w:t>Element 3: 7Ps Marketing Mix</w:t>
      </w:r>
      <w:bookmarkEnd w:id="6"/>
    </w:p>
    <w:p w14:paraId="2C46B0BB"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Marketing mix offers a systematic guide to provide how Android XR Glasses will be launched and positioned in the UK market. The 7Ps model (Product, Price, Place, Promotion, People, Process, and Physical Evidence) will make sure that it is in line with the overall brand extension strategy and will assist in market competitiveness.</w:t>
      </w:r>
    </w:p>
    <w:p w14:paraId="2EF6D0F9" w14:textId="77777777" w:rsidR="00600C96" w:rsidRPr="00F722A9" w:rsidRDefault="00266115" w:rsidP="00E94FE4">
      <w:pPr>
        <w:spacing w:line="360" w:lineRule="auto"/>
        <w:jc w:val="center"/>
        <w:rPr>
          <w:rFonts w:ascii="Times New Roman" w:eastAsia="Times New Roman" w:hAnsi="Times New Roman" w:cs="Times New Roman"/>
          <w:sz w:val="24"/>
          <w:szCs w:val="24"/>
          <w:lang w:val="en-GB"/>
        </w:rPr>
      </w:pPr>
      <w:r w:rsidRPr="00F722A9">
        <w:rPr>
          <w:rFonts w:ascii="Times New Roman" w:eastAsia="Times New Roman" w:hAnsi="Times New Roman" w:cs="Times New Roman"/>
          <w:noProof/>
          <w:sz w:val="24"/>
          <w:szCs w:val="24"/>
          <w:lang w:val="en-IN"/>
        </w:rPr>
        <w:drawing>
          <wp:inline distT="114300" distB="114300" distL="114300" distR="114300" wp14:anchorId="4E9BB5F0" wp14:editId="6CD0BE9B">
            <wp:extent cx="5251319" cy="2433711"/>
            <wp:effectExtent l="0" t="0" r="0" b="508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66216" cy="2440615"/>
                    </a:xfrm>
                    <a:prstGeom prst="rect">
                      <a:avLst/>
                    </a:prstGeom>
                    <a:ln/>
                  </pic:spPr>
                </pic:pic>
              </a:graphicData>
            </a:graphic>
          </wp:inline>
        </w:drawing>
      </w:r>
    </w:p>
    <w:p w14:paraId="34237B96" w14:textId="24110A5C" w:rsidR="00600C96" w:rsidRPr="00F34CE8" w:rsidRDefault="00A96A9F" w:rsidP="00F34CE8">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Figure 3</w:t>
      </w:r>
      <w:r w:rsidR="00266115" w:rsidRPr="00F722A9">
        <w:rPr>
          <w:rFonts w:ascii="Times New Roman" w:eastAsia="Times New Roman" w:hAnsi="Times New Roman" w:cs="Times New Roman"/>
          <w:b/>
          <w:bCs/>
          <w:sz w:val="24"/>
          <w:szCs w:val="24"/>
          <w:lang w:val="en-GB"/>
        </w:rPr>
        <w:t>: 7Ps of marketing</w:t>
      </w:r>
      <w:r w:rsidR="00F34CE8">
        <w:rPr>
          <w:rFonts w:ascii="Times New Roman" w:eastAsia="Times New Roman" w:hAnsi="Times New Roman" w:cs="Times New Roman"/>
          <w:b/>
          <w:bCs/>
          <w:sz w:val="24"/>
          <w:szCs w:val="24"/>
          <w:lang w:val="en-GB"/>
        </w:rPr>
        <w:t xml:space="preserve"> </w:t>
      </w:r>
      <w:r w:rsidR="00266115" w:rsidRPr="00F722A9">
        <w:rPr>
          <w:rFonts w:ascii="Times New Roman" w:eastAsia="Times New Roman" w:hAnsi="Times New Roman" w:cs="Times New Roman"/>
          <w:sz w:val="24"/>
          <w:szCs w:val="24"/>
          <w:lang w:val="en-GB"/>
        </w:rPr>
        <w:t xml:space="preserve">(Source: </w:t>
      </w:r>
      <w:r w:rsidR="00266115" w:rsidRPr="00F722A9">
        <w:rPr>
          <w:rFonts w:ascii="Times New Roman" w:eastAsia="Times New Roman" w:hAnsi="Times New Roman" w:cs="Times New Roman"/>
          <w:sz w:val="24"/>
          <w:szCs w:val="24"/>
          <w:highlight w:val="white"/>
          <w:lang w:val="en-GB"/>
        </w:rPr>
        <w:t xml:space="preserve">Gu </w:t>
      </w:r>
      <w:r w:rsidR="00E94FE4">
        <w:rPr>
          <w:rFonts w:ascii="Times New Roman" w:eastAsia="Times New Roman" w:hAnsi="Times New Roman" w:cs="Times New Roman"/>
          <w:i/>
          <w:iCs/>
          <w:sz w:val="24"/>
          <w:szCs w:val="24"/>
          <w:highlight w:val="white"/>
          <w:lang w:val="en-GB"/>
        </w:rPr>
        <w:t>et al</w:t>
      </w:r>
      <w:r w:rsidR="00266115" w:rsidRPr="00F722A9">
        <w:rPr>
          <w:rFonts w:ascii="Times New Roman" w:eastAsia="Times New Roman" w:hAnsi="Times New Roman" w:cs="Times New Roman"/>
          <w:i/>
          <w:iCs/>
          <w:sz w:val="24"/>
          <w:szCs w:val="24"/>
          <w:highlight w:val="white"/>
          <w:lang w:val="en-GB"/>
        </w:rPr>
        <w:t xml:space="preserve">. </w:t>
      </w:r>
      <w:r w:rsidR="00266115" w:rsidRPr="00F722A9">
        <w:rPr>
          <w:rFonts w:ascii="Times New Roman" w:eastAsia="Times New Roman" w:hAnsi="Times New Roman" w:cs="Times New Roman"/>
          <w:sz w:val="24"/>
          <w:szCs w:val="24"/>
          <w:highlight w:val="white"/>
          <w:lang w:val="en-GB"/>
        </w:rPr>
        <w:t>2025)</w:t>
      </w:r>
    </w:p>
    <w:p w14:paraId="5048FDB6" w14:textId="77777777" w:rsidR="00600C96" w:rsidRPr="00F722A9" w:rsidRDefault="00266115" w:rsidP="00E94FE4">
      <w:pPr>
        <w:pStyle w:val="Heading2"/>
        <w:rPr>
          <w:lang w:val="en-GB"/>
        </w:rPr>
      </w:pPr>
      <w:bookmarkStart w:id="7" w:name="_Toc226931080"/>
      <w:r w:rsidRPr="00F722A9">
        <w:rPr>
          <w:lang w:val="en-GB"/>
        </w:rPr>
        <w:lastRenderedPageBreak/>
        <w:t>1.  Product</w:t>
      </w:r>
      <w:bookmarkEnd w:id="7"/>
      <w:r w:rsidRPr="00F722A9">
        <w:rPr>
          <w:lang w:val="en-GB"/>
        </w:rPr>
        <w:t xml:space="preserve"> </w:t>
      </w:r>
    </w:p>
    <w:p w14:paraId="1B3A0F41" w14:textId="77777777"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Android XR Glasses will be branded as a high-tech wearable device with the combination of AR, AI and the ability to seamlessly connect to the Google ecosystem. Real-time navigation, voice-assisted navigation by Gemini AI, hands-free communication, and enterprise applications are some of the features that will be added to the product.</w:t>
      </w:r>
    </w:p>
    <w:p w14:paraId="3FA57BF5"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1D67E5D1"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The UK wearable technology market has the potential to grow by more than 10% per year due to the growth in the use of smart devices and digital lifestyles. In addition, approximately 92% of adults in the UK are smartphone users, which means that there is a high willingness to use wearable connected devices (</w:t>
      </w:r>
      <w:r w:rsidRPr="00F722A9">
        <w:rPr>
          <w:rFonts w:ascii="Times New Roman" w:eastAsia="Times New Roman" w:hAnsi="Times New Roman" w:cs="Times New Roman"/>
          <w:sz w:val="24"/>
          <w:szCs w:val="24"/>
          <w:highlight w:val="white"/>
          <w:lang w:val="en-GB"/>
        </w:rPr>
        <w:t xml:space="preserve">Gu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 The product will also be in tandem with sustainability by avoiding the use of various devices like smartphones, cameras, and GPSs. This aids the increasing consumer demand with more than 70% of the UK consumers favouring environmentally responsible products (</w:t>
      </w:r>
      <w:r w:rsidRPr="00F722A9">
        <w:rPr>
          <w:rFonts w:ascii="Times New Roman" w:eastAsia="Times New Roman" w:hAnsi="Times New Roman" w:cs="Times New Roman"/>
          <w:sz w:val="24"/>
          <w:szCs w:val="24"/>
          <w:highlight w:val="white"/>
          <w:lang w:val="en-GB"/>
        </w:rPr>
        <w:t xml:space="preserve">Choi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2023</w:t>
      </w:r>
      <w:r w:rsidRPr="00F722A9">
        <w:rPr>
          <w:rFonts w:ascii="Times New Roman" w:eastAsia="Times New Roman" w:hAnsi="Times New Roman" w:cs="Times New Roman"/>
          <w:sz w:val="24"/>
          <w:szCs w:val="24"/>
          <w:lang w:val="en-GB"/>
        </w:rPr>
        <w:t>). Thus, Android XR Glasses will provide both functional and environmental value, which will make it more attractive in the UK market.</w:t>
      </w:r>
    </w:p>
    <w:p w14:paraId="35E8350E" w14:textId="77777777" w:rsidR="00600C96" w:rsidRPr="00F722A9" w:rsidRDefault="00266115" w:rsidP="00E94FE4">
      <w:pPr>
        <w:pStyle w:val="Heading2"/>
        <w:rPr>
          <w:lang w:val="en-GB"/>
        </w:rPr>
      </w:pPr>
      <w:bookmarkStart w:id="8" w:name="_Toc226931081"/>
      <w:r w:rsidRPr="00F722A9">
        <w:rPr>
          <w:lang w:val="en-GB"/>
        </w:rPr>
        <w:t>2. Price</w:t>
      </w:r>
      <w:bookmarkEnd w:id="8"/>
      <w:r w:rsidRPr="00F722A9">
        <w:rPr>
          <w:lang w:val="en-GB"/>
        </w:rPr>
        <w:t xml:space="preserve"> </w:t>
      </w:r>
    </w:p>
    <w:p w14:paraId="2848216B"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Its pricing will be a value-based competitive pricing strategy. Compared to the price of Apple Vision Pro, which costs around £3,499 (£2,800 and above), Android XR Glasses will be set in a more affordable high price bracket that could be between £800 and £1200 (</w:t>
      </w:r>
      <w:r w:rsidRPr="00F722A9">
        <w:rPr>
          <w:rFonts w:ascii="Times New Roman" w:eastAsia="Times New Roman" w:hAnsi="Times New Roman" w:cs="Times New Roman"/>
          <w:sz w:val="24"/>
          <w:szCs w:val="24"/>
          <w:highlight w:val="white"/>
          <w:lang w:val="en-GB"/>
        </w:rPr>
        <w:t xml:space="preserve">Alghamdi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2024</w:t>
      </w:r>
      <w:r w:rsidRPr="00F722A9">
        <w:rPr>
          <w:rFonts w:ascii="Times New Roman" w:eastAsia="Times New Roman" w:hAnsi="Times New Roman" w:cs="Times New Roman"/>
          <w:sz w:val="24"/>
          <w:szCs w:val="24"/>
          <w:lang w:val="en-GB"/>
        </w:rPr>
        <w:t>).</w:t>
      </w:r>
    </w:p>
    <w:p w14:paraId="7236DCB6"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This price range will indicate high-order features yet affordable to upper-middle-income customers and corporate clients. The average disposable income in the UK is approximately £32000 per annum, indicating that a mid-premium pricing approach will be suitable to strike a balance between affordability and quality of the product (</w:t>
      </w:r>
      <w:proofErr w:type="spellStart"/>
      <w:r w:rsidRPr="00F722A9">
        <w:rPr>
          <w:rFonts w:ascii="Times New Roman" w:eastAsia="Times New Roman" w:hAnsi="Times New Roman" w:cs="Times New Roman"/>
          <w:sz w:val="24"/>
          <w:szCs w:val="24"/>
          <w:highlight w:val="white"/>
          <w:lang w:val="en-GB"/>
        </w:rPr>
        <w:t>Komianos</w:t>
      </w:r>
      <w:proofErr w:type="spellEnd"/>
      <w:r w:rsidRPr="00F722A9">
        <w:rPr>
          <w:rFonts w:ascii="Times New Roman" w:eastAsia="Times New Roman" w:hAnsi="Times New Roman" w:cs="Times New Roman"/>
          <w:sz w:val="24"/>
          <w:szCs w:val="24"/>
          <w:highlight w:val="white"/>
          <w:lang w:val="en-GB"/>
        </w:rPr>
        <w:t>, 2022</w:t>
      </w:r>
      <w:r w:rsidRPr="00F722A9">
        <w:rPr>
          <w:rFonts w:ascii="Times New Roman" w:eastAsia="Times New Roman" w:hAnsi="Times New Roman" w:cs="Times New Roman"/>
          <w:sz w:val="24"/>
          <w:szCs w:val="24"/>
          <w:lang w:val="en-GB"/>
        </w:rPr>
        <w:t>). Also, it is possible to introduce subscription-based services (e.g., the possibility to use more features of AI or enterprise tools) to receive recurrent revenue. This pricing concept will allow it to be used by more people than the high-end competitors, but still have a premium brand image.</w:t>
      </w:r>
    </w:p>
    <w:p w14:paraId="3DBE1FF6" w14:textId="77777777" w:rsidR="00600C96" w:rsidRPr="00F722A9" w:rsidRDefault="00266115" w:rsidP="00E94FE4">
      <w:pPr>
        <w:pStyle w:val="Heading2"/>
        <w:rPr>
          <w:lang w:val="en-GB"/>
        </w:rPr>
      </w:pPr>
      <w:bookmarkStart w:id="9" w:name="_Toc226931082"/>
      <w:r w:rsidRPr="00F722A9">
        <w:rPr>
          <w:lang w:val="en-GB"/>
        </w:rPr>
        <w:t>3. Place</w:t>
      </w:r>
      <w:bookmarkEnd w:id="9"/>
      <w:r w:rsidRPr="00F722A9">
        <w:rPr>
          <w:lang w:val="en-GB"/>
        </w:rPr>
        <w:t xml:space="preserve"> </w:t>
      </w:r>
    </w:p>
    <w:p w14:paraId="41DD0525"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The distribution channel will be based on the online and offline distribution channels in order to reach the maximum number of markets within the UK. Android XR Glasses will be sold via:</w:t>
      </w:r>
    </w:p>
    <w:p w14:paraId="571B420B" w14:textId="77777777" w:rsidR="00600C96" w:rsidRPr="00F722A9" w:rsidRDefault="00266115" w:rsidP="006B34AA">
      <w:pPr>
        <w:numPr>
          <w:ilvl w:val="0"/>
          <w:numId w:val="1"/>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Google Store (online store).</w:t>
      </w:r>
    </w:p>
    <w:p w14:paraId="4BC18586" w14:textId="77777777" w:rsidR="00600C96" w:rsidRPr="00F722A9" w:rsidRDefault="00266115" w:rsidP="006B34AA">
      <w:pPr>
        <w:numPr>
          <w:ilvl w:val="0"/>
          <w:numId w:val="1"/>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 xml:space="preserve">Large UK electronic retailers like </w:t>
      </w:r>
      <w:proofErr w:type="spellStart"/>
      <w:r w:rsidRPr="00F722A9">
        <w:rPr>
          <w:rFonts w:ascii="Times New Roman" w:eastAsia="Times New Roman" w:hAnsi="Times New Roman" w:cs="Times New Roman"/>
          <w:sz w:val="24"/>
          <w:szCs w:val="24"/>
          <w:lang w:val="en-GB"/>
        </w:rPr>
        <w:t>Currys</w:t>
      </w:r>
      <w:proofErr w:type="spellEnd"/>
      <w:r w:rsidRPr="00F722A9">
        <w:rPr>
          <w:rFonts w:ascii="Times New Roman" w:eastAsia="Times New Roman" w:hAnsi="Times New Roman" w:cs="Times New Roman"/>
          <w:sz w:val="24"/>
          <w:szCs w:val="24"/>
          <w:lang w:val="en-GB"/>
        </w:rPr>
        <w:t xml:space="preserve"> and John Lewis (</w:t>
      </w:r>
      <w:r w:rsidRPr="00F722A9">
        <w:rPr>
          <w:rFonts w:ascii="Times New Roman" w:eastAsia="Times New Roman" w:hAnsi="Times New Roman" w:cs="Times New Roman"/>
          <w:sz w:val="24"/>
          <w:szCs w:val="24"/>
          <w:highlight w:val="white"/>
          <w:lang w:val="en-GB"/>
        </w:rPr>
        <w:t xml:space="preserve">Kini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2024</w:t>
      </w:r>
      <w:r w:rsidRPr="00F722A9">
        <w:rPr>
          <w:rFonts w:ascii="Times New Roman" w:eastAsia="Times New Roman" w:hAnsi="Times New Roman" w:cs="Times New Roman"/>
          <w:sz w:val="24"/>
          <w:szCs w:val="24"/>
          <w:lang w:val="en-GB"/>
        </w:rPr>
        <w:t>).</w:t>
      </w:r>
    </w:p>
    <w:p w14:paraId="5A2C443D" w14:textId="77777777" w:rsidR="00600C96" w:rsidRPr="00F722A9" w:rsidRDefault="00266115" w:rsidP="006B34AA">
      <w:pPr>
        <w:numPr>
          <w:ilvl w:val="0"/>
          <w:numId w:val="1"/>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Telecommunication companies like EE, Vodafone, and O2.</w:t>
      </w:r>
    </w:p>
    <w:p w14:paraId="6F42BAD7" w14:textId="77777777" w:rsidR="00600C96" w:rsidRDefault="00266115" w:rsidP="006B34AA">
      <w:pPr>
        <w:numPr>
          <w:ilvl w:val="0"/>
          <w:numId w:val="1"/>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B2B market enterprise distribution partnerships.</w:t>
      </w:r>
    </w:p>
    <w:p w14:paraId="5CF1C3B8" w14:textId="77777777" w:rsidR="00F34CE8" w:rsidRPr="00F722A9" w:rsidRDefault="00F34CE8" w:rsidP="00F34CE8">
      <w:pPr>
        <w:spacing w:line="360" w:lineRule="auto"/>
        <w:ind w:left="720"/>
        <w:jc w:val="both"/>
        <w:rPr>
          <w:rFonts w:ascii="Times New Roman" w:eastAsia="Times New Roman" w:hAnsi="Times New Roman" w:cs="Times New Roman"/>
          <w:sz w:val="24"/>
          <w:szCs w:val="24"/>
          <w:lang w:val="en-GB"/>
        </w:rPr>
      </w:pPr>
    </w:p>
    <w:p w14:paraId="6E06AC69"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Digital channels are significant as the UK e-commerce market contributes more than 30% of the total retail sales (</w:t>
      </w:r>
      <w:r w:rsidRPr="00F722A9">
        <w:rPr>
          <w:rFonts w:ascii="Times New Roman" w:eastAsia="Times New Roman" w:hAnsi="Times New Roman" w:cs="Times New Roman"/>
          <w:sz w:val="24"/>
          <w:szCs w:val="24"/>
          <w:highlight w:val="white"/>
          <w:lang w:val="en-GB"/>
        </w:rPr>
        <w:t xml:space="preserve">Ye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2026</w:t>
      </w:r>
      <w:r w:rsidRPr="00F722A9">
        <w:rPr>
          <w:rFonts w:ascii="Times New Roman" w:eastAsia="Times New Roman" w:hAnsi="Times New Roman" w:cs="Times New Roman"/>
          <w:sz w:val="24"/>
          <w:szCs w:val="24"/>
          <w:lang w:val="en-GB"/>
        </w:rPr>
        <w:t>). Nonetheless, in-store retail stores will also be of paramount importance, with customers willing to try new products before they buy. The cities like London, Manchester, Birmingham and Edinburgh will be prioritised because of the higher incomes, better digital infrastructure, and the density of digital professionals. This multi-channel approach will make it accessible and convenient both to individual and business users.</w:t>
      </w:r>
    </w:p>
    <w:p w14:paraId="11111DFA" w14:textId="77777777" w:rsidR="00600C96" w:rsidRPr="00F722A9" w:rsidRDefault="00266115" w:rsidP="00E94FE4">
      <w:pPr>
        <w:pStyle w:val="Heading2"/>
        <w:rPr>
          <w:lang w:val="en-GB"/>
        </w:rPr>
      </w:pPr>
      <w:bookmarkStart w:id="10" w:name="_Toc226931083"/>
      <w:r w:rsidRPr="00F722A9">
        <w:rPr>
          <w:lang w:val="en-GB"/>
        </w:rPr>
        <w:t>4. Promotion</w:t>
      </w:r>
      <w:bookmarkEnd w:id="10"/>
      <w:r w:rsidRPr="00F722A9">
        <w:rPr>
          <w:lang w:val="en-GB"/>
        </w:rPr>
        <w:t xml:space="preserve"> </w:t>
      </w:r>
    </w:p>
    <w:p w14:paraId="58B7AD9A"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The marketing plan will target combined online marketing and experience marketing, as technologically minded consumers will be targeted via digital platforms (YouTube, Google Ads and social media (Instagram, TikTok, LinkedIn). The digital advertising market in the UK is over £29 billion a year, and as such, it is a very viable promotional medium (</w:t>
      </w:r>
      <w:r w:rsidRPr="00F722A9">
        <w:rPr>
          <w:rFonts w:ascii="Times New Roman" w:eastAsia="Times New Roman" w:hAnsi="Times New Roman" w:cs="Times New Roman"/>
          <w:sz w:val="24"/>
          <w:szCs w:val="24"/>
          <w:highlight w:val="white"/>
          <w:lang w:val="en-GB"/>
        </w:rPr>
        <w:t>Oh and Shon, 2024</w:t>
      </w:r>
      <w:r w:rsidRPr="00F722A9">
        <w:rPr>
          <w:rFonts w:ascii="Times New Roman" w:eastAsia="Times New Roman" w:hAnsi="Times New Roman" w:cs="Times New Roman"/>
          <w:sz w:val="24"/>
          <w:szCs w:val="24"/>
          <w:lang w:val="en-GB"/>
        </w:rPr>
        <w:t>). Trust and awareness will also be established by using influencer marketing and tech reviewers.</w:t>
      </w:r>
    </w:p>
    <w:p w14:paraId="198BC61D"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Experience marketing will be used, which will involve:</w:t>
      </w:r>
    </w:p>
    <w:p w14:paraId="223BFFDC" w14:textId="77777777" w:rsidR="00600C96" w:rsidRPr="00F722A9" w:rsidRDefault="00266115" w:rsidP="006B34AA">
      <w:pPr>
        <w:numPr>
          <w:ilvl w:val="0"/>
          <w:numId w:val="2"/>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In-store demonstrations</w:t>
      </w:r>
    </w:p>
    <w:p w14:paraId="72D34CAC" w14:textId="77777777" w:rsidR="00600C96" w:rsidRPr="00F722A9" w:rsidRDefault="00266115" w:rsidP="006B34AA">
      <w:pPr>
        <w:numPr>
          <w:ilvl w:val="0"/>
          <w:numId w:val="2"/>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In large cities, experience zones are on a pop-up basis.</w:t>
      </w:r>
    </w:p>
    <w:p w14:paraId="2F3153B4" w14:textId="77777777" w:rsidR="00600C96" w:rsidRDefault="00266115" w:rsidP="006B34AA">
      <w:pPr>
        <w:numPr>
          <w:ilvl w:val="0"/>
          <w:numId w:val="2"/>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Cooperation with technology events like the London Tech Week (</w:t>
      </w:r>
      <w:proofErr w:type="spellStart"/>
      <w:r w:rsidRPr="00F722A9">
        <w:rPr>
          <w:rFonts w:ascii="Times New Roman" w:eastAsia="Times New Roman" w:hAnsi="Times New Roman" w:cs="Times New Roman"/>
          <w:sz w:val="24"/>
          <w:szCs w:val="24"/>
          <w:highlight w:val="white"/>
          <w:lang w:val="en-GB"/>
        </w:rPr>
        <w:t>Cappannari</w:t>
      </w:r>
      <w:proofErr w:type="spellEnd"/>
      <w:r w:rsidRPr="00F722A9">
        <w:rPr>
          <w:rFonts w:ascii="Times New Roman" w:eastAsia="Times New Roman" w:hAnsi="Times New Roman" w:cs="Times New Roman"/>
          <w:sz w:val="24"/>
          <w:szCs w:val="24"/>
          <w:highlight w:val="white"/>
          <w:lang w:val="en-GB"/>
        </w:rPr>
        <w:t xml:space="preserve"> and </w:t>
      </w:r>
      <w:proofErr w:type="spellStart"/>
      <w:r w:rsidRPr="00F722A9">
        <w:rPr>
          <w:rFonts w:ascii="Times New Roman" w:eastAsia="Times New Roman" w:hAnsi="Times New Roman" w:cs="Times New Roman"/>
          <w:sz w:val="24"/>
          <w:szCs w:val="24"/>
          <w:highlight w:val="white"/>
          <w:lang w:val="en-GB"/>
        </w:rPr>
        <w:t>Vitillo</w:t>
      </w:r>
      <w:proofErr w:type="spellEnd"/>
      <w:r w:rsidRPr="00F722A9">
        <w:rPr>
          <w:rFonts w:ascii="Times New Roman" w:eastAsia="Times New Roman" w:hAnsi="Times New Roman" w:cs="Times New Roman"/>
          <w:sz w:val="24"/>
          <w:szCs w:val="24"/>
          <w:highlight w:val="white"/>
          <w:lang w:val="en-GB"/>
        </w:rPr>
        <w:t>, 2022</w:t>
      </w:r>
      <w:r w:rsidRPr="00F722A9">
        <w:rPr>
          <w:rFonts w:ascii="Times New Roman" w:eastAsia="Times New Roman" w:hAnsi="Times New Roman" w:cs="Times New Roman"/>
          <w:sz w:val="24"/>
          <w:szCs w:val="24"/>
          <w:lang w:val="en-GB"/>
        </w:rPr>
        <w:t>).</w:t>
      </w:r>
    </w:p>
    <w:p w14:paraId="5B465454" w14:textId="77777777" w:rsidR="00F34CE8" w:rsidRPr="00F722A9" w:rsidRDefault="00F34CE8" w:rsidP="00F34CE8">
      <w:pPr>
        <w:spacing w:line="360" w:lineRule="auto"/>
        <w:ind w:left="720"/>
        <w:jc w:val="both"/>
        <w:rPr>
          <w:rFonts w:ascii="Times New Roman" w:eastAsia="Times New Roman" w:hAnsi="Times New Roman" w:cs="Times New Roman"/>
          <w:sz w:val="24"/>
          <w:szCs w:val="24"/>
          <w:lang w:val="en-GB"/>
        </w:rPr>
      </w:pPr>
    </w:p>
    <w:p w14:paraId="1264E58D"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Also, there will be enterprise-oriented promotion, emphasising productivity advantages, and addressing the sectors of healthcare, logistics, and engineering. This two-pronged promotion approach will see to it that there is high involvement both in the consumer market and the business market.</w:t>
      </w:r>
    </w:p>
    <w:p w14:paraId="43C71ECD" w14:textId="77777777" w:rsidR="00600C96" w:rsidRPr="00F722A9" w:rsidRDefault="00266115" w:rsidP="00E94FE4">
      <w:pPr>
        <w:pStyle w:val="Heading2"/>
        <w:rPr>
          <w:lang w:val="en-GB"/>
        </w:rPr>
      </w:pPr>
      <w:bookmarkStart w:id="11" w:name="_Toc226931084"/>
      <w:r w:rsidRPr="00F722A9">
        <w:rPr>
          <w:lang w:val="en-GB"/>
        </w:rPr>
        <w:lastRenderedPageBreak/>
        <w:t>5. People</w:t>
      </w:r>
      <w:bookmarkEnd w:id="11"/>
      <w:r w:rsidRPr="00F722A9">
        <w:rPr>
          <w:lang w:val="en-GB"/>
        </w:rPr>
        <w:t xml:space="preserve"> </w:t>
      </w:r>
    </w:p>
    <w:p w14:paraId="48F56A60" w14:textId="77777777"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Customers will be playing a key role in the creation of value and customer trust, as this encompasses workers, customer service departments and employees at retail. Training programs will make sure that employees are able to articulate the complicated XR technology to customers (</w:t>
      </w:r>
      <w:proofErr w:type="spellStart"/>
      <w:r w:rsidRPr="00F722A9">
        <w:rPr>
          <w:rFonts w:ascii="Times New Roman" w:eastAsia="Times New Roman" w:hAnsi="Times New Roman" w:cs="Times New Roman"/>
          <w:sz w:val="24"/>
          <w:szCs w:val="24"/>
          <w:highlight w:val="white"/>
          <w:lang w:val="en-GB"/>
        </w:rPr>
        <w:t>Rhodin</w:t>
      </w:r>
      <w:proofErr w:type="spellEnd"/>
      <w:r w:rsidRPr="00F722A9">
        <w:rPr>
          <w:rFonts w:ascii="Times New Roman" w:eastAsia="Times New Roman" w:hAnsi="Times New Roman" w:cs="Times New Roman"/>
          <w:sz w:val="24"/>
          <w:szCs w:val="24"/>
          <w:highlight w:val="white"/>
          <w:lang w:val="en-GB"/>
        </w:rPr>
        <w:t xml:space="preserv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w:t>
      </w:r>
    </w:p>
    <w:p w14:paraId="7D36CD16"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09FEBECB"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The service industry in the UK lays stress on the customer experience, where more than 80% of consumers appreciate knowledgeable employees in their purchasing decision-making process (</w:t>
      </w:r>
      <w:proofErr w:type="spellStart"/>
      <w:r w:rsidRPr="00F722A9">
        <w:rPr>
          <w:rFonts w:ascii="Times New Roman" w:eastAsia="Times New Roman" w:hAnsi="Times New Roman" w:cs="Times New Roman"/>
          <w:sz w:val="24"/>
          <w:szCs w:val="24"/>
          <w:highlight w:val="white"/>
          <w:lang w:val="en-GB"/>
        </w:rPr>
        <w:t>Shatokhin</w:t>
      </w:r>
      <w:proofErr w:type="spellEnd"/>
      <w:r w:rsidRPr="00F722A9">
        <w:rPr>
          <w:rFonts w:ascii="Times New Roman" w:eastAsia="Times New Roman" w:hAnsi="Times New Roman" w:cs="Times New Roman"/>
          <w:sz w:val="24"/>
          <w:szCs w:val="24"/>
          <w:highlight w:val="white"/>
          <w:lang w:val="en-GB"/>
        </w:rPr>
        <w:t xml:space="preserv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 Hence, trained staff will increase customer trust and perceived low risk in the use of new technology. Also, collaborating with developers and enterprise users will form a larger ecosystem, which will facilitate innovation and long-term interest in the product.</w:t>
      </w:r>
    </w:p>
    <w:p w14:paraId="0CEA2407" w14:textId="77777777" w:rsidR="00600C96" w:rsidRPr="00F722A9" w:rsidRDefault="00266115" w:rsidP="00E94FE4">
      <w:pPr>
        <w:pStyle w:val="Heading2"/>
        <w:rPr>
          <w:lang w:val="en-GB"/>
        </w:rPr>
      </w:pPr>
      <w:bookmarkStart w:id="12" w:name="_Toc226931085"/>
      <w:r w:rsidRPr="00F722A9">
        <w:rPr>
          <w:lang w:val="en-GB"/>
        </w:rPr>
        <w:t>6. Process</w:t>
      </w:r>
      <w:bookmarkEnd w:id="12"/>
    </w:p>
    <w:p w14:paraId="0D74CF74"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The process will be efficient, which will see the customer experience a seamless purchasing-to-use process. It will be made easier to purchase through:</w:t>
      </w:r>
    </w:p>
    <w:p w14:paraId="55473D60" w14:textId="77777777" w:rsidR="00600C96" w:rsidRPr="00F722A9" w:rsidRDefault="00266115" w:rsidP="006B34AA">
      <w:pPr>
        <w:numPr>
          <w:ilvl w:val="0"/>
          <w:numId w:val="3"/>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Easy online ordering via Google platforms.</w:t>
      </w:r>
    </w:p>
    <w:p w14:paraId="290A7A79" w14:textId="77777777" w:rsidR="00600C96" w:rsidRPr="00F722A9" w:rsidRDefault="00266115" w:rsidP="006B34AA">
      <w:pPr>
        <w:numPr>
          <w:ilvl w:val="0"/>
          <w:numId w:val="3"/>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Quick delivery and installation service.</w:t>
      </w:r>
    </w:p>
    <w:p w14:paraId="12092B55" w14:textId="77777777" w:rsidR="00600C96" w:rsidRPr="00F722A9" w:rsidRDefault="00266115" w:rsidP="006B34AA">
      <w:pPr>
        <w:numPr>
          <w:ilvl w:val="0"/>
          <w:numId w:val="3"/>
        </w:num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Smooth embedded Android and Google services (</w:t>
      </w:r>
      <w:r w:rsidRPr="00F722A9">
        <w:rPr>
          <w:rFonts w:ascii="Times New Roman" w:eastAsia="Times New Roman" w:hAnsi="Times New Roman" w:cs="Times New Roman"/>
          <w:sz w:val="24"/>
          <w:szCs w:val="24"/>
          <w:highlight w:val="white"/>
          <w:lang w:val="en-GB"/>
        </w:rPr>
        <w:t xml:space="preserve">Lee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2024</w:t>
      </w:r>
      <w:r w:rsidRPr="00F722A9">
        <w:rPr>
          <w:rFonts w:ascii="Times New Roman" w:eastAsia="Times New Roman" w:hAnsi="Times New Roman" w:cs="Times New Roman"/>
          <w:sz w:val="24"/>
          <w:szCs w:val="24"/>
          <w:lang w:val="en-GB"/>
        </w:rPr>
        <w:t>).</w:t>
      </w:r>
    </w:p>
    <w:p w14:paraId="04D01846" w14:textId="77777777" w:rsidR="00600C96" w:rsidRPr="00F722A9" w:rsidRDefault="00266115" w:rsidP="006B34AA">
      <w:pPr>
        <w:spacing w:line="360" w:lineRule="auto"/>
        <w:jc w:val="both"/>
        <w:rPr>
          <w:rFonts w:ascii="Times New Roman" w:eastAsia="Times New Roman" w:hAnsi="Times New Roman" w:cs="Times New Roman"/>
          <w:b/>
          <w:bCs/>
          <w:sz w:val="24"/>
          <w:szCs w:val="24"/>
          <w:lang w:val="en-GB"/>
        </w:rPr>
      </w:pPr>
      <w:r w:rsidRPr="00F722A9">
        <w:rPr>
          <w:rFonts w:ascii="Times New Roman" w:eastAsia="Times New Roman" w:hAnsi="Times New Roman" w:cs="Times New Roman"/>
          <w:sz w:val="24"/>
          <w:szCs w:val="24"/>
          <w:lang w:val="en-GB"/>
        </w:rPr>
        <w:t>Software updates, customer support, and cloud-based services will be part of the post-purchase processes. Service efficiency is a high standard in the UK and more than 70% of consumers demand fast delivery of digital services (</w:t>
      </w:r>
      <w:r w:rsidRPr="00F722A9">
        <w:rPr>
          <w:rFonts w:ascii="Times New Roman" w:eastAsia="Times New Roman" w:hAnsi="Times New Roman" w:cs="Times New Roman"/>
          <w:sz w:val="24"/>
          <w:szCs w:val="24"/>
          <w:highlight w:val="white"/>
          <w:lang w:val="en-GB"/>
        </w:rPr>
        <w:t>Warin and Reinhardt, 2022</w:t>
      </w:r>
      <w:r w:rsidRPr="00F722A9">
        <w:rPr>
          <w:rFonts w:ascii="Times New Roman" w:eastAsia="Times New Roman" w:hAnsi="Times New Roman" w:cs="Times New Roman"/>
          <w:sz w:val="24"/>
          <w:szCs w:val="24"/>
          <w:lang w:val="en-GB"/>
        </w:rPr>
        <w:t>). In addition, enterprise customers will enjoy tailored on</w:t>
      </w:r>
      <w:r w:rsidR="00E94FE4">
        <w:rPr>
          <w:rFonts w:ascii="Times New Roman" w:eastAsia="Times New Roman" w:hAnsi="Times New Roman" w:cs="Times New Roman"/>
          <w:sz w:val="24"/>
          <w:szCs w:val="24"/>
          <w:lang w:val="en-GB"/>
        </w:rPr>
        <w:t>-</w:t>
      </w:r>
      <w:r w:rsidRPr="00F722A9">
        <w:rPr>
          <w:rFonts w:ascii="Times New Roman" w:eastAsia="Times New Roman" w:hAnsi="Times New Roman" w:cs="Times New Roman"/>
          <w:sz w:val="24"/>
          <w:szCs w:val="24"/>
          <w:lang w:val="en-GB"/>
        </w:rPr>
        <w:t>boarding and customer support, which will result in successful deployment in the workplace. These are streamlined processes that will enhance customer satisfaction and retention.</w:t>
      </w:r>
    </w:p>
    <w:p w14:paraId="3E3FF857" w14:textId="77777777" w:rsidR="00600C96" w:rsidRPr="00F722A9" w:rsidRDefault="00266115" w:rsidP="00E94FE4">
      <w:pPr>
        <w:pStyle w:val="Heading2"/>
        <w:rPr>
          <w:lang w:val="en-GB"/>
        </w:rPr>
      </w:pPr>
      <w:bookmarkStart w:id="13" w:name="_Toc226931086"/>
      <w:r w:rsidRPr="00F722A9">
        <w:rPr>
          <w:lang w:val="en-GB"/>
        </w:rPr>
        <w:t>7. Physical Evidence</w:t>
      </w:r>
      <w:bookmarkEnd w:id="13"/>
      <w:r w:rsidRPr="00F722A9">
        <w:rPr>
          <w:lang w:val="en-GB"/>
        </w:rPr>
        <w:t xml:space="preserve"> </w:t>
      </w:r>
    </w:p>
    <w:p w14:paraId="37270350"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The quality of the product and brand credibility will be strengthened with the help of physical evidence, as this covers the product design, packaging, retail displays and online interfaces. Android XR Glasses shall have a sleek, lightweight and minimalistic design, which will match consumer requirements of comfort and minimalism in wearables (</w:t>
      </w:r>
      <w:proofErr w:type="spellStart"/>
      <w:r w:rsidRPr="00F722A9">
        <w:rPr>
          <w:rFonts w:ascii="Times New Roman" w:eastAsia="Times New Roman" w:hAnsi="Times New Roman" w:cs="Times New Roman"/>
          <w:sz w:val="24"/>
          <w:szCs w:val="24"/>
          <w:highlight w:val="white"/>
          <w:lang w:val="en-GB"/>
        </w:rPr>
        <w:t>Plabst</w:t>
      </w:r>
      <w:proofErr w:type="spellEnd"/>
      <w:r w:rsidRPr="00F722A9">
        <w:rPr>
          <w:rFonts w:ascii="Times New Roman" w:eastAsia="Times New Roman" w:hAnsi="Times New Roman" w:cs="Times New Roman"/>
          <w:sz w:val="24"/>
          <w:szCs w:val="24"/>
          <w:highlight w:val="white"/>
          <w:lang w:val="en-GB"/>
        </w:rPr>
        <w:t xml:space="preserv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w:t>
      </w:r>
    </w:p>
    <w:p w14:paraId="6EB6E881"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 xml:space="preserve">Retail outlets will be stocked with interactive displays where customers can experience the product. There will be detailed graphics, presentations, and user feedback on the online platforms. Google has a good reputation and existing ecosystem globally, which will also help in creating brand credibility. Trusted brands play a critical role in the UK purchasing </w:t>
      </w:r>
      <w:proofErr w:type="spellStart"/>
      <w:r w:rsidRPr="00F722A9">
        <w:rPr>
          <w:rFonts w:ascii="Times New Roman" w:eastAsia="Times New Roman" w:hAnsi="Times New Roman" w:cs="Times New Roman"/>
          <w:sz w:val="24"/>
          <w:szCs w:val="24"/>
          <w:lang w:val="en-GB"/>
        </w:rPr>
        <w:t>behavior</w:t>
      </w:r>
      <w:proofErr w:type="spellEnd"/>
      <w:r w:rsidRPr="00F722A9">
        <w:rPr>
          <w:rFonts w:ascii="Times New Roman" w:eastAsia="Times New Roman" w:hAnsi="Times New Roman" w:cs="Times New Roman"/>
          <w:sz w:val="24"/>
          <w:szCs w:val="24"/>
          <w:lang w:val="en-GB"/>
        </w:rPr>
        <w:t>; more than 65% of consumers desire well-established brands of technology (</w:t>
      </w:r>
      <w:r w:rsidRPr="00F722A9">
        <w:rPr>
          <w:rFonts w:ascii="Times New Roman" w:eastAsia="Times New Roman" w:hAnsi="Times New Roman" w:cs="Times New Roman"/>
          <w:sz w:val="24"/>
          <w:szCs w:val="24"/>
          <w:highlight w:val="white"/>
          <w:lang w:val="en-GB"/>
        </w:rPr>
        <w:t>Quesada-</w:t>
      </w:r>
      <w:proofErr w:type="spellStart"/>
      <w:r w:rsidRPr="00F722A9">
        <w:rPr>
          <w:rFonts w:ascii="Times New Roman" w:eastAsia="Times New Roman" w:hAnsi="Times New Roman" w:cs="Times New Roman"/>
          <w:sz w:val="24"/>
          <w:szCs w:val="24"/>
          <w:highlight w:val="white"/>
          <w:lang w:val="en-GB"/>
        </w:rPr>
        <w:t>Olarte</w:t>
      </w:r>
      <w:proofErr w:type="spellEnd"/>
      <w:r w:rsidRPr="00F722A9">
        <w:rPr>
          <w:rFonts w:ascii="Times New Roman" w:eastAsia="Times New Roman" w:hAnsi="Times New Roman" w:cs="Times New Roman"/>
          <w:sz w:val="24"/>
          <w:szCs w:val="24"/>
          <w:highlight w:val="white"/>
          <w:lang w:val="en-GB"/>
        </w:rPr>
        <w:t xml:space="preserve">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2022</w:t>
      </w:r>
      <w:r w:rsidRPr="00F722A9">
        <w:rPr>
          <w:rFonts w:ascii="Times New Roman" w:eastAsia="Times New Roman" w:hAnsi="Times New Roman" w:cs="Times New Roman"/>
          <w:sz w:val="24"/>
          <w:szCs w:val="24"/>
          <w:lang w:val="en-GB"/>
        </w:rPr>
        <w:t>). Thus, regular physical and online display will enhance the confidence and perceived value among consumers.</w:t>
      </w:r>
    </w:p>
    <w:p w14:paraId="7A0291E6" w14:textId="77777777" w:rsidR="00600C96" w:rsidRPr="00F722A9" w:rsidRDefault="00266115" w:rsidP="00E94FE4">
      <w:pPr>
        <w:pStyle w:val="Heading1"/>
        <w:rPr>
          <w:lang w:val="en-GB"/>
        </w:rPr>
      </w:pPr>
      <w:bookmarkStart w:id="14" w:name="_Toc226931087"/>
      <w:r w:rsidRPr="00F722A9">
        <w:rPr>
          <w:lang w:val="en-GB"/>
        </w:rPr>
        <w:t>Element 4: Reflection</w:t>
      </w:r>
      <w:bookmarkEnd w:id="14"/>
      <w:r w:rsidRPr="00F722A9">
        <w:rPr>
          <w:lang w:val="en-GB"/>
        </w:rPr>
        <w:t xml:space="preserve"> </w:t>
      </w:r>
    </w:p>
    <w:p w14:paraId="4FA41A1E" w14:textId="77777777"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Developing the Android XR Glasses brand extension has been a great experience in terms of putting the theoretical concepts of marketing into a real situation (</w:t>
      </w:r>
      <w:r w:rsidRPr="00F722A9">
        <w:rPr>
          <w:rFonts w:ascii="Times New Roman" w:eastAsia="Times New Roman" w:hAnsi="Times New Roman" w:cs="Times New Roman"/>
          <w:sz w:val="24"/>
          <w:szCs w:val="24"/>
          <w:highlight w:val="white"/>
          <w:lang w:val="en-GB"/>
        </w:rPr>
        <w:t xml:space="preserve">Alam </w:t>
      </w:r>
      <w:r w:rsidRPr="00F722A9">
        <w:rPr>
          <w:rFonts w:ascii="Times New Roman" w:eastAsia="Times New Roman" w:hAnsi="Times New Roman" w:cs="Times New Roman"/>
          <w:i/>
          <w:iCs/>
          <w:sz w:val="24"/>
          <w:szCs w:val="24"/>
          <w:highlight w:val="white"/>
          <w:lang w:val="en-GB"/>
        </w:rPr>
        <w:t xml:space="preserve">et al. </w:t>
      </w:r>
      <w:r w:rsidRPr="00F722A9">
        <w:rPr>
          <w:rFonts w:ascii="Times New Roman" w:eastAsia="Times New Roman" w:hAnsi="Times New Roman" w:cs="Times New Roman"/>
          <w:sz w:val="24"/>
          <w:szCs w:val="24"/>
          <w:highlight w:val="white"/>
          <w:lang w:val="en-GB"/>
        </w:rPr>
        <w:t>2025</w:t>
      </w:r>
      <w:r w:rsidRPr="00F722A9">
        <w:rPr>
          <w:rFonts w:ascii="Times New Roman" w:eastAsia="Times New Roman" w:hAnsi="Times New Roman" w:cs="Times New Roman"/>
          <w:sz w:val="24"/>
          <w:szCs w:val="24"/>
          <w:lang w:val="en-GB"/>
        </w:rPr>
        <w:t>). I have also learnt more about the growth of a brand, especially how a company that has already been successful in technology (like Google) can transfer its brand to a new product line. It was a task that demanded critical thinking, research and the capacity to match innovation with emerging market trends like artificial intelligence, augmented reality, and sustainability. This process helped me to become a better a</w:t>
      </w:r>
      <w:r w:rsidR="00E94FE4">
        <w:rPr>
          <w:rFonts w:ascii="Times New Roman" w:eastAsia="Times New Roman" w:hAnsi="Times New Roman" w:cs="Times New Roman"/>
          <w:sz w:val="24"/>
          <w:szCs w:val="24"/>
          <w:lang w:val="en-GB"/>
        </w:rPr>
        <w:t>nalyst, particularly when analys</w:t>
      </w:r>
      <w:r w:rsidRPr="00F722A9">
        <w:rPr>
          <w:rFonts w:ascii="Times New Roman" w:eastAsia="Times New Roman" w:hAnsi="Times New Roman" w:cs="Times New Roman"/>
          <w:sz w:val="24"/>
          <w:szCs w:val="24"/>
          <w:lang w:val="en-GB"/>
        </w:rPr>
        <w:t>ing market data and determining opportunities in the UK technology market.</w:t>
      </w:r>
    </w:p>
    <w:p w14:paraId="157F4BB4"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658ACA96" w14:textId="0970F053"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When developing the poster presentation, I paid attention to the ability to convey complicated concepts in a clear and concise manner. This also enhanced my skills in reducing technical data and making it appear in an aesthetically appealing manner. Presenting the presentation also boosted my confidence to explain concepts in a short time period. I also got to know how to organi</w:t>
      </w:r>
      <w:r w:rsidR="00F34CE8">
        <w:rPr>
          <w:rFonts w:ascii="Times New Roman" w:eastAsia="Times New Roman" w:hAnsi="Times New Roman" w:cs="Times New Roman"/>
          <w:sz w:val="24"/>
          <w:szCs w:val="24"/>
          <w:lang w:val="en-GB"/>
        </w:rPr>
        <w:t>s</w:t>
      </w:r>
      <w:r w:rsidRPr="00F722A9">
        <w:rPr>
          <w:rFonts w:ascii="Times New Roman" w:eastAsia="Times New Roman" w:hAnsi="Times New Roman" w:cs="Times New Roman"/>
          <w:sz w:val="24"/>
          <w:szCs w:val="24"/>
          <w:lang w:val="en-GB"/>
        </w:rPr>
        <w:t>e content properly to make sure that the major messages, including what the brand extension is valuable and what it can bring to the market today, could be easily comprehended by the audience.</w:t>
      </w:r>
    </w:p>
    <w:p w14:paraId="2F9DF0B9"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188AC698" w14:textId="77777777" w:rsidR="00600C96" w:rsidRPr="00F722A9"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My strengths during this project were mainly my capability to carry out pertinent research and correlate it to the theory of marketing. I was able to incorporate data and statistics to reinforce my points, and this reinforced my academic writing quality. Also, I showed creativity in coming up with the brand extension concept and how it fits into the existing ecosystem at Google. My chances to relate sustainability and product innovation were also an addition to the general strategy.</w:t>
      </w:r>
    </w:p>
    <w:p w14:paraId="1EF1707D" w14:textId="77777777" w:rsidR="00600C96" w:rsidRDefault="00266115" w:rsidP="006B34AA">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lastRenderedPageBreak/>
        <w:t>Nevertheless, not everything in my approach was strong, as sometimes, it was difficult to plan time properly, especially when it was time to balance between research and writing (</w:t>
      </w:r>
      <w:proofErr w:type="spellStart"/>
      <w:r w:rsidRPr="00F722A9">
        <w:rPr>
          <w:rFonts w:ascii="Times New Roman" w:eastAsia="Times New Roman" w:hAnsi="Times New Roman" w:cs="Times New Roman"/>
          <w:sz w:val="24"/>
          <w:szCs w:val="24"/>
          <w:highlight w:val="white"/>
          <w:lang w:val="en-GB"/>
        </w:rPr>
        <w:t>Alhakamy</w:t>
      </w:r>
      <w:proofErr w:type="spellEnd"/>
      <w:r w:rsidRPr="00F722A9">
        <w:rPr>
          <w:rFonts w:ascii="Times New Roman" w:eastAsia="Times New Roman" w:hAnsi="Times New Roman" w:cs="Times New Roman"/>
          <w:sz w:val="24"/>
          <w:szCs w:val="24"/>
          <w:highlight w:val="white"/>
          <w:lang w:val="en-GB"/>
        </w:rPr>
        <w:t>, 2024</w:t>
      </w:r>
      <w:r w:rsidRPr="00F722A9">
        <w:rPr>
          <w:rFonts w:ascii="Times New Roman" w:eastAsia="Times New Roman" w:hAnsi="Times New Roman" w:cs="Times New Roman"/>
          <w:sz w:val="24"/>
          <w:szCs w:val="24"/>
          <w:lang w:val="en-GB"/>
        </w:rPr>
        <w:t>). This sometimes inhibited my desire to have a deeper look at some of the regions. Another lesson that I learnt was that my initial concepts were not clear and needed to be refined to suit the evaluation requirements. Moreover, I noticed that the presentation could be better as I was not as engaged with the audience, and I was not as confident with my body language.</w:t>
      </w:r>
    </w:p>
    <w:p w14:paraId="0758500E" w14:textId="77777777" w:rsidR="00F34CE8" w:rsidRPr="00F722A9" w:rsidRDefault="00F34CE8" w:rsidP="006B34AA">
      <w:pPr>
        <w:spacing w:line="360" w:lineRule="auto"/>
        <w:jc w:val="both"/>
        <w:rPr>
          <w:rFonts w:ascii="Times New Roman" w:eastAsia="Times New Roman" w:hAnsi="Times New Roman" w:cs="Times New Roman"/>
          <w:sz w:val="24"/>
          <w:szCs w:val="24"/>
          <w:lang w:val="en-GB"/>
        </w:rPr>
      </w:pPr>
    </w:p>
    <w:p w14:paraId="2F7538E3" w14:textId="493431DB" w:rsidR="00F722A9" w:rsidRPr="00F722A9" w:rsidRDefault="00266115" w:rsidP="003B3739">
      <w:pPr>
        <w:spacing w:line="360" w:lineRule="auto"/>
        <w:jc w:val="both"/>
        <w:rPr>
          <w:rFonts w:ascii="Times New Roman" w:eastAsia="Times New Roman" w:hAnsi="Times New Roman" w:cs="Times New Roman"/>
          <w:sz w:val="24"/>
          <w:szCs w:val="24"/>
          <w:lang w:val="en-GB"/>
        </w:rPr>
      </w:pPr>
      <w:r w:rsidRPr="00F722A9">
        <w:rPr>
          <w:rFonts w:ascii="Times New Roman" w:eastAsia="Times New Roman" w:hAnsi="Times New Roman" w:cs="Times New Roman"/>
          <w:sz w:val="24"/>
          <w:szCs w:val="24"/>
          <w:lang w:val="en-GB"/>
        </w:rPr>
        <w:t>In order to become more efficient in my future projects, I will be more systematic about my time management by establishing specific milestones for each task in the assignment. This will enable a greater amount of time to be spent on critical analysis and polishing of ideas. I will also concentrate on enhancing my presentation skills through practi</w:t>
      </w:r>
      <w:r w:rsidR="00F34CE8">
        <w:rPr>
          <w:rFonts w:ascii="Times New Roman" w:eastAsia="Times New Roman" w:hAnsi="Times New Roman" w:cs="Times New Roman"/>
          <w:sz w:val="24"/>
          <w:szCs w:val="24"/>
          <w:lang w:val="en-GB"/>
        </w:rPr>
        <w:t>s</w:t>
      </w:r>
      <w:r w:rsidRPr="00F722A9">
        <w:rPr>
          <w:rFonts w:ascii="Times New Roman" w:eastAsia="Times New Roman" w:hAnsi="Times New Roman" w:cs="Times New Roman"/>
          <w:sz w:val="24"/>
          <w:szCs w:val="24"/>
          <w:lang w:val="en-GB"/>
        </w:rPr>
        <w:t>ing more and getting feedback on them. I also want to become a better and more academic writer, exploring a more diverse set of sources and formulating my arguments more critically.</w:t>
      </w:r>
      <w:r w:rsidR="00F722A9" w:rsidRPr="00F722A9">
        <w:rPr>
          <w:rFonts w:ascii="Times New Roman" w:eastAsia="Times New Roman" w:hAnsi="Times New Roman" w:cs="Times New Roman"/>
          <w:sz w:val="24"/>
          <w:szCs w:val="24"/>
          <w:lang w:val="en-GB"/>
        </w:rPr>
        <w:br w:type="page"/>
      </w:r>
    </w:p>
    <w:p w14:paraId="3F142F43" w14:textId="77777777" w:rsidR="00F722A9" w:rsidRPr="00F722A9" w:rsidRDefault="00F722A9" w:rsidP="00E94FE4">
      <w:pPr>
        <w:pStyle w:val="Heading1"/>
        <w:rPr>
          <w:lang w:val="en-GB"/>
        </w:rPr>
      </w:pPr>
      <w:bookmarkStart w:id="15" w:name="_Toc226931088"/>
      <w:r w:rsidRPr="00F722A9">
        <w:rPr>
          <w:lang w:val="en-GB"/>
        </w:rPr>
        <w:lastRenderedPageBreak/>
        <w:t>References</w:t>
      </w:r>
      <w:bookmarkEnd w:id="15"/>
    </w:p>
    <w:p w14:paraId="0465EC2B" w14:textId="77777777" w:rsidR="00F722A9" w:rsidRPr="00F722A9" w:rsidRDefault="00F722A9" w:rsidP="006B34AA">
      <w:pPr>
        <w:pStyle w:val="NormalWeb"/>
        <w:spacing w:line="360" w:lineRule="auto"/>
        <w:jc w:val="both"/>
        <w:rPr>
          <w:lang w:val="en-GB"/>
        </w:rPr>
      </w:pPr>
      <w:proofErr w:type="spellStart"/>
      <w:r w:rsidRPr="00F722A9">
        <w:rPr>
          <w:lang w:val="en-GB"/>
        </w:rPr>
        <w:t>AInvest</w:t>
      </w:r>
      <w:proofErr w:type="spellEnd"/>
      <w:r w:rsidRPr="00F722A9">
        <w:rPr>
          <w:lang w:val="en-GB"/>
        </w:rPr>
        <w:t xml:space="preserve"> (2025) </w:t>
      </w:r>
      <w:r w:rsidRPr="00F722A9">
        <w:rPr>
          <w:rStyle w:val="Emphasis"/>
          <w:lang w:val="en-GB"/>
        </w:rPr>
        <w:t>Google 2026 AI glasses: rise of Android XR ecosystem</w:t>
      </w:r>
      <w:r w:rsidRPr="00F722A9">
        <w:rPr>
          <w:lang w:val="en-GB"/>
        </w:rPr>
        <w:t xml:space="preserve">. Available at: </w:t>
      </w:r>
      <w:hyperlink r:id="rId11" w:tgtFrame="_new" w:history="1">
        <w:r w:rsidRPr="00F722A9">
          <w:rPr>
            <w:rStyle w:val="Hyperlink"/>
            <w:lang w:val="en-GB"/>
          </w:rPr>
          <w:t>https://www.ainvest.com/news/google-2026-ai-glasses-rise-android-xr-ecosystem-strategic-investment-opportunity-wearable-ai-hardware-cross-platform-integration-2512/</w:t>
        </w:r>
      </w:hyperlink>
      <w:r w:rsidRPr="00F722A9">
        <w:rPr>
          <w:lang w:val="en-GB"/>
        </w:rPr>
        <w:t xml:space="preserve"> (Accessed: 12 April 2026).</w:t>
      </w:r>
    </w:p>
    <w:p w14:paraId="5521E465"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 xml:space="preserve">Alam, N., Saha, N., </w:t>
      </w:r>
      <w:proofErr w:type="spellStart"/>
      <w:r w:rsidRPr="00F722A9">
        <w:rPr>
          <w:color w:val="222222"/>
          <w:shd w:val="clear" w:color="auto" w:fill="FFFFFF"/>
          <w:lang w:val="en-GB"/>
        </w:rPr>
        <w:t>Gadow</w:t>
      </w:r>
      <w:proofErr w:type="spellEnd"/>
      <w:r w:rsidRPr="00F722A9">
        <w:rPr>
          <w:color w:val="222222"/>
          <w:shd w:val="clear" w:color="auto" w:fill="FFFFFF"/>
          <w:lang w:val="en-GB"/>
        </w:rPr>
        <w:t>, V., Harik, R. and Ryu, J., (2025). Role of extended reality (XR) technologies in maintenance operations: Trends, challenges, and integration in industry 4.0. </w:t>
      </w:r>
      <w:r w:rsidRPr="00F722A9">
        <w:rPr>
          <w:i/>
          <w:iCs/>
          <w:color w:val="222222"/>
          <w:shd w:val="clear" w:color="auto" w:fill="FFFFFF"/>
          <w:lang w:val="en-GB"/>
        </w:rPr>
        <w:t>Manufacturing Letters</w:t>
      </w:r>
      <w:r w:rsidRPr="00F722A9">
        <w:rPr>
          <w:color w:val="222222"/>
          <w:shd w:val="clear" w:color="auto" w:fill="FFFFFF"/>
          <w:lang w:val="en-GB"/>
        </w:rPr>
        <w:t>, </w:t>
      </w:r>
      <w:r w:rsidRPr="00F722A9">
        <w:rPr>
          <w:i/>
          <w:iCs/>
          <w:color w:val="222222"/>
          <w:shd w:val="clear" w:color="auto" w:fill="FFFFFF"/>
          <w:lang w:val="en-GB"/>
        </w:rPr>
        <w:t>44</w:t>
      </w:r>
      <w:r w:rsidRPr="00F722A9">
        <w:rPr>
          <w:color w:val="222222"/>
          <w:shd w:val="clear" w:color="auto" w:fill="FFFFFF"/>
          <w:lang w:val="en-GB"/>
        </w:rPr>
        <w:t xml:space="preserve">, pp.1545-1557. DOI: </w:t>
      </w:r>
      <w:hyperlink r:id="rId12" w:history="1">
        <w:r w:rsidRPr="00F722A9">
          <w:rPr>
            <w:rStyle w:val="Hyperlink"/>
            <w:shd w:val="clear" w:color="auto" w:fill="FFFFFF"/>
            <w:lang w:val="en-GB"/>
          </w:rPr>
          <w:t>https://doi.org/10.1016/j.mfglet.2025.06.174</w:t>
        </w:r>
      </w:hyperlink>
    </w:p>
    <w:p w14:paraId="1043C811"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 xml:space="preserve">Alghamdi, A., Al </w:t>
      </w:r>
      <w:proofErr w:type="spellStart"/>
      <w:r w:rsidRPr="00F722A9">
        <w:rPr>
          <w:color w:val="222222"/>
          <w:shd w:val="clear" w:color="auto" w:fill="FFFFFF"/>
          <w:lang w:val="en-GB"/>
        </w:rPr>
        <w:t>Kinoon</w:t>
      </w:r>
      <w:proofErr w:type="spellEnd"/>
      <w:r w:rsidRPr="00F722A9">
        <w:rPr>
          <w:color w:val="222222"/>
          <w:shd w:val="clear" w:color="auto" w:fill="FFFFFF"/>
          <w:lang w:val="en-GB"/>
        </w:rPr>
        <w:t xml:space="preserve">, A., </w:t>
      </w:r>
      <w:proofErr w:type="spellStart"/>
      <w:r w:rsidRPr="00F722A9">
        <w:rPr>
          <w:color w:val="222222"/>
          <w:shd w:val="clear" w:color="auto" w:fill="FFFFFF"/>
          <w:lang w:val="en-GB"/>
        </w:rPr>
        <w:t>Alghuried</w:t>
      </w:r>
      <w:proofErr w:type="spellEnd"/>
      <w:r w:rsidRPr="00F722A9">
        <w:rPr>
          <w:color w:val="222222"/>
          <w:shd w:val="clear" w:color="auto" w:fill="FFFFFF"/>
          <w:lang w:val="en-GB"/>
        </w:rPr>
        <w:t xml:space="preserve">, A. and </w:t>
      </w:r>
      <w:proofErr w:type="spellStart"/>
      <w:r w:rsidRPr="00F722A9">
        <w:rPr>
          <w:color w:val="222222"/>
          <w:shd w:val="clear" w:color="auto" w:fill="FFFFFF"/>
          <w:lang w:val="en-GB"/>
        </w:rPr>
        <w:t>Mohaisen</w:t>
      </w:r>
      <w:proofErr w:type="spellEnd"/>
      <w:r w:rsidRPr="00F722A9">
        <w:rPr>
          <w:color w:val="222222"/>
          <w:shd w:val="clear" w:color="auto" w:fill="FFFFFF"/>
          <w:lang w:val="en-GB"/>
        </w:rPr>
        <w:t xml:space="preserve">, D., (2024). </w:t>
      </w:r>
      <w:proofErr w:type="spellStart"/>
      <w:r w:rsidRPr="00F722A9">
        <w:rPr>
          <w:color w:val="222222"/>
          <w:shd w:val="clear" w:color="auto" w:fill="FFFFFF"/>
          <w:lang w:val="en-GB"/>
        </w:rPr>
        <w:t>xr</w:t>
      </w:r>
      <w:proofErr w:type="spellEnd"/>
      <w:r w:rsidRPr="00F722A9">
        <w:rPr>
          <w:color w:val="222222"/>
          <w:shd w:val="clear" w:color="auto" w:fill="FFFFFF"/>
          <w:lang w:val="en-GB"/>
        </w:rPr>
        <w:t>-droid: A Benchmark Dataset for AR/VR and Security Applications. </w:t>
      </w:r>
      <w:r w:rsidRPr="00F722A9">
        <w:rPr>
          <w:i/>
          <w:iCs/>
          <w:color w:val="222222"/>
          <w:shd w:val="clear" w:color="auto" w:fill="FFFFFF"/>
          <w:lang w:val="en-GB"/>
        </w:rPr>
        <w:t>IEEE Transactions on Dependable and Secure Computing</w:t>
      </w:r>
      <w:r w:rsidRPr="00F722A9">
        <w:rPr>
          <w:color w:val="222222"/>
          <w:shd w:val="clear" w:color="auto" w:fill="FFFFFF"/>
          <w:lang w:val="en-GB"/>
        </w:rPr>
        <w:t>, </w:t>
      </w:r>
      <w:r w:rsidRPr="00F722A9">
        <w:rPr>
          <w:i/>
          <w:iCs/>
          <w:color w:val="222222"/>
          <w:shd w:val="clear" w:color="auto" w:fill="FFFFFF"/>
          <w:lang w:val="en-GB"/>
        </w:rPr>
        <w:t>22</w:t>
      </w:r>
      <w:r w:rsidRPr="00F722A9">
        <w:rPr>
          <w:color w:val="222222"/>
          <w:shd w:val="clear" w:color="auto" w:fill="FFFFFF"/>
          <w:lang w:val="en-GB"/>
        </w:rPr>
        <w:t xml:space="preserve">(2), pp.1418-1430. DOI: </w:t>
      </w:r>
      <w:hyperlink r:id="rId13" w:history="1">
        <w:r w:rsidRPr="00F722A9">
          <w:rPr>
            <w:rStyle w:val="Hyperlink"/>
            <w:shd w:val="clear" w:color="auto" w:fill="FFFFFF"/>
            <w:lang w:val="en-GB"/>
          </w:rPr>
          <w:t>https://doi.org/10.1109/TDSC.2024.3440662</w:t>
        </w:r>
      </w:hyperlink>
    </w:p>
    <w:p w14:paraId="135EF1B2"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Alhakamy</w:t>
      </w:r>
      <w:proofErr w:type="spellEnd"/>
      <w:r w:rsidRPr="00F722A9">
        <w:rPr>
          <w:color w:val="222222"/>
          <w:shd w:val="clear" w:color="auto" w:fill="FFFFFF"/>
          <w:lang w:val="en-GB"/>
        </w:rPr>
        <w:t>, A.A., (2024). Extended reality (XR) toward building immersive solutions: the key to unlocking industry 4.0. </w:t>
      </w:r>
      <w:r w:rsidRPr="00F722A9">
        <w:rPr>
          <w:i/>
          <w:iCs/>
          <w:color w:val="222222"/>
          <w:shd w:val="clear" w:color="auto" w:fill="FFFFFF"/>
          <w:lang w:val="en-GB"/>
        </w:rPr>
        <w:t>ACM Computing Surveys</w:t>
      </w:r>
      <w:r w:rsidRPr="00F722A9">
        <w:rPr>
          <w:color w:val="222222"/>
          <w:shd w:val="clear" w:color="auto" w:fill="FFFFFF"/>
          <w:lang w:val="en-GB"/>
        </w:rPr>
        <w:t>, </w:t>
      </w:r>
      <w:r w:rsidRPr="00F722A9">
        <w:rPr>
          <w:i/>
          <w:iCs/>
          <w:color w:val="222222"/>
          <w:shd w:val="clear" w:color="auto" w:fill="FFFFFF"/>
          <w:lang w:val="en-GB"/>
        </w:rPr>
        <w:t>56</w:t>
      </w:r>
      <w:r w:rsidRPr="00F722A9">
        <w:rPr>
          <w:color w:val="222222"/>
          <w:shd w:val="clear" w:color="auto" w:fill="FFFFFF"/>
          <w:lang w:val="en-GB"/>
        </w:rPr>
        <w:t xml:space="preserve">(9), pp.1-38. DOI: </w:t>
      </w:r>
      <w:hyperlink r:id="rId14" w:history="1">
        <w:r w:rsidRPr="00F722A9">
          <w:rPr>
            <w:rStyle w:val="Hyperlink"/>
            <w:shd w:val="clear" w:color="auto" w:fill="FFFFFF"/>
            <w:lang w:val="en-GB"/>
          </w:rPr>
          <w:t>https://doi.org/10.1145/3652595</w:t>
        </w:r>
      </w:hyperlink>
    </w:p>
    <w:p w14:paraId="3C6AF203" w14:textId="77777777" w:rsidR="00F722A9" w:rsidRPr="00F722A9" w:rsidRDefault="00F722A9" w:rsidP="006B34AA">
      <w:pPr>
        <w:pStyle w:val="NormalWeb"/>
        <w:spacing w:line="360" w:lineRule="auto"/>
        <w:jc w:val="both"/>
        <w:rPr>
          <w:lang w:val="en-GB"/>
        </w:rPr>
      </w:pPr>
      <w:r w:rsidRPr="00F722A9">
        <w:rPr>
          <w:lang w:val="en-GB"/>
        </w:rPr>
        <w:t xml:space="preserve">Canalys (2025) </w:t>
      </w:r>
      <w:r w:rsidRPr="00F722A9">
        <w:rPr>
          <w:rStyle w:val="Emphasis"/>
          <w:lang w:val="en-GB"/>
        </w:rPr>
        <w:t>Wearable Band Analysis and Smart Glasses Market Growth Trends</w:t>
      </w:r>
      <w:r w:rsidRPr="00F722A9">
        <w:rPr>
          <w:lang w:val="en-GB"/>
        </w:rPr>
        <w:t xml:space="preserve">. Available at: </w:t>
      </w:r>
      <w:hyperlink r:id="rId15" w:tgtFrame="_new" w:history="1">
        <w:r w:rsidRPr="00F722A9">
          <w:rPr>
            <w:rStyle w:val="Hyperlink"/>
            <w:lang w:val="en-GB"/>
          </w:rPr>
          <w:t>https://www.canalys.com/</w:t>
        </w:r>
      </w:hyperlink>
      <w:r w:rsidRPr="00F722A9">
        <w:rPr>
          <w:lang w:val="en-GB"/>
        </w:rPr>
        <w:t xml:space="preserve"> (Accessed: 12 April 2026).</w:t>
      </w:r>
    </w:p>
    <w:p w14:paraId="6DD32757"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Cappannari</w:t>
      </w:r>
      <w:proofErr w:type="spellEnd"/>
      <w:r w:rsidRPr="00F722A9">
        <w:rPr>
          <w:color w:val="222222"/>
          <w:shd w:val="clear" w:color="auto" w:fill="FFFFFF"/>
          <w:lang w:val="en-GB"/>
        </w:rPr>
        <w:t xml:space="preserve">, L. and </w:t>
      </w:r>
      <w:proofErr w:type="spellStart"/>
      <w:r w:rsidRPr="00F722A9">
        <w:rPr>
          <w:color w:val="222222"/>
          <w:shd w:val="clear" w:color="auto" w:fill="FFFFFF"/>
          <w:lang w:val="en-GB"/>
        </w:rPr>
        <w:t>Vitillo</w:t>
      </w:r>
      <w:proofErr w:type="spellEnd"/>
      <w:r w:rsidRPr="00F722A9">
        <w:rPr>
          <w:color w:val="222222"/>
          <w:shd w:val="clear" w:color="auto" w:fill="FFFFFF"/>
          <w:lang w:val="en-GB"/>
        </w:rPr>
        <w:t>, A., (2022). XR and metaverse software platforms. </w:t>
      </w:r>
      <w:proofErr w:type="spellStart"/>
      <w:r w:rsidRPr="00F722A9">
        <w:rPr>
          <w:i/>
          <w:iCs/>
          <w:color w:val="222222"/>
          <w:shd w:val="clear" w:color="auto" w:fill="FFFFFF"/>
          <w:lang w:val="en-GB"/>
        </w:rPr>
        <w:t>Roadmapping</w:t>
      </w:r>
      <w:proofErr w:type="spellEnd"/>
      <w:r w:rsidRPr="00F722A9">
        <w:rPr>
          <w:i/>
          <w:iCs/>
          <w:color w:val="222222"/>
          <w:shd w:val="clear" w:color="auto" w:fill="FFFFFF"/>
          <w:lang w:val="en-GB"/>
        </w:rPr>
        <w:t xml:space="preserve"> extended reality: fundamentals and applications</w:t>
      </w:r>
      <w:r w:rsidRPr="00F722A9">
        <w:rPr>
          <w:color w:val="222222"/>
          <w:shd w:val="clear" w:color="auto" w:fill="FFFFFF"/>
          <w:lang w:val="en-GB"/>
        </w:rPr>
        <w:t xml:space="preserve">, pp.135-156. DOI: </w:t>
      </w:r>
      <w:hyperlink r:id="rId16" w:history="1">
        <w:r w:rsidRPr="00F722A9">
          <w:rPr>
            <w:rStyle w:val="Hyperlink"/>
            <w:shd w:val="clear" w:color="auto" w:fill="FFFFFF"/>
            <w:lang w:val="en-GB"/>
          </w:rPr>
          <w:t>https://doi.org/10.1002/9781119865810.ch6</w:t>
        </w:r>
      </w:hyperlink>
    </w:p>
    <w:p w14:paraId="58993508"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Catbas</w:t>
      </w:r>
      <w:proofErr w:type="spellEnd"/>
      <w:r w:rsidRPr="00F722A9">
        <w:rPr>
          <w:color w:val="222222"/>
          <w:shd w:val="clear" w:color="auto" w:fill="FFFFFF"/>
          <w:lang w:val="en-GB"/>
        </w:rPr>
        <w:t xml:space="preserve">, F.N., </w:t>
      </w:r>
      <w:proofErr w:type="spellStart"/>
      <w:r w:rsidRPr="00F722A9">
        <w:rPr>
          <w:color w:val="222222"/>
          <w:shd w:val="clear" w:color="auto" w:fill="FFFFFF"/>
          <w:lang w:val="en-GB"/>
        </w:rPr>
        <w:t>Luleci</w:t>
      </w:r>
      <w:proofErr w:type="spellEnd"/>
      <w:r w:rsidRPr="00F722A9">
        <w:rPr>
          <w:color w:val="222222"/>
          <w:shd w:val="clear" w:color="auto" w:fill="FFFFFF"/>
          <w:lang w:val="en-GB"/>
        </w:rPr>
        <w:t xml:space="preserve">, F., Zakaria, M., </w:t>
      </w:r>
      <w:proofErr w:type="spellStart"/>
      <w:r w:rsidRPr="00F722A9">
        <w:rPr>
          <w:color w:val="222222"/>
          <w:shd w:val="clear" w:color="auto" w:fill="FFFFFF"/>
          <w:lang w:val="en-GB"/>
        </w:rPr>
        <w:t>Bagci</w:t>
      </w:r>
      <w:proofErr w:type="spellEnd"/>
      <w:r w:rsidRPr="00F722A9">
        <w:rPr>
          <w:color w:val="222222"/>
          <w:shd w:val="clear" w:color="auto" w:fill="FFFFFF"/>
          <w:lang w:val="en-GB"/>
        </w:rPr>
        <w:t xml:space="preserve">, U., </w:t>
      </w:r>
      <w:proofErr w:type="spellStart"/>
      <w:r w:rsidRPr="00F722A9">
        <w:rPr>
          <w:color w:val="222222"/>
          <w:shd w:val="clear" w:color="auto" w:fill="FFFFFF"/>
          <w:lang w:val="en-GB"/>
        </w:rPr>
        <w:t>LaViola</w:t>
      </w:r>
      <w:proofErr w:type="spellEnd"/>
      <w:r w:rsidRPr="00F722A9">
        <w:rPr>
          <w:color w:val="222222"/>
          <w:shd w:val="clear" w:color="auto" w:fill="FFFFFF"/>
          <w:lang w:val="en-GB"/>
        </w:rPr>
        <w:t xml:space="preserve"> Jr, J.J., Cruz-Neira, C. and </w:t>
      </w:r>
      <w:proofErr w:type="spellStart"/>
      <w:r w:rsidRPr="00F722A9">
        <w:rPr>
          <w:color w:val="222222"/>
          <w:shd w:val="clear" w:color="auto" w:fill="FFFFFF"/>
          <w:lang w:val="en-GB"/>
        </w:rPr>
        <w:t>Reiners</w:t>
      </w:r>
      <w:proofErr w:type="spellEnd"/>
      <w:r w:rsidRPr="00F722A9">
        <w:rPr>
          <w:color w:val="222222"/>
          <w:shd w:val="clear" w:color="auto" w:fill="FFFFFF"/>
          <w:lang w:val="en-GB"/>
        </w:rPr>
        <w:t>, D., (2022). Extended reality (XR) for condition assessment of civil engineering structures: A literature review. </w:t>
      </w:r>
      <w:r w:rsidRPr="00F722A9">
        <w:rPr>
          <w:i/>
          <w:iCs/>
          <w:color w:val="222222"/>
          <w:shd w:val="clear" w:color="auto" w:fill="FFFFFF"/>
          <w:lang w:val="en-GB"/>
        </w:rPr>
        <w:t>Sensors</w:t>
      </w:r>
      <w:r w:rsidRPr="00F722A9">
        <w:rPr>
          <w:color w:val="222222"/>
          <w:shd w:val="clear" w:color="auto" w:fill="FFFFFF"/>
          <w:lang w:val="en-GB"/>
        </w:rPr>
        <w:t>, </w:t>
      </w:r>
      <w:r w:rsidRPr="00F722A9">
        <w:rPr>
          <w:i/>
          <w:iCs/>
          <w:color w:val="222222"/>
          <w:shd w:val="clear" w:color="auto" w:fill="FFFFFF"/>
          <w:lang w:val="en-GB"/>
        </w:rPr>
        <w:t>22</w:t>
      </w:r>
      <w:r w:rsidRPr="00F722A9">
        <w:rPr>
          <w:color w:val="222222"/>
          <w:shd w:val="clear" w:color="auto" w:fill="FFFFFF"/>
          <w:lang w:val="en-GB"/>
        </w:rPr>
        <w:t xml:space="preserve">(23), p.9560. DOI: </w:t>
      </w:r>
      <w:hyperlink r:id="rId17" w:history="1">
        <w:r w:rsidRPr="00F722A9">
          <w:rPr>
            <w:rStyle w:val="Hyperlink"/>
            <w:shd w:val="clear" w:color="auto" w:fill="FFFFFF"/>
            <w:lang w:val="en-GB"/>
          </w:rPr>
          <w:t>https://doi.org/10.3390/s22239560</w:t>
        </w:r>
      </w:hyperlink>
    </w:p>
    <w:p w14:paraId="08945A7D"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Choi, H., Jeong, H. and Kim, G.J., (2023). User experience of multi-mode and multitasked extended reality on different mobile interaction platforms. </w:t>
      </w:r>
      <w:r w:rsidRPr="00F722A9">
        <w:rPr>
          <w:i/>
          <w:iCs/>
          <w:color w:val="222222"/>
          <w:shd w:val="clear" w:color="auto" w:fill="FFFFFF"/>
          <w:lang w:val="en-GB"/>
        </w:rPr>
        <w:t>Electronics</w:t>
      </w:r>
      <w:r w:rsidRPr="00F722A9">
        <w:rPr>
          <w:color w:val="222222"/>
          <w:shd w:val="clear" w:color="auto" w:fill="FFFFFF"/>
          <w:lang w:val="en-GB"/>
        </w:rPr>
        <w:t>, </w:t>
      </w:r>
      <w:r w:rsidRPr="00F722A9">
        <w:rPr>
          <w:i/>
          <w:iCs/>
          <w:color w:val="222222"/>
          <w:shd w:val="clear" w:color="auto" w:fill="FFFFFF"/>
          <w:lang w:val="en-GB"/>
        </w:rPr>
        <w:t>12</w:t>
      </w:r>
      <w:r w:rsidRPr="00F722A9">
        <w:rPr>
          <w:color w:val="222222"/>
          <w:shd w:val="clear" w:color="auto" w:fill="FFFFFF"/>
          <w:lang w:val="en-GB"/>
        </w:rPr>
        <w:t xml:space="preserve">(6), p.1457. DOI: </w:t>
      </w:r>
      <w:hyperlink r:id="rId18" w:history="1">
        <w:r w:rsidRPr="00F722A9">
          <w:rPr>
            <w:rStyle w:val="Hyperlink"/>
            <w:shd w:val="clear" w:color="auto" w:fill="FFFFFF"/>
            <w:lang w:val="en-GB"/>
          </w:rPr>
          <w:t>https://doi.org/10.3390/electronics12061457</w:t>
        </w:r>
      </w:hyperlink>
    </w:p>
    <w:p w14:paraId="3E601413" w14:textId="77777777" w:rsidR="00F722A9" w:rsidRPr="00F722A9" w:rsidRDefault="00F722A9" w:rsidP="006B34AA">
      <w:pPr>
        <w:pStyle w:val="NormalWeb"/>
        <w:spacing w:line="360" w:lineRule="auto"/>
        <w:jc w:val="both"/>
        <w:rPr>
          <w:lang w:val="en-GB"/>
        </w:rPr>
      </w:pPr>
      <w:r w:rsidRPr="00F722A9">
        <w:rPr>
          <w:lang w:val="en-GB"/>
        </w:rPr>
        <w:lastRenderedPageBreak/>
        <w:t xml:space="preserve">Counterpoint Research (2025) </w:t>
      </w:r>
      <w:r w:rsidRPr="00F722A9">
        <w:rPr>
          <w:rStyle w:val="Emphasis"/>
          <w:lang w:val="en-GB"/>
        </w:rPr>
        <w:t>Global Smart Glasses and XR Market Share Report</w:t>
      </w:r>
      <w:r w:rsidRPr="00F722A9">
        <w:rPr>
          <w:lang w:val="en-GB"/>
        </w:rPr>
        <w:t xml:space="preserve">. Available at: </w:t>
      </w:r>
      <w:hyperlink r:id="rId19" w:tgtFrame="_new" w:history="1">
        <w:r w:rsidRPr="00F722A9">
          <w:rPr>
            <w:rStyle w:val="Hyperlink"/>
            <w:lang w:val="en-GB"/>
          </w:rPr>
          <w:t>https://www.counterpointresearch.com/</w:t>
        </w:r>
      </w:hyperlink>
      <w:r w:rsidRPr="00F722A9">
        <w:rPr>
          <w:lang w:val="en-GB"/>
        </w:rPr>
        <w:t xml:space="preserve"> (Accessed: 12 April 2026).</w:t>
      </w:r>
    </w:p>
    <w:p w14:paraId="06EEEC41"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Gu, R., Zhang, J., Rojas, J.M. and Shin, D., (2025). On the promises and challenges of AI-powered XR glasses as embodied software. In </w:t>
      </w:r>
      <w:r w:rsidRPr="00F722A9">
        <w:rPr>
          <w:i/>
          <w:iCs/>
          <w:color w:val="222222"/>
          <w:shd w:val="clear" w:color="auto" w:fill="FFFFFF"/>
          <w:lang w:val="en-GB"/>
        </w:rPr>
        <w:t>2025 2nd IEEE/ACM International Conference on AI-powered Software (</w:t>
      </w:r>
      <w:proofErr w:type="spellStart"/>
      <w:r w:rsidRPr="00F722A9">
        <w:rPr>
          <w:i/>
          <w:iCs/>
          <w:color w:val="222222"/>
          <w:shd w:val="clear" w:color="auto" w:fill="FFFFFF"/>
          <w:lang w:val="en-GB"/>
        </w:rPr>
        <w:t>AIware</w:t>
      </w:r>
      <w:proofErr w:type="spellEnd"/>
      <w:r w:rsidRPr="00F722A9">
        <w:rPr>
          <w:i/>
          <w:iCs/>
          <w:color w:val="222222"/>
          <w:shd w:val="clear" w:color="auto" w:fill="FFFFFF"/>
          <w:lang w:val="en-GB"/>
        </w:rPr>
        <w:t>)</w:t>
      </w:r>
      <w:r w:rsidRPr="00F722A9">
        <w:rPr>
          <w:color w:val="222222"/>
          <w:shd w:val="clear" w:color="auto" w:fill="FFFFFF"/>
          <w:lang w:val="en-GB"/>
        </w:rPr>
        <w:t xml:space="preserve"> (pp. 207-212). IEEE. DOI: </w:t>
      </w:r>
      <w:hyperlink r:id="rId20" w:history="1">
        <w:r w:rsidRPr="00F722A9">
          <w:rPr>
            <w:rStyle w:val="Hyperlink"/>
            <w:shd w:val="clear" w:color="auto" w:fill="FFFFFF"/>
            <w:lang w:val="en-GB"/>
          </w:rPr>
          <w:t>https://doi.org/10.1109/AIware69974.2025.00030</w:t>
        </w:r>
      </w:hyperlink>
    </w:p>
    <w:p w14:paraId="16EA3ACE" w14:textId="77777777" w:rsidR="00F722A9" w:rsidRPr="00F722A9" w:rsidRDefault="00F722A9" w:rsidP="006B34AA">
      <w:pPr>
        <w:pStyle w:val="NormalWeb"/>
        <w:spacing w:line="360" w:lineRule="auto"/>
        <w:jc w:val="both"/>
        <w:rPr>
          <w:lang w:val="en-GB"/>
        </w:rPr>
      </w:pPr>
      <w:r w:rsidRPr="00F722A9">
        <w:rPr>
          <w:lang w:val="en-GB"/>
        </w:rPr>
        <w:t xml:space="preserve">IDC (2025) </w:t>
      </w:r>
      <w:r w:rsidRPr="00F722A9">
        <w:rPr>
          <w:rStyle w:val="Emphasis"/>
          <w:lang w:val="en-GB"/>
        </w:rPr>
        <w:t>Worldwide Augmented and Virtual Reality (AR/VR) Headset Market Forecast</w:t>
      </w:r>
      <w:r w:rsidRPr="00F722A9">
        <w:rPr>
          <w:lang w:val="en-GB"/>
        </w:rPr>
        <w:t xml:space="preserve">. Available at: </w:t>
      </w:r>
      <w:hyperlink r:id="rId21" w:tgtFrame="_new" w:history="1">
        <w:r w:rsidRPr="00F722A9">
          <w:rPr>
            <w:rStyle w:val="Hyperlink"/>
            <w:lang w:val="en-GB"/>
          </w:rPr>
          <w:t>https://www.idc.com/promo/arvr/</w:t>
        </w:r>
      </w:hyperlink>
      <w:r w:rsidRPr="00F722A9">
        <w:rPr>
          <w:lang w:val="en-GB"/>
        </w:rPr>
        <w:t xml:space="preserve"> (Accessed: 12 April 2026).</w:t>
      </w:r>
    </w:p>
    <w:p w14:paraId="32DEA55D"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 xml:space="preserve">Kini, V.G., </w:t>
      </w:r>
      <w:proofErr w:type="spellStart"/>
      <w:r w:rsidRPr="00F722A9">
        <w:rPr>
          <w:color w:val="222222"/>
          <w:shd w:val="clear" w:color="auto" w:fill="FFFFFF"/>
          <w:lang w:val="en-GB"/>
        </w:rPr>
        <w:t>Ganeshrao</w:t>
      </w:r>
      <w:proofErr w:type="spellEnd"/>
      <w:r w:rsidRPr="00F722A9">
        <w:rPr>
          <w:color w:val="222222"/>
          <w:shd w:val="clear" w:color="auto" w:fill="FFFFFF"/>
          <w:lang w:val="en-GB"/>
        </w:rPr>
        <w:t xml:space="preserve">, S.B. and </w:t>
      </w:r>
      <w:proofErr w:type="spellStart"/>
      <w:r w:rsidRPr="00F722A9">
        <w:rPr>
          <w:color w:val="222222"/>
          <w:shd w:val="clear" w:color="auto" w:fill="FFFFFF"/>
          <w:lang w:val="en-GB"/>
        </w:rPr>
        <w:t>Siddalingaswamy</w:t>
      </w:r>
      <w:proofErr w:type="spellEnd"/>
      <w:r w:rsidRPr="00F722A9">
        <w:rPr>
          <w:color w:val="222222"/>
          <w:shd w:val="clear" w:color="auto" w:fill="FFFFFF"/>
          <w:lang w:val="en-GB"/>
        </w:rPr>
        <w:t>, P.C., (2024). XR review: A comprehensive analysis of visual function testing and gamification in extended reality environments. </w:t>
      </w:r>
      <w:r w:rsidRPr="00F722A9">
        <w:rPr>
          <w:i/>
          <w:iCs/>
          <w:color w:val="222222"/>
          <w:shd w:val="clear" w:color="auto" w:fill="FFFFFF"/>
          <w:lang w:val="en-GB"/>
        </w:rPr>
        <w:t>IEEE Access</w:t>
      </w:r>
      <w:r w:rsidRPr="00F722A9">
        <w:rPr>
          <w:color w:val="222222"/>
          <w:shd w:val="clear" w:color="auto" w:fill="FFFFFF"/>
          <w:lang w:val="en-GB"/>
        </w:rPr>
        <w:t>, </w:t>
      </w:r>
      <w:r w:rsidRPr="00F722A9">
        <w:rPr>
          <w:i/>
          <w:iCs/>
          <w:color w:val="222222"/>
          <w:shd w:val="clear" w:color="auto" w:fill="FFFFFF"/>
          <w:lang w:val="en-GB"/>
        </w:rPr>
        <w:t>12</w:t>
      </w:r>
      <w:r w:rsidRPr="00F722A9">
        <w:rPr>
          <w:color w:val="222222"/>
          <w:shd w:val="clear" w:color="auto" w:fill="FFFFFF"/>
          <w:lang w:val="en-GB"/>
        </w:rPr>
        <w:t xml:space="preserve">, pp.79714-79730. DOI: </w:t>
      </w:r>
      <w:hyperlink r:id="rId22" w:history="1">
        <w:r w:rsidRPr="00F722A9">
          <w:rPr>
            <w:rStyle w:val="Hyperlink"/>
            <w:shd w:val="clear" w:color="auto" w:fill="FFFFFF"/>
            <w:lang w:val="en-GB"/>
          </w:rPr>
          <w:t>https://doi.org/10.1109/ACCESS.2024.3408677</w:t>
        </w:r>
      </w:hyperlink>
    </w:p>
    <w:p w14:paraId="227AA0ED"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Komianos</w:t>
      </w:r>
      <w:proofErr w:type="spellEnd"/>
      <w:r w:rsidRPr="00F722A9">
        <w:rPr>
          <w:color w:val="222222"/>
          <w:shd w:val="clear" w:color="auto" w:fill="FFFFFF"/>
          <w:lang w:val="en-GB"/>
        </w:rPr>
        <w:t>, V., (2022). Immersive applications in museums: An analysis of the use of XR technologies and the provided functionality based on systematic literature review. </w:t>
      </w:r>
      <w:r w:rsidRPr="00F722A9">
        <w:rPr>
          <w:i/>
          <w:iCs/>
          <w:color w:val="222222"/>
          <w:shd w:val="clear" w:color="auto" w:fill="FFFFFF"/>
          <w:lang w:val="en-GB"/>
        </w:rPr>
        <w:t>JOIV: International Journal on Informatics Visualization</w:t>
      </w:r>
      <w:r w:rsidRPr="00F722A9">
        <w:rPr>
          <w:color w:val="222222"/>
          <w:shd w:val="clear" w:color="auto" w:fill="FFFFFF"/>
          <w:lang w:val="en-GB"/>
        </w:rPr>
        <w:t>, </w:t>
      </w:r>
      <w:r w:rsidRPr="00F722A9">
        <w:rPr>
          <w:i/>
          <w:iCs/>
          <w:color w:val="222222"/>
          <w:shd w:val="clear" w:color="auto" w:fill="FFFFFF"/>
          <w:lang w:val="en-GB"/>
        </w:rPr>
        <w:t>6</w:t>
      </w:r>
      <w:r w:rsidRPr="00F722A9">
        <w:rPr>
          <w:color w:val="222222"/>
          <w:shd w:val="clear" w:color="auto" w:fill="FFFFFF"/>
          <w:lang w:val="en-GB"/>
        </w:rPr>
        <w:t xml:space="preserve">(1), pp.60-73. DOI: </w:t>
      </w:r>
      <w:hyperlink r:id="rId23" w:history="1">
        <w:r w:rsidRPr="00F722A9">
          <w:rPr>
            <w:rStyle w:val="Hyperlink"/>
            <w:shd w:val="clear" w:color="auto" w:fill="FFFFFF"/>
            <w:lang w:val="en-GB"/>
          </w:rPr>
          <w:t>https://dx.doi.org/10.30630/joiv.6.1.708</w:t>
        </w:r>
      </w:hyperlink>
    </w:p>
    <w:p w14:paraId="557C6A28"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 xml:space="preserve">Lee, J., </w:t>
      </w:r>
      <w:proofErr w:type="spellStart"/>
      <w:r w:rsidRPr="00F722A9">
        <w:rPr>
          <w:color w:val="222222"/>
          <w:shd w:val="clear" w:color="auto" w:fill="FFFFFF"/>
          <w:lang w:val="en-GB"/>
        </w:rPr>
        <w:t>Baeck</w:t>
      </w:r>
      <w:proofErr w:type="spellEnd"/>
      <w:r w:rsidRPr="00F722A9">
        <w:rPr>
          <w:color w:val="222222"/>
          <w:shd w:val="clear" w:color="auto" w:fill="FFFFFF"/>
          <w:lang w:val="en-GB"/>
        </w:rPr>
        <w:t xml:space="preserve">, M., Yeo, H.S., Starner, T. and Woo, W., (2024). </w:t>
      </w:r>
      <w:proofErr w:type="spellStart"/>
      <w:r w:rsidRPr="00F722A9">
        <w:rPr>
          <w:color w:val="222222"/>
          <w:shd w:val="clear" w:color="auto" w:fill="FFFFFF"/>
          <w:lang w:val="en-GB"/>
        </w:rPr>
        <w:t>GestureMark</w:t>
      </w:r>
      <w:proofErr w:type="spellEnd"/>
      <w:r w:rsidRPr="00F722A9">
        <w:rPr>
          <w:color w:val="222222"/>
          <w:shd w:val="clear" w:color="auto" w:fill="FFFFFF"/>
          <w:lang w:val="en-GB"/>
        </w:rPr>
        <w:t>: Shortcut Input Technique using Smartwatch Touch Gestures for XR Glasses. In </w:t>
      </w:r>
      <w:r w:rsidRPr="00F722A9">
        <w:rPr>
          <w:i/>
          <w:iCs/>
          <w:color w:val="222222"/>
          <w:shd w:val="clear" w:color="auto" w:fill="FFFFFF"/>
          <w:lang w:val="en-GB"/>
        </w:rPr>
        <w:t>Proceedings of the Augmented Humans International Conference 2024</w:t>
      </w:r>
      <w:r w:rsidRPr="00F722A9">
        <w:rPr>
          <w:color w:val="222222"/>
          <w:shd w:val="clear" w:color="auto" w:fill="FFFFFF"/>
          <w:lang w:val="en-GB"/>
        </w:rPr>
        <w:t xml:space="preserve"> (pp. 63-71). DOI: </w:t>
      </w:r>
      <w:hyperlink r:id="rId24" w:history="1">
        <w:r w:rsidRPr="00F722A9">
          <w:rPr>
            <w:rStyle w:val="Hyperlink"/>
            <w:shd w:val="clear" w:color="auto" w:fill="FFFFFF"/>
            <w:lang w:val="en-GB"/>
          </w:rPr>
          <w:t>https://doi.org/10.1145/3652920.3652941</w:t>
        </w:r>
      </w:hyperlink>
    </w:p>
    <w:p w14:paraId="21015401"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 xml:space="preserve">Oh, S. and Shon, T., (2024). Digital forensics for </w:t>
      </w:r>
      <w:proofErr w:type="spellStart"/>
      <w:r w:rsidRPr="00F722A9">
        <w:rPr>
          <w:color w:val="222222"/>
          <w:shd w:val="clear" w:color="auto" w:fill="FFFFFF"/>
          <w:lang w:val="en-GB"/>
        </w:rPr>
        <w:t>analyzing</w:t>
      </w:r>
      <w:proofErr w:type="spellEnd"/>
      <w:r w:rsidRPr="00F722A9">
        <w:rPr>
          <w:color w:val="222222"/>
          <w:shd w:val="clear" w:color="auto" w:fill="FFFFFF"/>
          <w:lang w:val="en-GB"/>
        </w:rPr>
        <w:t xml:space="preserve"> cyber threats in the </w:t>
      </w:r>
      <w:proofErr w:type="spellStart"/>
      <w:r w:rsidRPr="00F722A9">
        <w:rPr>
          <w:color w:val="222222"/>
          <w:shd w:val="clear" w:color="auto" w:fill="FFFFFF"/>
          <w:lang w:val="en-GB"/>
        </w:rPr>
        <w:t>xr</w:t>
      </w:r>
      <w:proofErr w:type="spellEnd"/>
      <w:r w:rsidRPr="00F722A9">
        <w:rPr>
          <w:color w:val="222222"/>
          <w:shd w:val="clear" w:color="auto" w:fill="FFFFFF"/>
          <w:lang w:val="en-GB"/>
        </w:rPr>
        <w:t xml:space="preserve"> technology ecosystem within digital twins. </w:t>
      </w:r>
      <w:r w:rsidRPr="00F722A9">
        <w:rPr>
          <w:i/>
          <w:iCs/>
          <w:color w:val="222222"/>
          <w:shd w:val="clear" w:color="auto" w:fill="FFFFFF"/>
          <w:lang w:val="en-GB"/>
        </w:rPr>
        <w:t>Electronics</w:t>
      </w:r>
      <w:r w:rsidRPr="00F722A9">
        <w:rPr>
          <w:color w:val="222222"/>
          <w:shd w:val="clear" w:color="auto" w:fill="FFFFFF"/>
          <w:lang w:val="en-GB"/>
        </w:rPr>
        <w:t>, </w:t>
      </w:r>
      <w:r w:rsidRPr="00F722A9">
        <w:rPr>
          <w:i/>
          <w:iCs/>
          <w:color w:val="222222"/>
          <w:shd w:val="clear" w:color="auto" w:fill="FFFFFF"/>
          <w:lang w:val="en-GB"/>
        </w:rPr>
        <w:t>13</w:t>
      </w:r>
      <w:r w:rsidRPr="00F722A9">
        <w:rPr>
          <w:color w:val="222222"/>
          <w:shd w:val="clear" w:color="auto" w:fill="FFFFFF"/>
          <w:lang w:val="en-GB"/>
        </w:rPr>
        <w:t xml:space="preserve">(13), p.2653. DOI: </w:t>
      </w:r>
      <w:hyperlink r:id="rId25" w:history="1">
        <w:r w:rsidRPr="00F722A9">
          <w:rPr>
            <w:rStyle w:val="Hyperlink"/>
            <w:shd w:val="clear" w:color="auto" w:fill="FFFFFF"/>
            <w:lang w:val="en-GB"/>
          </w:rPr>
          <w:t>https://doi.org/10.3390/electronics13132653</w:t>
        </w:r>
      </w:hyperlink>
    </w:p>
    <w:p w14:paraId="4B006B2D"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Plabst</w:t>
      </w:r>
      <w:proofErr w:type="spellEnd"/>
      <w:r w:rsidRPr="00F722A9">
        <w:rPr>
          <w:color w:val="222222"/>
          <w:shd w:val="clear" w:color="auto" w:fill="FFFFFF"/>
          <w:lang w:val="en-GB"/>
        </w:rPr>
        <w:t xml:space="preserve">, L., </w:t>
      </w:r>
      <w:proofErr w:type="spellStart"/>
      <w:r w:rsidRPr="00F722A9">
        <w:rPr>
          <w:color w:val="222222"/>
          <w:shd w:val="clear" w:color="auto" w:fill="FFFFFF"/>
          <w:lang w:val="en-GB"/>
        </w:rPr>
        <w:t>Plabst</w:t>
      </w:r>
      <w:proofErr w:type="spellEnd"/>
      <w:r w:rsidRPr="00F722A9">
        <w:rPr>
          <w:color w:val="222222"/>
          <w:shd w:val="clear" w:color="auto" w:fill="FFFFFF"/>
          <w:lang w:val="en-GB"/>
        </w:rPr>
        <w:t xml:space="preserve">, L., </w:t>
      </w:r>
      <w:proofErr w:type="spellStart"/>
      <w:r w:rsidRPr="00F722A9">
        <w:rPr>
          <w:color w:val="222222"/>
          <w:shd w:val="clear" w:color="auto" w:fill="FFFFFF"/>
          <w:lang w:val="en-GB"/>
        </w:rPr>
        <w:t>Niebling</w:t>
      </w:r>
      <w:proofErr w:type="spellEnd"/>
      <w:r w:rsidRPr="00F722A9">
        <w:rPr>
          <w:color w:val="222222"/>
          <w:shd w:val="clear" w:color="auto" w:fill="FFFFFF"/>
          <w:lang w:val="en-GB"/>
        </w:rPr>
        <w:t xml:space="preserve">, F. and Ortega, F.R., (2025). Five-day research-in-the-wild observation of notifications on </w:t>
      </w:r>
      <w:proofErr w:type="spellStart"/>
      <w:r w:rsidRPr="00F722A9">
        <w:rPr>
          <w:color w:val="222222"/>
          <w:shd w:val="clear" w:color="auto" w:fill="FFFFFF"/>
          <w:lang w:val="en-GB"/>
        </w:rPr>
        <w:t>smartglasses</w:t>
      </w:r>
      <w:proofErr w:type="spellEnd"/>
      <w:r w:rsidRPr="00F722A9">
        <w:rPr>
          <w:color w:val="222222"/>
          <w:shd w:val="clear" w:color="auto" w:fill="FFFFFF"/>
          <w:lang w:val="en-GB"/>
        </w:rPr>
        <w:t>: A double edged sword. In </w:t>
      </w:r>
      <w:r w:rsidRPr="00F722A9">
        <w:rPr>
          <w:i/>
          <w:iCs/>
          <w:color w:val="222222"/>
          <w:shd w:val="clear" w:color="auto" w:fill="FFFFFF"/>
          <w:lang w:val="en-GB"/>
        </w:rPr>
        <w:t>Proceedings of the 2025 31st ACM Symposium on Virtual Reality Software and Technology</w:t>
      </w:r>
      <w:r w:rsidRPr="00F722A9">
        <w:rPr>
          <w:color w:val="222222"/>
          <w:shd w:val="clear" w:color="auto" w:fill="FFFFFF"/>
          <w:lang w:val="en-GB"/>
        </w:rPr>
        <w:t xml:space="preserve"> (pp. 1-10). DOI: </w:t>
      </w:r>
      <w:hyperlink r:id="rId26" w:history="1">
        <w:r w:rsidRPr="00F722A9">
          <w:rPr>
            <w:rStyle w:val="Hyperlink"/>
            <w:shd w:val="clear" w:color="auto" w:fill="FFFFFF"/>
            <w:lang w:val="en-GB"/>
          </w:rPr>
          <w:t>https://doi.org/10.1145/3756884.3765976</w:t>
        </w:r>
      </w:hyperlink>
    </w:p>
    <w:p w14:paraId="6A1C7BC1"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lastRenderedPageBreak/>
        <w:t>Quesada-</w:t>
      </w:r>
      <w:proofErr w:type="spellStart"/>
      <w:r w:rsidRPr="00F722A9">
        <w:rPr>
          <w:color w:val="222222"/>
          <w:shd w:val="clear" w:color="auto" w:fill="FFFFFF"/>
          <w:lang w:val="en-GB"/>
        </w:rPr>
        <w:t>Olarte</w:t>
      </w:r>
      <w:proofErr w:type="spellEnd"/>
      <w:r w:rsidRPr="00F722A9">
        <w:rPr>
          <w:color w:val="222222"/>
          <w:shd w:val="clear" w:color="auto" w:fill="FFFFFF"/>
          <w:lang w:val="en-GB"/>
        </w:rPr>
        <w:t xml:space="preserve">, J., Carrion Jr, R.E., Fernandez-Crespo, R., Henry, G.D., </w:t>
      </w:r>
      <w:proofErr w:type="spellStart"/>
      <w:r w:rsidRPr="00F722A9">
        <w:rPr>
          <w:color w:val="222222"/>
          <w:shd w:val="clear" w:color="auto" w:fill="FFFFFF"/>
          <w:lang w:val="en-GB"/>
        </w:rPr>
        <w:t>Simhan</w:t>
      </w:r>
      <w:proofErr w:type="spellEnd"/>
      <w:r w:rsidRPr="00F722A9">
        <w:rPr>
          <w:color w:val="222222"/>
          <w:shd w:val="clear" w:color="auto" w:fill="FFFFFF"/>
          <w:lang w:val="en-GB"/>
        </w:rPr>
        <w:t xml:space="preserve">, J., </w:t>
      </w:r>
      <w:proofErr w:type="spellStart"/>
      <w:r w:rsidRPr="00F722A9">
        <w:rPr>
          <w:color w:val="222222"/>
          <w:shd w:val="clear" w:color="auto" w:fill="FFFFFF"/>
          <w:lang w:val="en-GB"/>
        </w:rPr>
        <w:t>Shridharani</w:t>
      </w:r>
      <w:proofErr w:type="spellEnd"/>
      <w:r w:rsidRPr="00F722A9">
        <w:rPr>
          <w:color w:val="222222"/>
          <w:shd w:val="clear" w:color="auto" w:fill="FFFFFF"/>
          <w:lang w:val="en-GB"/>
        </w:rPr>
        <w:t xml:space="preserve">, A., Carrion, R.E. and </w:t>
      </w:r>
      <w:proofErr w:type="spellStart"/>
      <w:r w:rsidRPr="00F722A9">
        <w:rPr>
          <w:color w:val="222222"/>
          <w:shd w:val="clear" w:color="auto" w:fill="FFFFFF"/>
          <w:lang w:val="en-GB"/>
        </w:rPr>
        <w:t>Hakky</w:t>
      </w:r>
      <w:proofErr w:type="spellEnd"/>
      <w:r w:rsidRPr="00F722A9">
        <w:rPr>
          <w:color w:val="222222"/>
          <w:shd w:val="clear" w:color="auto" w:fill="FFFFFF"/>
          <w:lang w:val="en-GB"/>
        </w:rPr>
        <w:t>, T.S., (2022). Extended reality-assisted surgery as a surgical training tool: Pilot study presenting first HoloLens-assisted complex penile revision surgery. </w:t>
      </w:r>
      <w:r w:rsidRPr="00F722A9">
        <w:rPr>
          <w:i/>
          <w:iCs/>
          <w:color w:val="222222"/>
          <w:shd w:val="clear" w:color="auto" w:fill="FFFFFF"/>
          <w:lang w:val="en-GB"/>
        </w:rPr>
        <w:t>The journal of sexual medicine</w:t>
      </w:r>
      <w:r w:rsidRPr="00F722A9">
        <w:rPr>
          <w:color w:val="222222"/>
          <w:shd w:val="clear" w:color="auto" w:fill="FFFFFF"/>
          <w:lang w:val="en-GB"/>
        </w:rPr>
        <w:t>, </w:t>
      </w:r>
      <w:r w:rsidRPr="00F722A9">
        <w:rPr>
          <w:i/>
          <w:iCs/>
          <w:color w:val="222222"/>
          <w:shd w:val="clear" w:color="auto" w:fill="FFFFFF"/>
          <w:lang w:val="en-GB"/>
        </w:rPr>
        <w:t>19</w:t>
      </w:r>
      <w:r w:rsidRPr="00F722A9">
        <w:rPr>
          <w:color w:val="222222"/>
          <w:shd w:val="clear" w:color="auto" w:fill="FFFFFF"/>
          <w:lang w:val="en-GB"/>
        </w:rPr>
        <w:t xml:space="preserve">(10), pp.1580-1586. DOI: </w:t>
      </w:r>
      <w:hyperlink r:id="rId27" w:history="1">
        <w:r w:rsidRPr="00F722A9">
          <w:rPr>
            <w:rStyle w:val="Hyperlink"/>
            <w:shd w:val="clear" w:color="auto" w:fill="FFFFFF"/>
            <w:lang w:val="en-GB"/>
          </w:rPr>
          <w:t>https://doi.org/10.1016/j.jsxm.2022.07.010</w:t>
        </w:r>
      </w:hyperlink>
    </w:p>
    <w:p w14:paraId="61C49638"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Rhodin</w:t>
      </w:r>
      <w:proofErr w:type="spellEnd"/>
      <w:r w:rsidRPr="00F722A9">
        <w:rPr>
          <w:color w:val="222222"/>
          <w:shd w:val="clear" w:color="auto" w:fill="FFFFFF"/>
          <w:lang w:val="en-GB"/>
        </w:rPr>
        <w:t xml:space="preserve">, H., </w:t>
      </w:r>
      <w:proofErr w:type="spellStart"/>
      <w:r w:rsidRPr="00F722A9">
        <w:rPr>
          <w:color w:val="222222"/>
          <w:shd w:val="clear" w:color="auto" w:fill="FFFFFF"/>
          <w:lang w:val="en-GB"/>
        </w:rPr>
        <w:t>Ersoy</w:t>
      </w:r>
      <w:proofErr w:type="spellEnd"/>
      <w:r w:rsidRPr="00F722A9">
        <w:rPr>
          <w:color w:val="222222"/>
          <w:shd w:val="clear" w:color="auto" w:fill="FFFFFF"/>
          <w:lang w:val="en-GB"/>
        </w:rPr>
        <w:t>, I., Aygun, S., Pfeiffer, C.J., Vollmer, A.L. and Todt, I., (2025). Comparison of augmented reality glasses for the assistive communication support of hearing loss. </w:t>
      </w:r>
      <w:r w:rsidRPr="00F722A9">
        <w:rPr>
          <w:i/>
          <w:iCs/>
          <w:color w:val="222222"/>
          <w:shd w:val="clear" w:color="auto" w:fill="FFFFFF"/>
          <w:lang w:val="en-GB"/>
        </w:rPr>
        <w:t>Frontiers in Neurology</w:t>
      </w:r>
      <w:r w:rsidRPr="00F722A9">
        <w:rPr>
          <w:color w:val="222222"/>
          <w:shd w:val="clear" w:color="auto" w:fill="FFFFFF"/>
          <w:lang w:val="en-GB"/>
        </w:rPr>
        <w:t>, </w:t>
      </w:r>
      <w:r w:rsidRPr="00F722A9">
        <w:rPr>
          <w:i/>
          <w:iCs/>
          <w:color w:val="222222"/>
          <w:shd w:val="clear" w:color="auto" w:fill="FFFFFF"/>
          <w:lang w:val="en-GB"/>
        </w:rPr>
        <w:t>16</w:t>
      </w:r>
      <w:r w:rsidRPr="00F722A9">
        <w:rPr>
          <w:color w:val="222222"/>
          <w:shd w:val="clear" w:color="auto" w:fill="FFFFFF"/>
          <w:lang w:val="en-GB"/>
        </w:rPr>
        <w:t xml:space="preserve">, p.1635699. DOI: </w:t>
      </w:r>
      <w:hyperlink r:id="rId28" w:history="1">
        <w:r w:rsidRPr="00F722A9">
          <w:rPr>
            <w:rStyle w:val="Hyperlink"/>
            <w:shd w:val="clear" w:color="auto" w:fill="FFFFFF"/>
            <w:lang w:val="en-GB"/>
          </w:rPr>
          <w:t>https://doi.org/10.3389/fneur.2025.1635699</w:t>
        </w:r>
      </w:hyperlink>
    </w:p>
    <w:p w14:paraId="4DC3CCE4" w14:textId="77777777" w:rsidR="00F722A9" w:rsidRPr="00F722A9" w:rsidRDefault="00F722A9" w:rsidP="006B34AA">
      <w:pPr>
        <w:pStyle w:val="NormalWeb"/>
        <w:spacing w:line="360" w:lineRule="auto"/>
        <w:jc w:val="both"/>
        <w:rPr>
          <w:color w:val="222222"/>
          <w:shd w:val="clear" w:color="auto" w:fill="FFFFFF"/>
          <w:lang w:val="en-GB"/>
        </w:rPr>
      </w:pPr>
      <w:proofErr w:type="spellStart"/>
      <w:r w:rsidRPr="00F722A9">
        <w:rPr>
          <w:color w:val="222222"/>
          <w:shd w:val="clear" w:color="auto" w:fill="FFFFFF"/>
          <w:lang w:val="en-GB"/>
        </w:rPr>
        <w:t>Shatokhin</w:t>
      </w:r>
      <w:proofErr w:type="spellEnd"/>
      <w:r w:rsidRPr="00F722A9">
        <w:rPr>
          <w:color w:val="222222"/>
          <w:shd w:val="clear" w:color="auto" w:fill="FFFFFF"/>
          <w:lang w:val="en-GB"/>
        </w:rPr>
        <w:t xml:space="preserve">, O., </w:t>
      </w:r>
      <w:proofErr w:type="spellStart"/>
      <w:r w:rsidRPr="00F722A9">
        <w:rPr>
          <w:color w:val="222222"/>
          <w:shd w:val="clear" w:color="auto" w:fill="FFFFFF"/>
          <w:lang w:val="en-GB"/>
        </w:rPr>
        <w:t>Dzedzickis</w:t>
      </w:r>
      <w:proofErr w:type="spellEnd"/>
      <w:r w:rsidRPr="00F722A9">
        <w:rPr>
          <w:color w:val="222222"/>
          <w:shd w:val="clear" w:color="auto" w:fill="FFFFFF"/>
          <w:lang w:val="en-GB"/>
        </w:rPr>
        <w:t xml:space="preserve">, A., </w:t>
      </w:r>
      <w:proofErr w:type="spellStart"/>
      <w:r w:rsidRPr="00F722A9">
        <w:rPr>
          <w:color w:val="222222"/>
          <w:shd w:val="clear" w:color="auto" w:fill="FFFFFF"/>
          <w:lang w:val="en-GB"/>
        </w:rPr>
        <w:t>Pečiulienė</w:t>
      </w:r>
      <w:proofErr w:type="spellEnd"/>
      <w:r w:rsidRPr="00F722A9">
        <w:rPr>
          <w:color w:val="222222"/>
          <w:shd w:val="clear" w:color="auto" w:fill="FFFFFF"/>
          <w:lang w:val="en-GB"/>
        </w:rPr>
        <w:t xml:space="preserve">, M. and </w:t>
      </w:r>
      <w:proofErr w:type="spellStart"/>
      <w:r w:rsidRPr="00F722A9">
        <w:rPr>
          <w:color w:val="222222"/>
          <w:shd w:val="clear" w:color="auto" w:fill="FFFFFF"/>
          <w:lang w:val="en-GB"/>
        </w:rPr>
        <w:t>Bučinskas</w:t>
      </w:r>
      <w:proofErr w:type="spellEnd"/>
      <w:r w:rsidRPr="00F722A9">
        <w:rPr>
          <w:color w:val="222222"/>
          <w:shd w:val="clear" w:color="auto" w:fill="FFFFFF"/>
          <w:lang w:val="en-GB"/>
        </w:rPr>
        <w:t>, V., (2025). Extended reality: types and applications. </w:t>
      </w:r>
      <w:r w:rsidRPr="00F722A9">
        <w:rPr>
          <w:i/>
          <w:iCs/>
          <w:color w:val="222222"/>
          <w:shd w:val="clear" w:color="auto" w:fill="FFFFFF"/>
          <w:lang w:val="en-GB"/>
        </w:rPr>
        <w:t>Applied Sciences</w:t>
      </w:r>
      <w:r w:rsidRPr="00F722A9">
        <w:rPr>
          <w:color w:val="222222"/>
          <w:shd w:val="clear" w:color="auto" w:fill="FFFFFF"/>
          <w:lang w:val="en-GB"/>
        </w:rPr>
        <w:t>, </w:t>
      </w:r>
      <w:r w:rsidRPr="00F722A9">
        <w:rPr>
          <w:i/>
          <w:iCs/>
          <w:color w:val="222222"/>
          <w:shd w:val="clear" w:color="auto" w:fill="FFFFFF"/>
          <w:lang w:val="en-GB"/>
        </w:rPr>
        <w:t>15</w:t>
      </w:r>
      <w:r w:rsidRPr="00F722A9">
        <w:rPr>
          <w:color w:val="222222"/>
          <w:shd w:val="clear" w:color="auto" w:fill="FFFFFF"/>
          <w:lang w:val="en-GB"/>
        </w:rPr>
        <w:t xml:space="preserve">(6), p.3282. DOI: </w:t>
      </w:r>
      <w:hyperlink r:id="rId29" w:history="1">
        <w:r w:rsidRPr="00F722A9">
          <w:rPr>
            <w:rStyle w:val="Hyperlink"/>
            <w:shd w:val="clear" w:color="auto" w:fill="FFFFFF"/>
            <w:lang w:val="en-GB"/>
          </w:rPr>
          <w:t>https://doi.org/10.3390/app15063282</w:t>
        </w:r>
      </w:hyperlink>
    </w:p>
    <w:p w14:paraId="6B982BE7" w14:textId="77777777" w:rsidR="00F722A9" w:rsidRPr="00F722A9" w:rsidRDefault="00F722A9" w:rsidP="006B34AA">
      <w:pPr>
        <w:pStyle w:val="NormalWeb"/>
        <w:spacing w:line="360" w:lineRule="auto"/>
        <w:jc w:val="both"/>
        <w:rPr>
          <w:lang w:val="en-GB"/>
        </w:rPr>
      </w:pPr>
      <w:r w:rsidRPr="00F722A9">
        <w:rPr>
          <w:lang w:val="en-GB"/>
        </w:rPr>
        <w:t xml:space="preserve">Statista (2025) </w:t>
      </w:r>
      <w:r w:rsidRPr="00F722A9">
        <w:rPr>
          <w:rStyle w:val="Emphasis"/>
          <w:lang w:val="en-GB"/>
        </w:rPr>
        <w:t>Unit sales of virtual reality (VR) and augmented reality (AR) devices worldwide</w:t>
      </w:r>
      <w:r w:rsidRPr="00F722A9">
        <w:rPr>
          <w:lang w:val="en-GB"/>
        </w:rPr>
        <w:t xml:space="preserve">. Available at: </w:t>
      </w:r>
      <w:hyperlink r:id="rId30" w:tgtFrame="_new" w:history="1">
        <w:r w:rsidRPr="00F722A9">
          <w:rPr>
            <w:rStyle w:val="Hyperlink"/>
            <w:lang w:val="en-GB"/>
          </w:rPr>
          <w:t>https://www.statista.com/</w:t>
        </w:r>
      </w:hyperlink>
      <w:r w:rsidRPr="00F722A9">
        <w:rPr>
          <w:lang w:val="en-GB"/>
        </w:rPr>
        <w:t xml:space="preserve"> (Accessed: 12 April 2026).</w:t>
      </w:r>
    </w:p>
    <w:p w14:paraId="47D93E65" w14:textId="77777777" w:rsidR="00F722A9" w:rsidRPr="00F722A9" w:rsidRDefault="00F722A9" w:rsidP="006B34AA">
      <w:pPr>
        <w:pStyle w:val="NormalWeb"/>
        <w:spacing w:line="360" w:lineRule="auto"/>
        <w:jc w:val="both"/>
        <w:rPr>
          <w:lang w:val="en-GB"/>
        </w:rPr>
      </w:pPr>
      <w:r w:rsidRPr="00F722A9">
        <w:rPr>
          <w:lang w:val="en-GB"/>
        </w:rPr>
        <w:t xml:space="preserve">The Register (2026) </w:t>
      </w:r>
      <w:r w:rsidRPr="00F722A9">
        <w:rPr>
          <w:rStyle w:val="Emphasis"/>
          <w:lang w:val="en-GB"/>
        </w:rPr>
        <w:t>Apple Vision Pro sales and XR market trends analysis</w:t>
      </w:r>
      <w:r w:rsidRPr="00F722A9">
        <w:rPr>
          <w:lang w:val="en-GB"/>
        </w:rPr>
        <w:t xml:space="preserve">. Available at: </w:t>
      </w:r>
      <w:hyperlink r:id="rId31" w:tgtFrame="_new" w:history="1">
        <w:r w:rsidRPr="00F722A9">
          <w:rPr>
            <w:rStyle w:val="Hyperlink"/>
            <w:lang w:val="en-GB"/>
          </w:rPr>
          <w:t>https://www.theregister.com/2026/01/02/apple_vision_pro_meta_quest_sales_drop/</w:t>
        </w:r>
      </w:hyperlink>
      <w:r w:rsidRPr="00F722A9">
        <w:rPr>
          <w:lang w:val="en-GB"/>
        </w:rPr>
        <w:t xml:space="preserve"> (Accessed: 12 April 2026).</w:t>
      </w:r>
    </w:p>
    <w:p w14:paraId="743B7DBB" w14:textId="77777777" w:rsidR="00F722A9" w:rsidRPr="00F722A9" w:rsidRDefault="00F722A9" w:rsidP="006B34AA">
      <w:pPr>
        <w:pStyle w:val="NormalWeb"/>
        <w:spacing w:line="360" w:lineRule="auto"/>
        <w:jc w:val="both"/>
        <w:rPr>
          <w:color w:val="222222"/>
          <w:shd w:val="clear" w:color="auto" w:fill="FFFFFF"/>
          <w:lang w:val="en-GB"/>
        </w:rPr>
      </w:pPr>
      <w:r w:rsidRPr="00F722A9">
        <w:rPr>
          <w:color w:val="222222"/>
          <w:shd w:val="clear" w:color="auto" w:fill="FFFFFF"/>
          <w:lang w:val="en-GB"/>
        </w:rPr>
        <w:t>Warin, C. and Reinhardt, D., (2022). Vision: Usable Privacy for XR in the Era of the Metaverse. In </w:t>
      </w:r>
      <w:r w:rsidRPr="00F722A9">
        <w:rPr>
          <w:i/>
          <w:iCs/>
          <w:color w:val="222222"/>
          <w:shd w:val="clear" w:color="auto" w:fill="FFFFFF"/>
          <w:lang w:val="en-GB"/>
        </w:rPr>
        <w:t>Proceedings of the 2022 European symposium on usable security</w:t>
      </w:r>
      <w:r w:rsidRPr="00F722A9">
        <w:rPr>
          <w:color w:val="222222"/>
          <w:shd w:val="clear" w:color="auto" w:fill="FFFFFF"/>
          <w:lang w:val="en-GB"/>
        </w:rPr>
        <w:t xml:space="preserve"> (pp. 111-116). DOI: </w:t>
      </w:r>
      <w:hyperlink r:id="rId32" w:history="1">
        <w:r w:rsidRPr="00F722A9">
          <w:rPr>
            <w:rStyle w:val="Hyperlink"/>
            <w:shd w:val="clear" w:color="auto" w:fill="FFFFFF"/>
            <w:lang w:val="en-GB"/>
          </w:rPr>
          <w:t>https://doi.org/10.1145/3549015.3554212</w:t>
        </w:r>
      </w:hyperlink>
    </w:p>
    <w:p w14:paraId="2953755B" w14:textId="77777777" w:rsidR="00600C96" w:rsidRPr="00DD0A7B" w:rsidRDefault="00F722A9" w:rsidP="00DD0A7B">
      <w:pPr>
        <w:pStyle w:val="NormalWeb"/>
        <w:spacing w:line="360" w:lineRule="auto"/>
        <w:jc w:val="both"/>
        <w:rPr>
          <w:color w:val="222222"/>
          <w:shd w:val="clear" w:color="auto" w:fill="FFFFFF"/>
          <w:lang w:val="en-GB"/>
        </w:rPr>
      </w:pPr>
      <w:r w:rsidRPr="00F722A9">
        <w:rPr>
          <w:color w:val="222222"/>
          <w:shd w:val="clear" w:color="auto" w:fill="FFFFFF"/>
          <w:lang w:val="en-GB"/>
        </w:rPr>
        <w:t xml:space="preserve">Ye, H., Hu, T. and </w:t>
      </w:r>
      <w:proofErr w:type="spellStart"/>
      <w:r w:rsidRPr="00F722A9">
        <w:rPr>
          <w:color w:val="222222"/>
          <w:shd w:val="clear" w:color="auto" w:fill="FFFFFF"/>
          <w:lang w:val="en-GB"/>
        </w:rPr>
        <w:t>Gorlatova</w:t>
      </w:r>
      <w:proofErr w:type="spellEnd"/>
      <w:r w:rsidRPr="00F722A9">
        <w:rPr>
          <w:color w:val="222222"/>
          <w:shd w:val="clear" w:color="auto" w:fill="FFFFFF"/>
          <w:lang w:val="en-GB"/>
        </w:rPr>
        <w:t xml:space="preserve">, M., (2026). No guide, no cheat: detecting smart glasses via </w:t>
      </w:r>
      <w:proofErr w:type="spellStart"/>
      <w:r w:rsidRPr="00F722A9">
        <w:rPr>
          <w:color w:val="222222"/>
          <w:shd w:val="clear" w:color="auto" w:fill="FFFFFF"/>
          <w:lang w:val="en-GB"/>
        </w:rPr>
        <w:t>ar</w:t>
      </w:r>
      <w:proofErr w:type="spellEnd"/>
      <w:r w:rsidRPr="00F722A9">
        <w:rPr>
          <w:color w:val="222222"/>
          <w:shd w:val="clear" w:color="auto" w:fill="FFFFFF"/>
          <w:lang w:val="en-GB"/>
        </w:rPr>
        <w:t xml:space="preserve"> optical signatures. In </w:t>
      </w:r>
      <w:r w:rsidRPr="00F722A9">
        <w:rPr>
          <w:i/>
          <w:iCs/>
          <w:color w:val="222222"/>
          <w:shd w:val="clear" w:color="auto" w:fill="FFFFFF"/>
          <w:lang w:val="en-GB"/>
        </w:rPr>
        <w:t>Proceedings of the 27th International Workshop on Mobile Computing Systems and Applications</w:t>
      </w:r>
      <w:r w:rsidRPr="00F722A9">
        <w:rPr>
          <w:color w:val="222222"/>
          <w:shd w:val="clear" w:color="auto" w:fill="FFFFFF"/>
          <w:lang w:val="en-GB"/>
        </w:rPr>
        <w:t xml:space="preserve"> (pp. 91-96). DOI: </w:t>
      </w:r>
      <w:hyperlink r:id="rId33" w:history="1">
        <w:r w:rsidRPr="00F722A9">
          <w:rPr>
            <w:rStyle w:val="Hyperlink"/>
            <w:shd w:val="clear" w:color="auto" w:fill="FFFFFF"/>
            <w:lang w:val="en-GB"/>
          </w:rPr>
          <w:t>https://doi.org/10.1145/3789514.3792055</w:t>
        </w:r>
      </w:hyperlink>
    </w:p>
    <w:sectPr w:rsidR="00600C96" w:rsidRPr="00DD0A7B" w:rsidSect="00F34CE8">
      <w:foot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F1517" w14:textId="77777777" w:rsidR="005F58B3" w:rsidRDefault="005F58B3" w:rsidP="00040D9B">
      <w:pPr>
        <w:spacing w:line="240" w:lineRule="auto"/>
      </w:pPr>
      <w:r>
        <w:separator/>
      </w:r>
    </w:p>
  </w:endnote>
  <w:endnote w:type="continuationSeparator" w:id="0">
    <w:p w14:paraId="2DA2D095" w14:textId="77777777" w:rsidR="005F58B3" w:rsidRDefault="005F58B3" w:rsidP="00040D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71F3952F-F225-F141-8B74-D4256461B27A}"/>
    <w:embedBold r:id="rId2" w:fontKey="{DFB274D7-DCB0-0747-ACF5-80F9DFBF63EA}"/>
    <w:embedItalic r:id="rId3" w:fontKey="{2990FD36-E599-9D4B-B587-12912FEED3F0}"/>
  </w:font>
  <w:font w:name="Arial">
    <w:panose1 w:val="020B0604020202020204"/>
    <w:charset w:val="00"/>
    <w:family w:val="swiss"/>
    <w:pitch w:val="variable"/>
    <w:sig w:usb0="E0002AFF" w:usb1="C0007843" w:usb2="00000009" w:usb3="00000000" w:csb0="000001FF" w:csb1="00000000"/>
    <w:embedRegular r:id="rId4" w:fontKey="{A2623151-E1D2-B747-9380-3AAA3CF1B1FD}"/>
    <w:embedBold r:id="rId5" w:fontKey="{07F0B497-4F99-684E-8AAD-6469E3F6E972}"/>
    <w:embedItalic r:id="rId6" w:fontKey="{82B03B64-7A24-BB47-BB42-FCFF543BDC9F}"/>
  </w:font>
  <w:font w:name="Calibri">
    <w:panose1 w:val="020F0502020204030204"/>
    <w:charset w:val="00"/>
    <w:family w:val="swiss"/>
    <w:pitch w:val="variable"/>
    <w:sig w:usb0="E4002EFF" w:usb1="C000247B" w:usb2="00000009" w:usb3="00000000" w:csb0="000001FF" w:csb1="00000000"/>
    <w:embedRegular r:id="rId7" w:fontKey="{B470D771-3D62-FB45-8993-03F90C865978}"/>
  </w:font>
  <w:font w:name="Cambria">
    <w:panose1 w:val="02040503050406030204"/>
    <w:charset w:val="00"/>
    <w:family w:val="roman"/>
    <w:pitch w:val="variable"/>
    <w:sig w:usb0="E00006FF" w:usb1="420024FF" w:usb2="02000000" w:usb3="00000000" w:csb0="0000019F" w:csb1="00000000"/>
    <w:embedRegular r:id="rId8" w:fontKey="{8ACCEC1E-D59F-1647-A085-51EDE30F1D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77033"/>
      <w:docPartObj>
        <w:docPartGallery w:val="Page Numbers (Bottom of Page)"/>
        <w:docPartUnique/>
      </w:docPartObj>
    </w:sdtPr>
    <w:sdtEndPr>
      <w:rPr>
        <w:noProof/>
      </w:rPr>
    </w:sdtEndPr>
    <w:sdtContent>
      <w:p w14:paraId="02646685" w14:textId="77777777" w:rsidR="00266115" w:rsidRDefault="00266115">
        <w:pPr>
          <w:pStyle w:val="Footer"/>
          <w:jc w:val="right"/>
        </w:pPr>
        <w:r>
          <w:fldChar w:fldCharType="begin"/>
        </w:r>
        <w:r>
          <w:instrText xml:space="preserve"> PAGE   \* MERGEFORMAT </w:instrText>
        </w:r>
        <w:r>
          <w:fldChar w:fldCharType="separate"/>
        </w:r>
        <w:r w:rsidR="003B3739">
          <w:rPr>
            <w:noProof/>
          </w:rPr>
          <w:t>15</w:t>
        </w:r>
        <w:r>
          <w:rPr>
            <w:noProof/>
          </w:rPr>
          <w:fldChar w:fldCharType="end"/>
        </w:r>
      </w:p>
    </w:sdtContent>
  </w:sdt>
  <w:p w14:paraId="60BDB6E9" w14:textId="77777777" w:rsidR="00266115" w:rsidRDefault="00266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D8094" w14:textId="77777777" w:rsidR="005F58B3" w:rsidRDefault="005F58B3" w:rsidP="00040D9B">
      <w:pPr>
        <w:spacing w:line="240" w:lineRule="auto"/>
      </w:pPr>
      <w:r>
        <w:separator/>
      </w:r>
    </w:p>
  </w:footnote>
  <w:footnote w:type="continuationSeparator" w:id="0">
    <w:p w14:paraId="6E392B8F" w14:textId="77777777" w:rsidR="005F58B3" w:rsidRDefault="005F58B3" w:rsidP="00040D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87E5C"/>
    <w:multiLevelType w:val="multilevel"/>
    <w:tmpl w:val="C5529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C610A1"/>
    <w:multiLevelType w:val="multilevel"/>
    <w:tmpl w:val="2AF43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103929"/>
    <w:multiLevelType w:val="multilevel"/>
    <w:tmpl w:val="4EA6A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9284421">
    <w:abstractNumId w:val="1"/>
  </w:num>
  <w:num w:numId="2" w16cid:durableId="1694375660">
    <w:abstractNumId w:val="0"/>
  </w:num>
  <w:num w:numId="3" w16cid:durableId="1308775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0C96"/>
    <w:rsid w:val="00040D9B"/>
    <w:rsid w:val="000E7AEB"/>
    <w:rsid w:val="00157C9E"/>
    <w:rsid w:val="00266115"/>
    <w:rsid w:val="002A78B6"/>
    <w:rsid w:val="002C194B"/>
    <w:rsid w:val="003B3739"/>
    <w:rsid w:val="004C1042"/>
    <w:rsid w:val="004D0C26"/>
    <w:rsid w:val="005F58B3"/>
    <w:rsid w:val="00600C96"/>
    <w:rsid w:val="006B34AA"/>
    <w:rsid w:val="007E5AC5"/>
    <w:rsid w:val="0084520E"/>
    <w:rsid w:val="008C5C1F"/>
    <w:rsid w:val="008E3352"/>
    <w:rsid w:val="00A053DA"/>
    <w:rsid w:val="00A96A9F"/>
    <w:rsid w:val="00DD0A7B"/>
    <w:rsid w:val="00E94FE4"/>
    <w:rsid w:val="00F34CE8"/>
    <w:rsid w:val="00F722A9"/>
    <w:rsid w:val="00FC50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68EC"/>
  <w15:docId w15:val="{6474EF74-9E57-4E1A-8EA2-DE44DABD9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E3352"/>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autoRedefine/>
    <w:rsid w:val="008C5C1F"/>
    <w:pPr>
      <w:keepNext/>
      <w:keepLines/>
      <w:spacing w:before="360" w:after="120" w:line="360" w:lineRule="auto"/>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qFormat/>
    <w:rsid w:val="00F722A9"/>
    <w:rPr>
      <w:color w:val="0000FF" w:themeColor="hyperlink"/>
      <w:u w:val="single"/>
    </w:rPr>
  </w:style>
  <w:style w:type="character" w:styleId="Emphasis">
    <w:name w:val="Emphasis"/>
    <w:basedOn w:val="DefaultParagraphFont"/>
    <w:uiPriority w:val="20"/>
    <w:qFormat/>
    <w:rsid w:val="00F722A9"/>
    <w:rPr>
      <w:i/>
      <w:iCs/>
    </w:rPr>
  </w:style>
  <w:style w:type="paragraph" w:styleId="NormalWeb">
    <w:name w:val="Normal (Web)"/>
    <w:basedOn w:val="Normal"/>
    <w:uiPriority w:val="99"/>
    <w:unhideWhenUsed/>
    <w:rsid w:val="00F722A9"/>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040D9B"/>
    <w:pPr>
      <w:tabs>
        <w:tab w:val="center" w:pos="4513"/>
        <w:tab w:val="right" w:pos="9026"/>
      </w:tabs>
      <w:spacing w:line="240" w:lineRule="auto"/>
    </w:pPr>
  </w:style>
  <w:style w:type="character" w:customStyle="1" w:styleId="HeaderChar">
    <w:name w:val="Header Char"/>
    <w:basedOn w:val="DefaultParagraphFont"/>
    <w:link w:val="Header"/>
    <w:uiPriority w:val="99"/>
    <w:rsid w:val="00040D9B"/>
  </w:style>
  <w:style w:type="paragraph" w:styleId="Footer">
    <w:name w:val="footer"/>
    <w:basedOn w:val="Normal"/>
    <w:link w:val="FooterChar"/>
    <w:uiPriority w:val="99"/>
    <w:unhideWhenUsed/>
    <w:rsid w:val="00040D9B"/>
    <w:pPr>
      <w:tabs>
        <w:tab w:val="center" w:pos="4513"/>
        <w:tab w:val="right" w:pos="9026"/>
      </w:tabs>
      <w:spacing w:line="240" w:lineRule="auto"/>
    </w:pPr>
  </w:style>
  <w:style w:type="character" w:customStyle="1" w:styleId="FooterChar">
    <w:name w:val="Footer Char"/>
    <w:basedOn w:val="DefaultParagraphFont"/>
    <w:link w:val="Footer"/>
    <w:uiPriority w:val="99"/>
    <w:rsid w:val="00040D9B"/>
  </w:style>
  <w:style w:type="paragraph" w:styleId="TOCHeading">
    <w:name w:val="TOC Heading"/>
    <w:basedOn w:val="Heading1"/>
    <w:next w:val="Normal"/>
    <w:uiPriority w:val="39"/>
    <w:unhideWhenUsed/>
    <w:qFormat/>
    <w:rsid w:val="002A78B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78B6"/>
    <w:pPr>
      <w:spacing w:after="100"/>
    </w:pPr>
  </w:style>
  <w:style w:type="paragraph" w:styleId="TOC2">
    <w:name w:val="toc 2"/>
    <w:basedOn w:val="Normal"/>
    <w:next w:val="Normal"/>
    <w:autoRedefine/>
    <w:uiPriority w:val="39"/>
    <w:unhideWhenUsed/>
    <w:rsid w:val="002A78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6800123">
      <w:bodyDiv w:val="1"/>
      <w:marLeft w:val="0"/>
      <w:marRight w:val="0"/>
      <w:marTop w:val="0"/>
      <w:marBottom w:val="0"/>
      <w:divBdr>
        <w:top w:val="none" w:sz="0" w:space="0" w:color="auto"/>
        <w:left w:val="none" w:sz="0" w:space="0" w:color="auto"/>
        <w:bottom w:val="none" w:sz="0" w:space="0" w:color="auto"/>
        <w:right w:val="none" w:sz="0" w:space="0" w:color="auto"/>
      </w:divBdr>
    </w:div>
    <w:div w:id="813374023">
      <w:bodyDiv w:val="1"/>
      <w:marLeft w:val="0"/>
      <w:marRight w:val="0"/>
      <w:marTop w:val="0"/>
      <w:marBottom w:val="0"/>
      <w:divBdr>
        <w:top w:val="none" w:sz="0" w:space="0" w:color="auto"/>
        <w:left w:val="none" w:sz="0" w:space="0" w:color="auto"/>
        <w:bottom w:val="none" w:sz="0" w:space="0" w:color="auto"/>
        <w:right w:val="none" w:sz="0" w:space="0" w:color="auto"/>
      </w:divBdr>
    </w:div>
    <w:div w:id="951471563">
      <w:bodyDiv w:val="1"/>
      <w:marLeft w:val="0"/>
      <w:marRight w:val="0"/>
      <w:marTop w:val="0"/>
      <w:marBottom w:val="0"/>
      <w:divBdr>
        <w:top w:val="none" w:sz="0" w:space="0" w:color="auto"/>
        <w:left w:val="none" w:sz="0" w:space="0" w:color="auto"/>
        <w:bottom w:val="none" w:sz="0" w:space="0" w:color="auto"/>
        <w:right w:val="none" w:sz="0" w:space="0" w:color="auto"/>
      </w:divBdr>
    </w:div>
    <w:div w:id="12487309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9/TDSC.2024.3440662" TargetMode="External"/><Relationship Id="rId18" Type="http://schemas.openxmlformats.org/officeDocument/2006/relationships/hyperlink" Target="https://doi.org/10.3390/electronics12061457" TargetMode="External"/><Relationship Id="rId26" Type="http://schemas.openxmlformats.org/officeDocument/2006/relationships/hyperlink" Target="https://doi.org/10.1145/3756884.3765976" TargetMode="External"/><Relationship Id="rId3" Type="http://schemas.openxmlformats.org/officeDocument/2006/relationships/styles" Target="styles.xml"/><Relationship Id="rId21" Type="http://schemas.openxmlformats.org/officeDocument/2006/relationships/hyperlink" Target="https://www.idc.com/promo/arvr/"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mfglet.2025.06.174" TargetMode="External"/><Relationship Id="rId17" Type="http://schemas.openxmlformats.org/officeDocument/2006/relationships/hyperlink" Target="https://doi.org/10.3390/s22239560" TargetMode="External"/><Relationship Id="rId25" Type="http://schemas.openxmlformats.org/officeDocument/2006/relationships/hyperlink" Target="https://doi.org/10.3390/electronics13132653" TargetMode="External"/><Relationship Id="rId33" Type="http://schemas.openxmlformats.org/officeDocument/2006/relationships/hyperlink" Target="https://doi.org/10.1145/3789514.3792055" TargetMode="External"/><Relationship Id="rId2" Type="http://schemas.openxmlformats.org/officeDocument/2006/relationships/numbering" Target="numbering.xml"/><Relationship Id="rId16" Type="http://schemas.openxmlformats.org/officeDocument/2006/relationships/hyperlink" Target="https://doi.org/10.1002/9781119865810.ch6" TargetMode="External"/><Relationship Id="rId20" Type="http://schemas.openxmlformats.org/officeDocument/2006/relationships/hyperlink" Target="https://doi.org/10.1109/AIware69974.2025.00030" TargetMode="External"/><Relationship Id="rId29" Type="http://schemas.openxmlformats.org/officeDocument/2006/relationships/hyperlink" Target="https://doi.org/10.3390/app150632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invest.com/news/google-2026-ai-glasses-rise-android-xr-ecosystem-strategic-investment-opportunity-wearable-ai-hardware-cross-platform-integration-2512/" TargetMode="External"/><Relationship Id="rId24" Type="http://schemas.openxmlformats.org/officeDocument/2006/relationships/hyperlink" Target="https://doi.org/10.1145/3652920.3652941" TargetMode="External"/><Relationship Id="rId32" Type="http://schemas.openxmlformats.org/officeDocument/2006/relationships/hyperlink" Target="https://doi.org/10.1145/3549015.3554212" TargetMode="External"/><Relationship Id="rId5" Type="http://schemas.openxmlformats.org/officeDocument/2006/relationships/webSettings" Target="webSettings.xml"/><Relationship Id="rId15" Type="http://schemas.openxmlformats.org/officeDocument/2006/relationships/hyperlink" Target="https://www.canalys.com/" TargetMode="External"/><Relationship Id="rId23" Type="http://schemas.openxmlformats.org/officeDocument/2006/relationships/hyperlink" Target="https://dx.doi.org/10.30630/joiv.6.1.708" TargetMode="External"/><Relationship Id="rId28" Type="http://schemas.openxmlformats.org/officeDocument/2006/relationships/hyperlink" Target="https://doi.org/10.3389/fneur.2025.1635699"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ounterpointresearch.com/" TargetMode="External"/><Relationship Id="rId31" Type="http://schemas.openxmlformats.org/officeDocument/2006/relationships/hyperlink" Target="https://www.theregister.com/2026/01/02/apple_vision_pro_meta_quest_sales_dro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45/3652595" TargetMode="External"/><Relationship Id="rId22" Type="http://schemas.openxmlformats.org/officeDocument/2006/relationships/hyperlink" Target="https://doi.org/10.1109/ACCESS.2024.3408677" TargetMode="External"/><Relationship Id="rId27" Type="http://schemas.openxmlformats.org/officeDocument/2006/relationships/hyperlink" Target="https://doi.org/10.1016/j.jsxm.2022.07.010" TargetMode="External"/><Relationship Id="rId30" Type="http://schemas.openxmlformats.org/officeDocument/2006/relationships/hyperlink" Target="https://www.statista.com/" TargetMode="External"/><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B8355-0C83-4939-B2C9-0F4453CEE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15</Pages>
  <Words>3142</Words>
  <Characters>18565</Characters>
  <Application>Microsoft Office Word</Application>
  <DocSecurity>0</DocSecurity>
  <Lines>375</Lines>
  <Paragraphs>125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21602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3</cp:revision>
  <dcterms:created xsi:type="dcterms:W3CDTF">2026-04-12T18:25:00Z</dcterms:created>
  <dcterms:modified xsi:type="dcterms:W3CDTF">2026-04-29T18:15:00Z</dcterms:modified>
  <cp:category/>
</cp:coreProperties>
</file>