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ttf" ContentType="application/x-font-tt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DEB9DE" w14:textId="77777777" w:rsidR="009C6DB6" w:rsidRDefault="009C6DB6">
      <w:pPr>
        <w:jc w:val="center"/>
        <w:rPr>
          <w:b/>
          <w:bCs/>
        </w:rPr>
      </w:pPr>
    </w:p>
    <w:p w14:paraId="508D5EBA" w14:textId="77777777" w:rsidR="009C6DB6" w:rsidRDefault="009C6DB6">
      <w:pPr>
        <w:jc w:val="center"/>
        <w:rPr>
          <w:b/>
          <w:bCs/>
        </w:rPr>
      </w:pPr>
    </w:p>
    <w:p w14:paraId="5A77E0AF" w14:textId="77777777" w:rsidR="009C6DB6" w:rsidRDefault="009C6DB6">
      <w:pPr>
        <w:jc w:val="center"/>
        <w:rPr>
          <w:b/>
          <w:bCs/>
        </w:rPr>
      </w:pPr>
    </w:p>
    <w:p w14:paraId="43F36E9E" w14:textId="77777777" w:rsidR="009C6DB6" w:rsidRDefault="009C6DB6">
      <w:pPr>
        <w:jc w:val="center"/>
        <w:rPr>
          <w:b/>
          <w:bCs/>
        </w:rPr>
      </w:pPr>
    </w:p>
    <w:p w14:paraId="6CE78374" w14:textId="77777777" w:rsidR="009C6DB6" w:rsidRDefault="009C6DB6">
      <w:pPr>
        <w:jc w:val="center"/>
        <w:rPr>
          <w:b/>
          <w:bCs/>
        </w:rPr>
      </w:pPr>
    </w:p>
    <w:p w14:paraId="08AAF41A" w14:textId="77777777" w:rsidR="009C6DB6" w:rsidRDefault="009C6DB6">
      <w:pPr>
        <w:jc w:val="center"/>
        <w:rPr>
          <w:b/>
          <w:bCs/>
        </w:rPr>
      </w:pPr>
    </w:p>
    <w:p w14:paraId="21633FC5" w14:textId="77777777" w:rsidR="009C6DB6" w:rsidRDefault="009C6DB6">
      <w:pPr>
        <w:jc w:val="center"/>
        <w:rPr>
          <w:b/>
          <w:bCs/>
        </w:rPr>
      </w:pPr>
    </w:p>
    <w:p w14:paraId="7792367D" w14:textId="77777777" w:rsidR="009C6DB6" w:rsidRDefault="009C6DB6">
      <w:pPr>
        <w:jc w:val="center"/>
        <w:rPr>
          <w:b/>
          <w:bCs/>
        </w:rPr>
      </w:pPr>
    </w:p>
    <w:p w14:paraId="3F415604" w14:textId="77777777" w:rsidR="009C6DB6" w:rsidRDefault="009C6DB6">
      <w:pPr>
        <w:jc w:val="center"/>
        <w:rPr>
          <w:b/>
          <w:bCs/>
        </w:rPr>
      </w:pPr>
    </w:p>
    <w:p w14:paraId="488DB3FD" w14:textId="77777777" w:rsidR="009C6DB6" w:rsidRDefault="009C6DB6">
      <w:pPr>
        <w:jc w:val="center"/>
        <w:rPr>
          <w:b/>
          <w:bCs/>
        </w:rPr>
      </w:pPr>
    </w:p>
    <w:p w14:paraId="7F3ED742" w14:textId="77777777" w:rsidR="009C6DB6" w:rsidRDefault="009C6DB6">
      <w:pPr>
        <w:jc w:val="center"/>
        <w:rPr>
          <w:b/>
          <w:bCs/>
        </w:rPr>
      </w:pPr>
    </w:p>
    <w:p w14:paraId="28D503D3" w14:textId="77777777" w:rsidR="009C6DB6" w:rsidRDefault="009C6DB6">
      <w:pPr>
        <w:jc w:val="center"/>
        <w:rPr>
          <w:b/>
          <w:bCs/>
        </w:rPr>
      </w:pPr>
    </w:p>
    <w:p w14:paraId="0F009171" w14:textId="77777777" w:rsidR="009C6DB6" w:rsidRDefault="009C6DB6">
      <w:pPr>
        <w:jc w:val="center"/>
        <w:rPr>
          <w:b/>
          <w:bCs/>
        </w:rPr>
      </w:pPr>
    </w:p>
    <w:p w14:paraId="23D86316" w14:textId="77777777" w:rsidR="009C6DB6" w:rsidRDefault="009C6DB6">
      <w:pPr>
        <w:jc w:val="center"/>
        <w:rPr>
          <w:b/>
          <w:bCs/>
        </w:rPr>
      </w:pPr>
    </w:p>
    <w:p w14:paraId="3F5DFDF6" w14:textId="77777777" w:rsidR="009C6DB6" w:rsidRDefault="009C6DB6">
      <w:pPr>
        <w:jc w:val="center"/>
        <w:rPr>
          <w:b/>
          <w:bCs/>
        </w:rPr>
      </w:pPr>
    </w:p>
    <w:p w14:paraId="13E49E56" w14:textId="77777777" w:rsidR="009C6DB6" w:rsidRDefault="009C6DB6">
      <w:pPr>
        <w:jc w:val="center"/>
        <w:rPr>
          <w:b/>
          <w:bCs/>
        </w:rPr>
      </w:pPr>
    </w:p>
    <w:p w14:paraId="449B0629" w14:textId="77777777" w:rsidR="009C6DB6" w:rsidRDefault="009C6DB6">
      <w:pPr>
        <w:jc w:val="center"/>
        <w:rPr>
          <w:b/>
          <w:bCs/>
        </w:rPr>
      </w:pPr>
    </w:p>
    <w:p w14:paraId="0A482039" w14:textId="0143B8ED" w:rsidR="009C6DB6" w:rsidRDefault="00436E0D">
      <w:pPr>
        <w:jc w:val="center"/>
        <w:rPr>
          <w:b/>
          <w:bCs/>
        </w:rPr>
      </w:pPr>
      <w:r>
        <w:rPr>
          <w:b/>
          <w:bCs/>
        </w:rPr>
        <w:t xml:space="preserve">Module code and Name: </w:t>
      </w:r>
      <w:r w:rsidR="00ED2FE9">
        <w:rPr>
          <w:b/>
          <w:bCs/>
          <w:lang w:val="en-IN"/>
        </w:rPr>
        <w:t>LCH</w:t>
      </w:r>
      <w:r w:rsidR="00137802">
        <w:rPr>
          <w:b/>
          <w:bCs/>
          <w:lang w:val="en-IN"/>
        </w:rPr>
        <w:t>S700</w:t>
      </w:r>
      <w:r w:rsidR="006C266E">
        <w:rPr>
          <w:b/>
          <w:bCs/>
          <w:lang w:val="en-IN"/>
        </w:rPr>
        <w:t>3</w:t>
      </w:r>
    </w:p>
    <w:p w14:paraId="0C08EF92" w14:textId="77777777" w:rsidR="009C6DB6" w:rsidRDefault="00436E0D">
      <w:pPr>
        <w:jc w:val="center"/>
      </w:pPr>
      <w:r>
        <w:rPr>
          <w:b/>
          <w:bCs/>
        </w:rPr>
        <w:t>Assessment Title: Community Care and Management of Longer-term Conditions</w:t>
      </w:r>
    </w:p>
    <w:p w14:paraId="4DDB64BE" w14:textId="77777777" w:rsidR="009C6DB6" w:rsidRDefault="009C6DB6">
      <w:pPr>
        <w:jc w:val="both"/>
        <w:rPr>
          <w:b/>
          <w:bCs/>
        </w:rPr>
      </w:pPr>
    </w:p>
    <w:p w14:paraId="74B4A968" w14:textId="77777777" w:rsidR="009C6DB6" w:rsidRDefault="009C6DB6">
      <w:pPr>
        <w:jc w:val="both"/>
        <w:rPr>
          <w:b/>
          <w:bCs/>
        </w:rPr>
      </w:pPr>
    </w:p>
    <w:p w14:paraId="51D3F98F" w14:textId="77777777" w:rsidR="009C6DB6" w:rsidRDefault="009C6DB6">
      <w:pPr>
        <w:jc w:val="both"/>
        <w:rPr>
          <w:b/>
          <w:bCs/>
        </w:rPr>
      </w:pPr>
    </w:p>
    <w:p w14:paraId="4C19C9AD" w14:textId="77777777" w:rsidR="009C6DB6" w:rsidRDefault="009C6DB6">
      <w:pPr>
        <w:jc w:val="both"/>
        <w:rPr>
          <w:b/>
          <w:bCs/>
        </w:rPr>
      </w:pPr>
    </w:p>
    <w:p w14:paraId="145ACCD0" w14:textId="77777777" w:rsidR="009C6DB6" w:rsidRDefault="009C6DB6">
      <w:pPr>
        <w:jc w:val="both"/>
        <w:rPr>
          <w:b/>
          <w:bCs/>
        </w:rPr>
      </w:pPr>
    </w:p>
    <w:p w14:paraId="7A700EAB" w14:textId="77777777" w:rsidR="009C6DB6" w:rsidRDefault="009C6DB6">
      <w:pPr>
        <w:jc w:val="both"/>
        <w:rPr>
          <w:b/>
          <w:bCs/>
        </w:rPr>
      </w:pPr>
    </w:p>
    <w:p w14:paraId="37EF9E6C" w14:textId="2269B9B5" w:rsidR="009C6DB6" w:rsidRDefault="00436E0D">
      <w:pPr>
        <w:jc w:val="both"/>
        <w:rPr>
          <w:b/>
          <w:bCs/>
        </w:rPr>
      </w:pPr>
      <w:r>
        <w:rPr>
          <w:b/>
          <w:bCs/>
        </w:rPr>
        <w:t xml:space="preserve">Student Name: </w:t>
      </w:r>
      <w:r w:rsidR="006C266E">
        <w:rPr>
          <w:b/>
          <w:bCs/>
          <w:lang w:val="en-IN"/>
        </w:rPr>
        <w:t xml:space="preserve">ODEDARA PRITI MALDE </w:t>
      </w:r>
    </w:p>
    <w:p w14:paraId="7E9D6913" w14:textId="35662BD6" w:rsidR="009C6DB6" w:rsidRDefault="00436E0D">
      <w:pPr>
        <w:jc w:val="both"/>
        <w:rPr>
          <w:b/>
          <w:bCs/>
        </w:rPr>
      </w:pPr>
      <w:r>
        <w:rPr>
          <w:b/>
          <w:bCs/>
        </w:rPr>
        <w:t xml:space="preserve">Student ID: </w:t>
      </w:r>
      <w:r w:rsidR="006C266E">
        <w:rPr>
          <w:b/>
          <w:bCs/>
          <w:lang w:val="en-IN"/>
        </w:rPr>
        <w:t>2606280</w:t>
      </w:r>
    </w:p>
    <w:p w14:paraId="77D507EB" w14:textId="77777777" w:rsidR="009C6DB6" w:rsidRDefault="009C6DB6"/>
    <w:p w14:paraId="429DB28A" w14:textId="77777777" w:rsidR="009C6DB6" w:rsidRDefault="009C6DB6"/>
    <w:p w14:paraId="36D72ED3" w14:textId="77777777" w:rsidR="009C6DB6" w:rsidRDefault="00436E0D">
      <w:pPr>
        <w:jc w:val="center"/>
      </w:pPr>
      <w:r>
        <w:rPr>
          <w:b/>
          <w:bCs/>
        </w:rPr>
        <w:t>Table of Contents</w:t>
      </w:r>
    </w:p>
    <w:sdt>
      <w:sdtPr>
        <w:id w:val="-1834912502"/>
        <w:docPartObj>
          <w:docPartGallery w:val="Table of Contents"/>
          <w:docPartUnique/>
        </w:docPartObj>
      </w:sdtPr>
      <w:sdtEndPr/>
      <w:sdtContent>
        <w:p w14:paraId="782C348F" w14:textId="77777777" w:rsidR="009C6DB6" w:rsidRDefault="00436E0D">
          <w:pPr>
            <w:pBdr>
              <w:top w:val="nil"/>
              <w:left w:val="nil"/>
              <w:bottom w:val="nil"/>
              <w:right w:val="nil"/>
              <w:between w:val="nil"/>
            </w:pBdr>
            <w:tabs>
              <w:tab w:val="right" w:leader="dot" w:pos="9015"/>
            </w:tabs>
            <w:spacing w:after="100"/>
            <w:rPr>
              <w:color w:val="000000"/>
            </w:rPr>
          </w:pPr>
          <w:r>
            <w:fldChar w:fldCharType="begin"/>
          </w:r>
          <w:r>
            <w:instrText xml:space="preserve"> TOC \h \u \z \t "Heading 1,1,Heading 2,2,Heading 3,3,Heading 4,4,Heading 5,5,Heading 6,6,"</w:instrText>
          </w:r>
          <w:r>
            <w:fldChar w:fldCharType="separate"/>
          </w:r>
          <w:r>
            <w:fldChar w:fldCharType="begin"/>
          </w:r>
          <w:r>
            <w:instrText xml:space="preserve"> HYPERLINK \l "_heading=h.p9yzcvbpz1r3" </w:instrText>
          </w:r>
          <w:r>
            <w:fldChar w:fldCharType="separate"/>
          </w:r>
          <w:r>
            <w:rPr>
              <w:color w:val="000000"/>
            </w:rPr>
            <w:t>Background</w:t>
          </w:r>
          <w:r>
            <w:rPr>
              <w:color w:val="000000"/>
            </w:rPr>
            <w:tab/>
            <w:t>1</w:t>
          </w:r>
        </w:p>
        <w:p w14:paraId="52E93EF8" w14:textId="77777777" w:rsidR="009C6DB6" w:rsidRDefault="00436E0D">
          <w:pPr>
            <w:pBdr>
              <w:top w:val="nil"/>
              <w:left w:val="nil"/>
              <w:bottom w:val="nil"/>
              <w:right w:val="nil"/>
              <w:between w:val="nil"/>
            </w:pBdr>
            <w:tabs>
              <w:tab w:val="right" w:leader="dot" w:pos="9015"/>
            </w:tabs>
            <w:spacing w:after="100"/>
            <w:rPr>
              <w:color w:val="000000"/>
            </w:rPr>
          </w:pPr>
          <w:r>
            <w:fldChar w:fldCharType="end"/>
          </w:r>
          <w:r>
            <w:fldChar w:fldCharType="begin"/>
          </w:r>
          <w:r>
            <w:instrText xml:space="preserve"> HYPERLINK \l "_heading=h.p6njgjqy8unx" </w:instrText>
          </w:r>
          <w:r>
            <w:fldChar w:fldCharType="separate"/>
          </w:r>
          <w:r>
            <w:rPr>
              <w:color w:val="000000"/>
            </w:rPr>
            <w:t>Main Body</w:t>
          </w:r>
          <w:r>
            <w:rPr>
              <w:color w:val="000000"/>
            </w:rPr>
            <w:tab/>
            <w:t>3</w:t>
          </w:r>
        </w:p>
        <w:p w14:paraId="59219505" w14:textId="77777777" w:rsidR="009C6DB6" w:rsidRDefault="00436E0D">
          <w:pPr>
            <w:pBdr>
              <w:top w:val="nil"/>
              <w:left w:val="nil"/>
              <w:bottom w:val="nil"/>
              <w:right w:val="nil"/>
              <w:between w:val="nil"/>
            </w:pBdr>
            <w:tabs>
              <w:tab w:val="right" w:leader="dot" w:pos="9015"/>
            </w:tabs>
            <w:spacing w:after="100"/>
            <w:ind w:left="220"/>
            <w:rPr>
              <w:color w:val="000000"/>
            </w:rPr>
          </w:pPr>
          <w:r>
            <w:fldChar w:fldCharType="end"/>
          </w:r>
          <w:r>
            <w:fldChar w:fldCharType="begin"/>
          </w:r>
          <w:r>
            <w:instrText xml:space="preserve"> HYPERLINK \l "_heading=h.b3ay7oizxvpz" </w:instrText>
          </w:r>
          <w:r>
            <w:fldChar w:fldCharType="separate"/>
          </w:r>
          <w:r>
            <w:rPr>
              <w:color w:val="000000"/>
            </w:rPr>
            <w:t>Physical, Psychological and Social Implications of HF</w:t>
          </w:r>
          <w:r>
            <w:rPr>
              <w:color w:val="000000"/>
            </w:rPr>
            <w:tab/>
            <w:t>4</w:t>
          </w:r>
        </w:p>
        <w:p w14:paraId="785ED45A" w14:textId="77777777" w:rsidR="009C6DB6" w:rsidRDefault="00436E0D">
          <w:pPr>
            <w:pBdr>
              <w:top w:val="nil"/>
              <w:left w:val="nil"/>
              <w:bottom w:val="nil"/>
              <w:right w:val="nil"/>
              <w:between w:val="nil"/>
            </w:pBdr>
            <w:tabs>
              <w:tab w:val="right" w:leader="dot" w:pos="9015"/>
            </w:tabs>
            <w:spacing w:after="100"/>
            <w:rPr>
              <w:color w:val="000000"/>
            </w:rPr>
          </w:pPr>
          <w:r>
            <w:fldChar w:fldCharType="end"/>
          </w:r>
          <w:r>
            <w:fldChar w:fldCharType="begin"/>
          </w:r>
          <w:r>
            <w:instrText xml:space="preserve"> HYPERLINK \l "_heading=h.p8s7ahu7bgj2" </w:instrText>
          </w:r>
          <w:r>
            <w:fldChar w:fldCharType="separate"/>
          </w:r>
          <w:r>
            <w:rPr>
              <w:color w:val="000000"/>
            </w:rPr>
            <w:t>Identification and Investigation of theoretical perspectives</w:t>
          </w:r>
          <w:r>
            <w:rPr>
              <w:color w:val="000000"/>
            </w:rPr>
            <w:tab/>
            <w:t>5</w:t>
          </w:r>
        </w:p>
        <w:p w14:paraId="69058458" w14:textId="77777777" w:rsidR="009C6DB6" w:rsidRDefault="00436E0D">
          <w:pPr>
            <w:pBdr>
              <w:top w:val="nil"/>
              <w:left w:val="nil"/>
              <w:bottom w:val="nil"/>
              <w:right w:val="nil"/>
              <w:between w:val="nil"/>
            </w:pBdr>
            <w:tabs>
              <w:tab w:val="right" w:leader="dot" w:pos="9015"/>
            </w:tabs>
            <w:spacing w:after="100"/>
            <w:rPr>
              <w:color w:val="000000"/>
            </w:rPr>
          </w:pPr>
          <w:r>
            <w:fldChar w:fldCharType="end"/>
          </w:r>
          <w:r>
            <w:fldChar w:fldCharType="begin"/>
          </w:r>
          <w:r>
            <w:instrText xml:space="preserve"> HYPERLINK \l "_heading=h.snu65ry4kgag" </w:instrText>
          </w:r>
          <w:r>
            <w:fldChar w:fldCharType="separate"/>
          </w:r>
          <w:r>
            <w:rPr>
              <w:color w:val="000000"/>
            </w:rPr>
            <w:t>Implementation of local and national political health and social care agendas</w:t>
          </w:r>
          <w:r>
            <w:rPr>
              <w:color w:val="000000"/>
            </w:rPr>
            <w:tab/>
            <w:t>6</w:t>
          </w:r>
        </w:p>
        <w:p w14:paraId="13B3035B" w14:textId="77777777" w:rsidR="009C6DB6" w:rsidRDefault="00436E0D">
          <w:pPr>
            <w:pBdr>
              <w:top w:val="nil"/>
              <w:left w:val="nil"/>
              <w:bottom w:val="nil"/>
              <w:right w:val="nil"/>
              <w:between w:val="nil"/>
            </w:pBdr>
            <w:tabs>
              <w:tab w:val="right" w:leader="dot" w:pos="9015"/>
            </w:tabs>
            <w:spacing w:after="100"/>
            <w:rPr>
              <w:color w:val="000000"/>
            </w:rPr>
          </w:pPr>
          <w:r>
            <w:fldChar w:fldCharType="end"/>
          </w:r>
          <w:r>
            <w:fldChar w:fldCharType="begin"/>
          </w:r>
          <w:r>
            <w:instrText xml:space="preserve"> HYPERLINK \l "_heading=h.az7n2ct6d3bw" </w:instrText>
          </w:r>
          <w:r>
            <w:fldChar w:fldCharType="separate"/>
          </w:r>
          <w:r>
            <w:rPr>
              <w:color w:val="000000"/>
            </w:rPr>
            <w:t>Recommendations for improvement</w:t>
          </w:r>
          <w:r>
            <w:rPr>
              <w:color w:val="000000"/>
            </w:rPr>
            <w:tab/>
            <w:t>8</w:t>
          </w:r>
        </w:p>
        <w:p w14:paraId="5594764D" w14:textId="77777777" w:rsidR="009C6DB6" w:rsidRDefault="00436E0D">
          <w:pPr>
            <w:pBdr>
              <w:top w:val="nil"/>
              <w:left w:val="nil"/>
              <w:bottom w:val="nil"/>
              <w:right w:val="nil"/>
              <w:between w:val="nil"/>
            </w:pBdr>
            <w:tabs>
              <w:tab w:val="right" w:leader="dot" w:pos="9015"/>
            </w:tabs>
            <w:spacing w:after="100"/>
            <w:ind w:left="440"/>
            <w:rPr>
              <w:color w:val="000000"/>
            </w:rPr>
          </w:pPr>
          <w:r>
            <w:fldChar w:fldCharType="end"/>
          </w:r>
          <w:r>
            <w:fldChar w:fldCharType="begin"/>
          </w:r>
          <w:r>
            <w:instrText xml:space="preserve"> HYPERLINK \l "_heading=h.wvfm5cat1nvn" </w:instrText>
          </w:r>
          <w:r>
            <w:fldChar w:fldCharType="separate"/>
          </w:r>
          <w:r>
            <w:rPr>
              <w:color w:val="000000"/>
            </w:rPr>
            <w:t>Person-centred approach</w:t>
          </w:r>
          <w:r>
            <w:rPr>
              <w:color w:val="000000"/>
            </w:rPr>
            <w:tab/>
            <w:t>8</w:t>
          </w:r>
        </w:p>
        <w:p w14:paraId="3B8B4350" w14:textId="77777777" w:rsidR="009C6DB6" w:rsidRDefault="00436E0D">
          <w:pPr>
            <w:pBdr>
              <w:top w:val="nil"/>
              <w:left w:val="nil"/>
              <w:bottom w:val="nil"/>
              <w:right w:val="nil"/>
              <w:between w:val="nil"/>
            </w:pBdr>
            <w:tabs>
              <w:tab w:val="right" w:leader="dot" w:pos="9015"/>
            </w:tabs>
            <w:spacing w:after="100"/>
            <w:ind w:left="440"/>
            <w:rPr>
              <w:color w:val="000000"/>
            </w:rPr>
          </w:pPr>
          <w:r>
            <w:fldChar w:fldCharType="end"/>
          </w:r>
          <w:r>
            <w:fldChar w:fldCharType="begin"/>
          </w:r>
          <w:r>
            <w:instrText xml:space="preserve"> HYPERLINK \l "_heading=h.cfpauy3y0kvq" </w:instrText>
          </w:r>
          <w:r>
            <w:fldChar w:fldCharType="separate"/>
          </w:r>
          <w:r>
            <w:rPr>
              <w:color w:val="000000"/>
            </w:rPr>
            <w:t>End-of-Life care/Palliative care approach</w:t>
          </w:r>
          <w:r>
            <w:rPr>
              <w:color w:val="000000"/>
            </w:rPr>
            <w:tab/>
            <w:t>9</w:t>
          </w:r>
        </w:p>
        <w:p w14:paraId="68A217A5" w14:textId="77777777" w:rsidR="009C6DB6" w:rsidRDefault="00436E0D">
          <w:pPr>
            <w:pBdr>
              <w:top w:val="nil"/>
              <w:left w:val="nil"/>
              <w:bottom w:val="nil"/>
              <w:right w:val="nil"/>
              <w:between w:val="nil"/>
            </w:pBdr>
            <w:tabs>
              <w:tab w:val="right" w:leader="dot" w:pos="9015"/>
            </w:tabs>
            <w:spacing w:after="100"/>
            <w:rPr>
              <w:color w:val="000000"/>
            </w:rPr>
          </w:pPr>
          <w:r>
            <w:fldChar w:fldCharType="end"/>
          </w:r>
          <w:r>
            <w:fldChar w:fldCharType="begin"/>
          </w:r>
          <w:r>
            <w:instrText xml:space="preserve"> HYPERLINK \l "_heading=h.pnruay9a66gx" </w:instrText>
          </w:r>
          <w:r>
            <w:fldChar w:fldCharType="separate"/>
          </w:r>
          <w:r>
            <w:rPr>
              <w:color w:val="000000"/>
            </w:rPr>
            <w:t>Conclusion</w:t>
          </w:r>
          <w:r>
            <w:rPr>
              <w:color w:val="000000"/>
            </w:rPr>
            <w:tab/>
            <w:t>10</w:t>
          </w:r>
        </w:p>
        <w:p w14:paraId="2D720F00" w14:textId="77777777" w:rsidR="009C6DB6" w:rsidRDefault="00436E0D">
          <w:pPr>
            <w:pBdr>
              <w:top w:val="nil"/>
              <w:left w:val="nil"/>
              <w:bottom w:val="nil"/>
              <w:right w:val="nil"/>
              <w:between w:val="nil"/>
            </w:pBdr>
            <w:tabs>
              <w:tab w:val="right" w:leader="dot" w:pos="9015"/>
            </w:tabs>
            <w:spacing w:after="100"/>
            <w:rPr>
              <w:color w:val="000000"/>
            </w:rPr>
          </w:pPr>
          <w:r>
            <w:fldChar w:fldCharType="end"/>
          </w:r>
          <w:r>
            <w:fldChar w:fldCharType="begin"/>
          </w:r>
          <w:r>
            <w:instrText xml:space="preserve"> HYPERLINK \l "_heading=h.q3j64gpy50nk" </w:instrText>
          </w:r>
          <w:r>
            <w:fldChar w:fldCharType="separate"/>
          </w:r>
          <w:r>
            <w:rPr>
              <w:color w:val="000000"/>
            </w:rPr>
            <w:t>References</w:t>
          </w:r>
          <w:r>
            <w:rPr>
              <w:color w:val="000000"/>
            </w:rPr>
            <w:tab/>
            <w:t>11</w:t>
          </w:r>
        </w:p>
        <w:p w14:paraId="0BB648B9" w14:textId="77777777" w:rsidR="009C6DB6" w:rsidRDefault="00436E0D">
          <w:r>
            <w:fldChar w:fldCharType="end"/>
          </w:r>
          <w:r>
            <w:fldChar w:fldCharType="end"/>
          </w:r>
        </w:p>
      </w:sdtContent>
    </w:sdt>
    <w:p w14:paraId="6B108CE3" w14:textId="77777777" w:rsidR="009C6DB6" w:rsidRDefault="009C6DB6">
      <w:pPr>
        <w:jc w:val="center"/>
        <w:rPr>
          <w:b/>
          <w:bCs/>
        </w:rPr>
      </w:pPr>
    </w:p>
    <w:p w14:paraId="74F9DCB1" w14:textId="77777777" w:rsidR="009C6DB6" w:rsidRDefault="009C6DB6"/>
    <w:p w14:paraId="309478A6" w14:textId="77777777" w:rsidR="009C6DB6" w:rsidRDefault="00436E0D">
      <w:r>
        <w:br w:type="page"/>
      </w:r>
    </w:p>
    <w:p w14:paraId="4AE54601" w14:textId="77777777" w:rsidR="009C6DB6" w:rsidRDefault="00436E0D">
      <w:pPr>
        <w:pStyle w:val="Heading1"/>
        <w:rPr>
          <w:rFonts w:ascii="Times New Roman" w:eastAsia="Times New Roman" w:hAnsi="Times New Roman" w:cs="Times New Roman"/>
          <w:b/>
          <w:bCs/>
          <w:sz w:val="28"/>
          <w:szCs w:val="28"/>
        </w:rPr>
      </w:pPr>
      <w:bookmarkStart w:id="0" w:name="_heading=h.p9yzcvbpz1r3" w:colFirst="0" w:colLast="0"/>
      <w:bookmarkEnd w:id="0"/>
      <w:r>
        <w:rPr>
          <w:rFonts w:ascii="Times New Roman" w:eastAsia="Times New Roman" w:hAnsi="Times New Roman" w:cs="Times New Roman"/>
          <w:b/>
          <w:bCs/>
          <w:sz w:val="28"/>
          <w:szCs w:val="28"/>
        </w:rPr>
        <w:t>Background</w:t>
      </w:r>
    </w:p>
    <w:p w14:paraId="58BB7C10" w14:textId="77777777" w:rsidR="009C6DB6" w:rsidRDefault="00436E0D">
      <w:pPr>
        <w:spacing w:line="360" w:lineRule="auto"/>
        <w:jc w:val="both"/>
      </w:pPr>
      <w:r>
        <w:rPr>
          <w:b/>
          <w:bCs/>
        </w:rPr>
        <w:t xml:space="preserve">Definition: </w:t>
      </w:r>
      <w:r>
        <w:t>The chosen health condition is heart failure (HF) that is a global public health concern, especially among older adults, leading to hospitalisation, substantial healthcare expenses. The definition of Heart failure is dependent on physical symptoms, physical examination signs and imaging results showing pulmonary or systemic congestion or changes in the cardiac output. British Heart Foundation (BHF) consider HF as an issue where the heart is not able to pump enough blood to the body as it should and that mak</w:t>
      </w:r>
      <w:r>
        <w:t xml:space="preserve">es the heart work harder, increasing the pressure on the heart to deliver oxygen and nutrients it needs (BHF 2025). </w:t>
      </w:r>
    </w:p>
    <w:p w14:paraId="2B935AA4" w14:textId="77777777" w:rsidR="009C6DB6" w:rsidRDefault="00436E0D">
      <w:pPr>
        <w:spacing w:line="360" w:lineRule="auto"/>
        <w:jc w:val="both"/>
      </w:pPr>
      <w:r>
        <w:rPr>
          <w:b/>
          <w:bCs/>
        </w:rPr>
        <w:t>UK and global data:</w:t>
      </w:r>
      <w:r>
        <w:t xml:space="preserve"> According to the British Heart Foundation report on July 2026, stated almost 7 million people are living with cardiovascular disease where 4 million are male and 4 million are female showing no gender related gap (British Heart Foundation, 2026). Furthermore, as per BHF, (2026), among the ageing and growing population the number will reach up to 1 million by the end of 2030 and 2 million by the end of 2040, that will create burden on the healthcare system. It has been also estimated that cardiovascular dis</w:t>
      </w:r>
      <w:r>
        <w:t>ease including heart failure contributes to 26% deaths in the UK that is almost 460 deaths each day (British Heart Foundation 2026). More specifically, BHF estimated that 920,000 people are living with heart failure that many diagnoses are happening lately in the UK (BHF 2025). Within the global context, HF is also a significant public health concern that is affecting 64 million people, contributing to deaths and enhanced health expenditure (Shahim et al. 2023). In this context, another study mentioned that</w:t>
      </w:r>
      <w:r>
        <w:t xml:space="preserve"> from 1990 to 2021 the HF prevalence has increased almost double that is 25.43 million to 55.50 million cases. However, even adjusting age-standardised prevalence (ASPR) there is still an upward trend that now it stands at 676.68 from 641.14 per 100,000 with an estimated annual percentage change (EAPC) of 0.19%. </w:t>
      </w:r>
    </w:p>
    <w:p w14:paraId="4F08FD79" w14:textId="77777777" w:rsidR="009C6DB6" w:rsidRDefault="00436E0D">
      <w:pPr>
        <w:spacing w:line="360" w:lineRule="auto"/>
        <w:jc w:val="center"/>
      </w:pPr>
      <w:r>
        <w:rPr>
          <w:noProof/>
        </w:rPr>
        <w:drawing>
          <wp:inline distT="114300" distB="114300" distL="114300" distR="114300" wp14:anchorId="2F329204" wp14:editId="421860EF">
            <wp:extent cx="3489488" cy="3947573"/>
            <wp:effectExtent l="0" t="0" r="0" b="0"/>
            <wp:docPr id="197762739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l="8641" b="1088"/>
                    <a:stretch>
                      <a:fillRect/>
                    </a:stretch>
                  </pic:blipFill>
                  <pic:spPr>
                    <a:xfrm>
                      <a:off x="0" y="0"/>
                      <a:ext cx="3489488" cy="3947573"/>
                    </a:xfrm>
                    <a:prstGeom prst="rect">
                      <a:avLst/>
                    </a:prstGeom>
                    <a:ln/>
                  </pic:spPr>
                </pic:pic>
              </a:graphicData>
            </a:graphic>
          </wp:inline>
        </w:drawing>
      </w:r>
    </w:p>
    <w:p w14:paraId="26F0F821" w14:textId="77777777" w:rsidR="009C6DB6" w:rsidRDefault="00436E0D">
      <w:pPr>
        <w:spacing w:line="360" w:lineRule="auto"/>
        <w:jc w:val="center"/>
      </w:pPr>
      <w:r>
        <w:t>Figure 1: Total deaths from heart diseases including HF in the UK</w:t>
      </w:r>
    </w:p>
    <w:p w14:paraId="056BD66B" w14:textId="77777777" w:rsidR="009C6DB6" w:rsidRDefault="00436E0D">
      <w:pPr>
        <w:spacing w:line="360" w:lineRule="auto"/>
        <w:jc w:val="center"/>
      </w:pPr>
      <w:r>
        <w:t>(Source: British Heart Foundation 2022)</w:t>
      </w:r>
    </w:p>
    <w:p w14:paraId="150D84D7" w14:textId="77777777" w:rsidR="009C6DB6" w:rsidRDefault="00436E0D">
      <w:pPr>
        <w:spacing w:line="360" w:lineRule="auto"/>
        <w:jc w:val="center"/>
      </w:pPr>
      <w:r>
        <w:rPr>
          <w:noProof/>
        </w:rPr>
        <w:drawing>
          <wp:inline distT="0" distB="0" distL="114300" distR="114300" wp14:anchorId="3C4B78DE" wp14:editId="3668BC2F">
            <wp:extent cx="4949157" cy="2857500"/>
            <wp:effectExtent l="0" t="0" r="0" b="0"/>
            <wp:docPr id="197762739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4949157" cy="2857500"/>
                    </a:xfrm>
                    <a:prstGeom prst="rect">
                      <a:avLst/>
                    </a:prstGeom>
                    <a:ln/>
                  </pic:spPr>
                </pic:pic>
              </a:graphicData>
            </a:graphic>
          </wp:inline>
        </w:drawing>
      </w:r>
    </w:p>
    <w:p w14:paraId="42ADE7E6" w14:textId="77777777" w:rsidR="009C6DB6" w:rsidRDefault="00436E0D">
      <w:pPr>
        <w:spacing w:line="360" w:lineRule="auto"/>
        <w:jc w:val="center"/>
      </w:pPr>
      <w:r>
        <w:t>Figure 2: Trends of HF by region from 1990-2021</w:t>
      </w:r>
    </w:p>
    <w:p w14:paraId="24A63A73" w14:textId="77777777" w:rsidR="009C6DB6" w:rsidRDefault="00436E0D">
      <w:pPr>
        <w:spacing w:line="360" w:lineRule="auto"/>
        <w:jc w:val="center"/>
      </w:pPr>
      <w:r>
        <w:t>(Source: Ran et al. 2025)</w:t>
      </w:r>
    </w:p>
    <w:p w14:paraId="181D03BA" w14:textId="77777777" w:rsidR="009C6DB6" w:rsidRDefault="00436E0D">
      <w:pPr>
        <w:spacing w:line="360" w:lineRule="auto"/>
        <w:jc w:val="both"/>
      </w:pPr>
      <w:r>
        <w:rPr>
          <w:b/>
          <w:bCs/>
        </w:rPr>
        <w:t xml:space="preserve">Risk factors: </w:t>
      </w:r>
      <w:r>
        <w:t>Some of the common risk factors for HF include ageing that older adults increased risk of heart failure where genetics also play key role alongside having a family history of heart failure (NIH 2022). Also, unhealthy lifestyle choices such as smoking, using cocaine, heavy alcohol consumption and lack of physical activity plays key role. In other cases, certain heart conditions which results in the weaknesses of the muscle also play key role for developing HF such as heart and blood vessel conditions like he</w:t>
      </w:r>
      <w:r>
        <w:t xml:space="preserve">art attacks prevent heart muscles from receiving sufficient oxygen to pump to the other parts of the body, leading to the left-side heart failure (NIH 2022). </w:t>
      </w:r>
    </w:p>
    <w:p w14:paraId="2C24C805" w14:textId="77777777" w:rsidR="009C6DB6" w:rsidRDefault="00436E0D">
      <w:pPr>
        <w:spacing w:line="360" w:lineRule="auto"/>
        <w:jc w:val="both"/>
      </w:pPr>
      <w:r>
        <w:rPr>
          <w:b/>
          <w:bCs/>
        </w:rPr>
        <w:t xml:space="preserve">Aim: </w:t>
      </w:r>
      <w:r>
        <w:t xml:space="preserve">Henceforth, to combat the increasing prevalence of HF, mortality from HF, and the increased burden of healthcare costs. Therefore, the aim of the information booklet is to guide healthcare workers, patients and their families regarding various aspects of HF such as the impacts of the long-term condition on individuals, current theoretical perspectives, and local and national political health and social care agendas to combat HF. Lastly, the information booklet will also guide individuals such as healthcare </w:t>
      </w:r>
      <w:r>
        <w:t xml:space="preserve">professionals and support workers by offering suitable recommendations for person-centred care approaches and end-of-life care for managing such a long-term condition. </w:t>
      </w:r>
    </w:p>
    <w:p w14:paraId="1A1A2C4E" w14:textId="77777777" w:rsidR="009C6DB6" w:rsidRDefault="009C6DB6">
      <w:pPr>
        <w:spacing w:line="360" w:lineRule="auto"/>
        <w:jc w:val="both"/>
      </w:pPr>
    </w:p>
    <w:p w14:paraId="7922608F" w14:textId="77777777" w:rsidR="009C6DB6" w:rsidRDefault="00436E0D">
      <w:r>
        <w:br w:type="page"/>
      </w:r>
    </w:p>
    <w:p w14:paraId="36DF3EF1" w14:textId="77777777" w:rsidR="009C6DB6" w:rsidRDefault="00436E0D">
      <w:pPr>
        <w:pStyle w:val="Heading1"/>
        <w:rPr>
          <w:rFonts w:ascii="Times New Roman" w:eastAsia="Times New Roman" w:hAnsi="Times New Roman" w:cs="Times New Roman"/>
          <w:b/>
          <w:bCs/>
          <w:sz w:val="28"/>
          <w:szCs w:val="28"/>
        </w:rPr>
      </w:pPr>
      <w:bookmarkStart w:id="1" w:name="_heading=h.p6njgjqy8unx" w:colFirst="0" w:colLast="0"/>
      <w:bookmarkEnd w:id="1"/>
      <w:r>
        <w:rPr>
          <w:rFonts w:ascii="Times New Roman" w:eastAsia="Times New Roman" w:hAnsi="Times New Roman" w:cs="Times New Roman"/>
          <w:b/>
          <w:bCs/>
          <w:sz w:val="28"/>
          <w:szCs w:val="28"/>
        </w:rPr>
        <w:t>Main Body</w:t>
      </w:r>
    </w:p>
    <w:p w14:paraId="2D7E7A18" w14:textId="77777777" w:rsidR="009C6DB6" w:rsidRDefault="00436E0D">
      <w:pPr>
        <w:pStyle w:val="Heading2"/>
        <w:rPr>
          <w:rFonts w:ascii="Times New Roman" w:eastAsia="Times New Roman" w:hAnsi="Times New Roman" w:cs="Times New Roman"/>
          <w:b/>
          <w:bCs/>
          <w:sz w:val="26"/>
          <w:szCs w:val="26"/>
        </w:rPr>
      </w:pPr>
      <w:bookmarkStart w:id="2" w:name="_heading=h.b3ay7oizxvpz" w:colFirst="0" w:colLast="0"/>
      <w:bookmarkEnd w:id="2"/>
      <w:r>
        <w:rPr>
          <w:rFonts w:ascii="Times New Roman" w:eastAsia="Times New Roman" w:hAnsi="Times New Roman" w:cs="Times New Roman"/>
          <w:b/>
          <w:bCs/>
          <w:sz w:val="26"/>
          <w:szCs w:val="26"/>
        </w:rPr>
        <w:t>Physical, Psychological and Social Implications of HF</w:t>
      </w:r>
    </w:p>
    <w:p w14:paraId="681EBCB0" w14:textId="77777777" w:rsidR="009C6DB6" w:rsidRDefault="00436E0D">
      <w:pPr>
        <w:numPr>
          <w:ilvl w:val="0"/>
          <w:numId w:val="3"/>
        </w:numPr>
        <w:pBdr>
          <w:top w:val="nil"/>
          <w:left w:val="nil"/>
          <w:bottom w:val="nil"/>
          <w:right w:val="nil"/>
          <w:between w:val="nil"/>
        </w:pBdr>
        <w:spacing w:after="0" w:line="360" w:lineRule="auto"/>
        <w:jc w:val="both"/>
        <w:rPr>
          <w:color w:val="000000"/>
        </w:rPr>
      </w:pPr>
      <w:r>
        <w:rPr>
          <w:b/>
          <w:bCs/>
          <w:color w:val="000000"/>
        </w:rPr>
        <w:t>Physical:</w:t>
      </w:r>
      <w:r>
        <w:rPr>
          <w:color w:val="000000"/>
        </w:rPr>
        <w:t xml:space="preserve"> Chronic HF is clinically manifested by several signs and symptoms which include breathlessness with exertion, shortness of breath, fatigue, weakness, difficulty breathing when lying down, sleeping difficulties, swollen feet, ankle (</w:t>
      </w:r>
      <w:r>
        <w:rPr>
          <w:color w:val="1B1B1B"/>
        </w:rPr>
        <w:t>McHorney et al. 2021)</w:t>
      </w:r>
      <w:r>
        <w:rPr>
          <w:color w:val="000000"/>
        </w:rPr>
        <w:t>. Among these symptoms, shortness of breath during exertion, fatigue reduces the health-related quality of life (QoL) of individuals and their families because it affects individual with HF to perform daily activities without the help of another person (</w:t>
      </w:r>
      <w:r>
        <w:rPr>
          <w:color w:val="1B1B1B"/>
        </w:rPr>
        <w:t>McHorney et al. 2021)</w:t>
      </w:r>
      <w:r>
        <w:rPr>
          <w:color w:val="000000"/>
        </w:rPr>
        <w:t xml:space="preserve">. A semi-structured interview of 40 HF patients found that all patients reported limitations related to walking, climbing where more than half patients reported difficulty to standing which hindered doing various activities and enhances the chance of developing other diseases (Niklasson et al. 2022). For example, individuals with diabetes often require performing physical activities, therefore, if someone has both diabetes and HF, then the management of diabetes become difficult due to limitations in doing </w:t>
      </w:r>
      <w:r>
        <w:rPr>
          <w:color w:val="000000"/>
        </w:rPr>
        <w:t xml:space="preserve">physical activities. </w:t>
      </w:r>
    </w:p>
    <w:p w14:paraId="7E39A132" w14:textId="77777777" w:rsidR="009C6DB6" w:rsidRDefault="00436E0D">
      <w:pPr>
        <w:numPr>
          <w:ilvl w:val="0"/>
          <w:numId w:val="3"/>
        </w:numPr>
        <w:pBdr>
          <w:top w:val="nil"/>
          <w:left w:val="nil"/>
          <w:bottom w:val="nil"/>
          <w:right w:val="nil"/>
          <w:between w:val="nil"/>
        </w:pBdr>
        <w:spacing w:after="0" w:line="360" w:lineRule="auto"/>
        <w:jc w:val="both"/>
        <w:rPr>
          <w:color w:val="000000"/>
        </w:rPr>
      </w:pPr>
      <w:r>
        <w:rPr>
          <w:b/>
          <w:bCs/>
          <w:color w:val="000000"/>
        </w:rPr>
        <w:t>Psychological:</w:t>
      </w:r>
      <w:r>
        <w:rPr>
          <w:color w:val="000000"/>
        </w:rPr>
        <w:t xml:space="preserve"> From psychological point of view, depression is common for individuals suffering with HF as exacerbations, difficulty to perform daily activities like other non-HF affected person, care related cost, medical management, side effects of medications take a huge toll on the psychological well-being of the patient. However, immediate family members or wider family members also experience hopelessness, helplessness, fatigue from care burden, to manage and support the patient (McHorney et al. 2021). However, it </w:t>
      </w:r>
      <w:r>
        <w:rPr>
          <w:color w:val="000000"/>
        </w:rPr>
        <w:t>has been also evident that family members of last stage HF patients often grief, face sadness, experience anxiety as the patient comes to end-of-life situation (Oriani et al. 2019). Financial burden is another major concern that leads to constant worry, anxiety regarding the management of medication, scheduling GPs/cardiologist visit, applying interventions or management of lifestyle choices. However, lower socio-economic countries or individual with HF from deprived communities face more challenges to cope</w:t>
      </w:r>
      <w:r>
        <w:rPr>
          <w:color w:val="000000"/>
        </w:rPr>
        <w:t xml:space="preserve"> with the psychological burden. </w:t>
      </w:r>
    </w:p>
    <w:p w14:paraId="03EA05A3" w14:textId="77777777" w:rsidR="009C6DB6" w:rsidRDefault="00436E0D">
      <w:pPr>
        <w:numPr>
          <w:ilvl w:val="0"/>
          <w:numId w:val="3"/>
        </w:numPr>
        <w:pBdr>
          <w:top w:val="nil"/>
          <w:left w:val="nil"/>
          <w:bottom w:val="nil"/>
          <w:right w:val="nil"/>
          <w:between w:val="nil"/>
        </w:pBdr>
        <w:spacing w:line="360" w:lineRule="auto"/>
        <w:jc w:val="both"/>
        <w:rPr>
          <w:color w:val="000000"/>
        </w:rPr>
      </w:pPr>
      <w:r>
        <w:rPr>
          <w:b/>
          <w:bCs/>
          <w:color w:val="000000"/>
        </w:rPr>
        <w:t>Social:</w:t>
      </w:r>
      <w:r>
        <w:rPr>
          <w:color w:val="000000"/>
        </w:rPr>
        <w:t xml:space="preserve"> Since caring for the individual affected with HF require sufficient time of each day, it becomes difficult for caregivers, wider family members to take part in various social activities, community gathering that leads to social isolation and loneliness (Oriani et al. 2019). The problem becomes more severe as carer, family members or even the patient needs to manage employment aspects and care provision simultaneously, leaving no space for social interactions. For individual with HF, the problem becomes sev</w:t>
      </w:r>
      <w:r>
        <w:rPr>
          <w:color w:val="000000"/>
        </w:rPr>
        <w:t xml:space="preserve">ere as HF can lead to various complications that suggests the management of stress, lifestyle activities. But management of stress require interacting with others, engaging more into meaningful activities, recreational activities or pursuing hobbies which become impossible due to worsening physical health that in turn affects social relationships of both the individual with HF and wider families (Coyte et al. 2021). </w:t>
      </w:r>
    </w:p>
    <w:p w14:paraId="43E6E51A" w14:textId="77777777" w:rsidR="009C6DB6" w:rsidRDefault="00436E0D">
      <w:pPr>
        <w:pStyle w:val="Heading1"/>
        <w:rPr>
          <w:rFonts w:ascii="Times New Roman" w:eastAsia="Times New Roman" w:hAnsi="Times New Roman" w:cs="Times New Roman"/>
          <w:b/>
          <w:bCs/>
          <w:sz w:val="28"/>
          <w:szCs w:val="28"/>
        </w:rPr>
      </w:pPr>
      <w:bookmarkStart w:id="3" w:name="_heading=h.p8s7ahu7bgj2" w:colFirst="0" w:colLast="0"/>
      <w:bookmarkEnd w:id="3"/>
      <w:r>
        <w:rPr>
          <w:rFonts w:ascii="Times New Roman" w:eastAsia="Times New Roman" w:hAnsi="Times New Roman" w:cs="Times New Roman"/>
          <w:b/>
          <w:bCs/>
          <w:sz w:val="28"/>
          <w:szCs w:val="28"/>
        </w:rPr>
        <w:t>Identification and Investigation of theoretical perspectives</w:t>
      </w:r>
    </w:p>
    <w:p w14:paraId="0BEFFAB4" w14:textId="77777777" w:rsidR="009C6DB6" w:rsidRDefault="00436E0D">
      <w:pPr>
        <w:spacing w:line="360" w:lineRule="auto"/>
        <w:jc w:val="both"/>
      </w:pPr>
      <w:r>
        <w:t>Heart failure is a chronic condition which requires continuous monitoring, adherence to medication, modification of lifestyle, and undertaking coordinated multidisciplinary care to effectively manage the condition. However, the effective management of the condition requires understanding of theoretical models and frameworks which address not only physiological symptoms but also psychological well-being, individuals' health literacy, socioeconomic conditions and patients' capacity for self-management. For th</w:t>
      </w:r>
      <w:r>
        <w:t>is part, the Chronic Care model is considered for UK and the World Health Organisation Innovative Care for Chronic Condition Framework, which is an international model have been selected to guide complementary approaches to improve outcomes.</w:t>
      </w:r>
    </w:p>
    <w:p w14:paraId="10718038" w14:textId="77777777" w:rsidR="009C6DB6" w:rsidRDefault="00436E0D">
      <w:pPr>
        <w:spacing w:line="360" w:lineRule="auto"/>
        <w:jc w:val="both"/>
        <w:rPr>
          <w:b/>
          <w:bCs/>
        </w:rPr>
      </w:pPr>
      <w:r>
        <w:rPr>
          <w:b/>
          <w:bCs/>
        </w:rPr>
        <w:t>UK: Chronic care model</w:t>
      </w:r>
    </w:p>
    <w:p w14:paraId="6D5099FD" w14:textId="77777777" w:rsidR="009C6DB6" w:rsidRDefault="00436E0D">
      <w:pPr>
        <w:spacing w:line="360" w:lineRule="auto"/>
        <w:jc w:val="both"/>
      </w:pPr>
      <w:r>
        <w:t>The Chronic Care model was developed in 2001 by Wagner et al., who focused on productive interactions between informed, activated patients and prepared, proactive healthcare teams. This model consists of six components which are healthcare, organisation, community resources, self-management support, delivery system design, decision support, and clinical information systems. Within the context of UK, the heart failure services and using these principles into their general practise, specialist heart failure n</w:t>
      </w:r>
      <w:r>
        <w:t>ursing, multidisciplinary reviews and in community based follow up helps in improving the outcome. However, in this case, self-management support is particularly important as patients should recognise worsening of symptoms such as breathlessness after minor activity, peripheral edoema and sudden weight changes. Though in cases, healthcare professionals should assess individuals' literacy level and may offer timely assistance by providing medication guidance written action plans to strengthen patients and th</w:t>
      </w:r>
      <w:r>
        <w:t>eir family's confidence that will further prevent delaying to obtain treatment. Though clinical information systems and plan follow up can support monitoring and improve communication between primary care cardiologists and community services but for patients who have been experiencing poverty, cognitive declination, have low health literacy or limited family support may struggle to implement self-management strategies. Though in such cases, digital monitoring tools such as telemedicine, electronic health re</w:t>
      </w:r>
      <w:r>
        <w:t>cords can improve access for some patients, but those living in remote areas or geographically isolated location without reliable internet access or digital skills will face struggle to access these services. Furthermore, multidisciplinary surfaces also require sufficient staffing, funding and information sharing arrangements. Therefore, the model's effectiveness is solely dependent on implementation instead of simply adopting its principle.</w:t>
      </w:r>
    </w:p>
    <w:p w14:paraId="48308136" w14:textId="77777777" w:rsidR="009C6DB6" w:rsidRDefault="00436E0D">
      <w:pPr>
        <w:spacing w:line="360" w:lineRule="auto"/>
        <w:jc w:val="both"/>
        <w:rPr>
          <w:b/>
          <w:bCs/>
        </w:rPr>
      </w:pPr>
      <w:r>
        <w:rPr>
          <w:b/>
          <w:bCs/>
        </w:rPr>
        <w:t>International Model: WHO's Innovative care for Chronic condition framework</w:t>
      </w:r>
    </w:p>
    <w:p w14:paraId="07D9C9AA" w14:textId="77777777" w:rsidR="009C6DB6" w:rsidRDefault="00436E0D">
      <w:pPr>
        <w:spacing w:line="360" w:lineRule="auto"/>
        <w:jc w:val="both"/>
      </w:pPr>
      <w:r>
        <w:t>In contradiction to the UK based model, the WHO's Innovative Care for Chronic Conditions framework goes beyond chronic care principles by incorporating healthcare organisations, prioritising community partnerships and supportive national policies (WHO 2026). This framework recognises the importance of improving heart failure outcomes by providing coordinated information, removing structural and systematic barriers, offering family support and policies via addressing social determinants of health (WHO 2026).</w:t>
      </w:r>
      <w:r>
        <w:t xml:space="preserve"> Henceforth, at the patient level healthcare professionals should develop collaborative care plans provide understandable education and involve patients in the decision-making process to respect their autonomy. However, implementation will be difficult in low resource setting where specialist staff, diagnostic facilities and essential medicines are unevenly distributed. Overall, the chronic care model offers practical guidance for organising clinical care, whereas the WHO framework addresses broader socioec</w:t>
      </w:r>
      <w:r>
        <w:t>onomic parameters to alleviate disparities.</w:t>
      </w:r>
    </w:p>
    <w:p w14:paraId="491A3874" w14:textId="77777777" w:rsidR="009C6DB6" w:rsidRDefault="00436E0D">
      <w:pPr>
        <w:spacing w:line="360" w:lineRule="auto"/>
        <w:jc w:val="center"/>
      </w:pPr>
      <w:r>
        <w:rPr>
          <w:noProof/>
        </w:rPr>
        <w:drawing>
          <wp:inline distT="114300" distB="114300" distL="114300" distR="114300" wp14:anchorId="6B082140" wp14:editId="31F08DB6">
            <wp:extent cx="4634392" cy="3315240"/>
            <wp:effectExtent l="0" t="0" r="0" b="0"/>
            <wp:docPr id="197762739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l="2326"/>
                    <a:stretch>
                      <a:fillRect/>
                    </a:stretch>
                  </pic:blipFill>
                  <pic:spPr>
                    <a:xfrm>
                      <a:off x="0" y="0"/>
                      <a:ext cx="4634392" cy="3315240"/>
                    </a:xfrm>
                    <a:prstGeom prst="rect">
                      <a:avLst/>
                    </a:prstGeom>
                    <a:ln/>
                  </pic:spPr>
                </pic:pic>
              </a:graphicData>
            </a:graphic>
          </wp:inline>
        </w:drawing>
      </w:r>
    </w:p>
    <w:p w14:paraId="0DF48EBD" w14:textId="77777777" w:rsidR="009C6DB6" w:rsidRDefault="00436E0D">
      <w:pPr>
        <w:spacing w:line="360" w:lineRule="auto"/>
        <w:jc w:val="center"/>
      </w:pPr>
      <w:r>
        <w:t>Figure 3: Chronic Care model</w:t>
      </w:r>
    </w:p>
    <w:p w14:paraId="7A149EE8" w14:textId="77777777" w:rsidR="009C6DB6" w:rsidRDefault="00436E0D">
      <w:pPr>
        <w:spacing w:line="360" w:lineRule="auto"/>
        <w:jc w:val="center"/>
      </w:pPr>
      <w:r>
        <w:t>Source: (Gee et al. 2016)</w:t>
      </w:r>
    </w:p>
    <w:p w14:paraId="0421179B" w14:textId="77777777" w:rsidR="009C6DB6" w:rsidRDefault="00436E0D">
      <w:pPr>
        <w:pStyle w:val="Heading1"/>
        <w:rPr>
          <w:rFonts w:ascii="Times New Roman" w:eastAsia="Times New Roman" w:hAnsi="Times New Roman" w:cs="Times New Roman"/>
          <w:b/>
          <w:bCs/>
          <w:sz w:val="28"/>
          <w:szCs w:val="28"/>
        </w:rPr>
      </w:pPr>
      <w:bookmarkStart w:id="4" w:name="_heading=h.snu65ry4kgag" w:colFirst="0" w:colLast="0"/>
      <w:bookmarkEnd w:id="4"/>
      <w:r>
        <w:rPr>
          <w:rFonts w:ascii="Times New Roman" w:eastAsia="Times New Roman" w:hAnsi="Times New Roman" w:cs="Times New Roman"/>
          <w:b/>
          <w:bCs/>
          <w:sz w:val="28"/>
          <w:szCs w:val="28"/>
        </w:rPr>
        <w:t>Implementation of local and national political health and social care agendas</w:t>
      </w:r>
    </w:p>
    <w:p w14:paraId="04934963" w14:textId="77777777" w:rsidR="009C6DB6" w:rsidRDefault="00436E0D">
      <w:pPr>
        <w:rPr>
          <w:b/>
          <w:bCs/>
        </w:rPr>
      </w:pPr>
      <w:r>
        <w:rPr>
          <w:b/>
          <w:bCs/>
        </w:rPr>
        <w:t>National health and social care agendas</w:t>
      </w:r>
    </w:p>
    <w:p w14:paraId="217317A9" w14:textId="77777777" w:rsidR="009C6DB6" w:rsidRDefault="00436E0D">
      <w:pPr>
        <w:spacing w:line="360" w:lineRule="auto"/>
        <w:jc w:val="both"/>
      </w:pPr>
      <w:r>
        <w:t>The management of heart failure in the UK is influenced by National Health policies, clinical guidelines and locally integrated care initiatives, which altogether aim to improve heart failure prevention, foster early diagnosis, improve treatment, taxes, payer coordination and overall QoL. Nevertheless, the effectiveness of this management strategies depends on workforce capacity, funding, geographical exercise and the extend to wage services respond to patients' individual needs. International Institute for</w:t>
      </w:r>
      <w:r>
        <w:t xml:space="preserve"> Health and Care Excellence (NICE) guideline NG106 provides recommendations for diagnosis and managing chronic heart failure. In its' updated version it focused on pharmacological treatment monitoring, collaboration of multidisciplinary teams, rehabilitation and palliative care approaches to effectively treat the condition of patients (NICE 2025). Its implementation can improve clinical consistency by offering evidence prescribing, appropriate monitoring, and timely specialist referral. For patients with he</w:t>
      </w:r>
      <w:r>
        <w:t>art failure with reduced ejection fraction, it has been recommended to combine treatment which include medicine to prevent hospitalisation and mortality risk (NICE 2025).  NICE is also focused on communication between prime Medicare and specialist teams, alongside emphasising on personalised care plans.</w:t>
      </w:r>
    </w:p>
    <w:p w14:paraId="575F66D0" w14:textId="77777777" w:rsidR="009C6DB6" w:rsidRDefault="00436E0D">
      <w:pPr>
        <w:spacing w:line="360" w:lineRule="auto"/>
        <w:jc w:val="both"/>
      </w:pPr>
      <w:r>
        <w:t xml:space="preserve">However, it must be noted that this national guidance automatically translates into equitable outcomes, as differences in staffing, service availability and local commissioning create variation in access to specialist heart failure nurses, echocardiography and cardiography rehabilitation. Furthermore, for ethnic minor communities, cultural preferences are essential that many healthcare professionals lack desired cultural awareness to treat ethnic minor communities in the UK and global contexts, which leads </w:t>
      </w:r>
      <w:r>
        <w:t>to inaccessible care by this section, leading to fragmented appointments and competent treatment demands. Therefore, policy implementation should focus on upskilling the existing workforce by offering training, teaching technological use and culturally competence care for workforce development alongside effective preferred pathways and regular evaluation instead of relying exclusively on pipeline publication. NHS England's Integrated Care Agenda further promotes coordinated services, prevention, self-care a</w:t>
      </w:r>
      <w:r>
        <w:t>nd management of long-term conditions near home. For HF patients, it may involve reviewing medication, monitoring community, ensuring rehabilitation and social care referrals (NHS England 2024). Nevertheless, integration can remain aspirational when organisations use incompatible information systems or face competing priorities.</w:t>
      </w:r>
    </w:p>
    <w:p w14:paraId="01F83127" w14:textId="77777777" w:rsidR="009C6DB6" w:rsidRDefault="00436E0D">
      <w:pPr>
        <w:spacing w:line="360" w:lineRule="auto"/>
        <w:jc w:val="both"/>
        <w:rPr>
          <w:b/>
          <w:bCs/>
        </w:rPr>
      </w:pPr>
      <w:r>
        <w:rPr>
          <w:b/>
          <w:bCs/>
        </w:rPr>
        <w:t>Local implementation</w:t>
      </w:r>
    </w:p>
    <w:p w14:paraId="298254C0" w14:textId="77777777" w:rsidR="009C6DB6" w:rsidRDefault="00436E0D">
      <w:pPr>
        <w:spacing w:line="360" w:lineRule="auto"/>
        <w:jc w:val="both"/>
      </w:pPr>
      <w:r>
        <w:t>At local level, integrated care boards and healthcare professors can translate national priorities into HF pathways reflecting population and local area needs. Some potential initiatives may involve specialist nurse follow-up after discharge, ensuring community-based education through health promotion, healthcare rehabilitation, and coordinated reviews involving primary care and cardiology. It is supported by NICE's recommendations that care plans should include follow up rehabilitation, access to social ca</w:t>
      </w:r>
      <w:r>
        <w:t>re and contact details for appropriate HCPs support workers (NICE 2025). Those local services need to assess social determinants affecting patients' capability to access treatment and management options that financial struggle may prevent access to suitable food, transport and heating while living alone or lacking Informal carers can make the monitoring of symptoms difficult. Therefore, the successful implementation should be assessed through measurable outcomes including unplanned hospital admissions, mort</w:t>
      </w:r>
      <w:r>
        <w:t>ality. QoL, rehabilitation, participation and assessing inequalities</w:t>
      </w:r>
    </w:p>
    <w:p w14:paraId="07FA0A58" w14:textId="77777777" w:rsidR="009C6DB6" w:rsidRDefault="00436E0D">
      <w:pPr>
        <w:pStyle w:val="Heading1"/>
        <w:rPr>
          <w:rFonts w:ascii="Times New Roman" w:eastAsia="Times New Roman" w:hAnsi="Times New Roman" w:cs="Times New Roman"/>
          <w:b/>
          <w:bCs/>
          <w:sz w:val="28"/>
          <w:szCs w:val="28"/>
        </w:rPr>
      </w:pPr>
      <w:bookmarkStart w:id="5" w:name="_heading=h.az7n2ct6d3bw" w:colFirst="0" w:colLast="0"/>
      <w:bookmarkEnd w:id="5"/>
      <w:r>
        <w:rPr>
          <w:rFonts w:ascii="Times New Roman" w:eastAsia="Times New Roman" w:hAnsi="Times New Roman" w:cs="Times New Roman"/>
          <w:b/>
          <w:bCs/>
          <w:sz w:val="28"/>
          <w:szCs w:val="28"/>
        </w:rPr>
        <w:t>Recommendations for improvement</w:t>
      </w:r>
    </w:p>
    <w:p w14:paraId="1E6B8C1E" w14:textId="77777777" w:rsidR="009C6DB6" w:rsidRDefault="00436E0D">
      <w:pPr>
        <w:pStyle w:val="Heading3"/>
        <w:rPr>
          <w:b/>
          <w:bCs/>
        </w:rPr>
      </w:pPr>
      <w:bookmarkStart w:id="6" w:name="_heading=h.wvfm5cat1nvn" w:colFirst="0" w:colLast="0"/>
      <w:bookmarkEnd w:id="6"/>
      <w:r>
        <w:t>Person-centred approach</w:t>
      </w:r>
    </w:p>
    <w:p w14:paraId="1EEB0C94" w14:textId="77777777" w:rsidR="009C6DB6" w:rsidRDefault="00436E0D">
      <w:pPr>
        <w:spacing w:line="360" w:lineRule="auto"/>
        <w:jc w:val="both"/>
      </w:pPr>
      <w:r>
        <w:t>Since HF is a complicated health issue that reduces the quality of life over the time, it is essential to adopt person-centred care approaches while guiding individuals to manage their health conditions. Person-centred care (PCC) approaches are a holistic care method which aims at fostering welfare of all aspects of one's health such as physiological, psychological, social, cultural and spiritual based on individuals' preferences, choices, likes, dislikes while respecting their autonomy, dignity. Here are s</w:t>
      </w:r>
      <w:r>
        <w:t>ome recommendations which could be useful for guiding individuals with HF and their families to manage the condition-</w:t>
      </w:r>
    </w:p>
    <w:p w14:paraId="3A4E4DA7" w14:textId="77777777" w:rsidR="009C6DB6" w:rsidRDefault="00436E0D">
      <w:pPr>
        <w:numPr>
          <w:ilvl w:val="0"/>
          <w:numId w:val="2"/>
        </w:numPr>
        <w:pBdr>
          <w:top w:val="nil"/>
          <w:left w:val="nil"/>
          <w:bottom w:val="nil"/>
          <w:right w:val="nil"/>
          <w:between w:val="nil"/>
        </w:pBdr>
        <w:spacing w:after="0" w:line="360" w:lineRule="auto"/>
        <w:jc w:val="both"/>
        <w:rPr>
          <w:color w:val="000000"/>
        </w:rPr>
      </w:pPr>
      <w:r>
        <w:rPr>
          <w:color w:val="000000"/>
        </w:rPr>
        <w:t xml:space="preserve">A supportive environment must be created for the patient to make the patient feel heard, valued and respected. However, it depends on the communication and teamwork efforts of healthcare professionals (HCPs) within a multi-disciplinary framework (Giusti et al. 2024). </w:t>
      </w:r>
    </w:p>
    <w:p w14:paraId="6905C8DF" w14:textId="77777777" w:rsidR="009C6DB6" w:rsidRDefault="00436E0D">
      <w:pPr>
        <w:numPr>
          <w:ilvl w:val="0"/>
          <w:numId w:val="2"/>
        </w:numPr>
        <w:pBdr>
          <w:top w:val="nil"/>
          <w:left w:val="nil"/>
          <w:bottom w:val="nil"/>
          <w:right w:val="nil"/>
          <w:between w:val="nil"/>
        </w:pBdr>
        <w:spacing w:after="0" w:line="360" w:lineRule="auto"/>
        <w:jc w:val="both"/>
        <w:rPr>
          <w:color w:val="000000"/>
        </w:rPr>
      </w:pPr>
      <w:r>
        <w:rPr>
          <w:color w:val="000000"/>
        </w:rPr>
        <w:t xml:space="preserve">In a supportive environment, patients and their families concern should be listened carefully with respect that helps in building rapport and enhances patients' confidence. HCPs should also encourage patients with HF and their families to ask open-ended questions, seek clarifications, and express their concerns, preferences in a comfortable manner to foster beneficence (Giusti et al. 2024). </w:t>
      </w:r>
    </w:p>
    <w:p w14:paraId="1DF7FE9C" w14:textId="77777777" w:rsidR="009C6DB6" w:rsidRDefault="00436E0D">
      <w:pPr>
        <w:numPr>
          <w:ilvl w:val="0"/>
          <w:numId w:val="2"/>
        </w:numPr>
        <w:pBdr>
          <w:top w:val="nil"/>
          <w:left w:val="nil"/>
          <w:bottom w:val="nil"/>
          <w:right w:val="nil"/>
          <w:between w:val="nil"/>
        </w:pBdr>
        <w:spacing w:after="0" w:line="360" w:lineRule="auto"/>
        <w:jc w:val="both"/>
        <w:rPr>
          <w:color w:val="000000"/>
        </w:rPr>
      </w:pPr>
      <w:r>
        <w:rPr>
          <w:color w:val="000000"/>
        </w:rPr>
        <w:t xml:space="preserve">The management of HF becomes difficult in low-resource constraints setting. Therefore, patients from such settings often have heightened social needs, financial needs due to scarcity of job, difficulty to perform job due to physical exacerbations leading breathlessness and others that is also applicable in some well- resourced setting. To foster PCC, HCPs will make attempts to signpost the patients and their families to available financial assistance funds. </w:t>
      </w:r>
    </w:p>
    <w:p w14:paraId="4DEF7A37" w14:textId="77777777" w:rsidR="009C6DB6" w:rsidRDefault="00436E0D">
      <w:pPr>
        <w:numPr>
          <w:ilvl w:val="0"/>
          <w:numId w:val="2"/>
        </w:numPr>
        <w:pBdr>
          <w:top w:val="nil"/>
          <w:left w:val="nil"/>
          <w:bottom w:val="nil"/>
          <w:right w:val="nil"/>
          <w:between w:val="nil"/>
        </w:pBdr>
        <w:spacing w:after="0" w:line="360" w:lineRule="auto"/>
        <w:jc w:val="both"/>
        <w:rPr>
          <w:color w:val="000000"/>
        </w:rPr>
      </w:pPr>
      <w:r>
        <w:rPr>
          <w:color w:val="000000"/>
        </w:rPr>
        <w:t xml:space="preserve">HCPs also need to engage the individual with HF and their families in the decision-making, but priority should be given to the patient’s concern to prioritise autonomy. However, decision-making will be based on receiving sufficient and relevant information that will allow the patient and families to make choices. </w:t>
      </w:r>
    </w:p>
    <w:p w14:paraId="77307E1F" w14:textId="77777777" w:rsidR="009C6DB6" w:rsidRDefault="00436E0D">
      <w:pPr>
        <w:numPr>
          <w:ilvl w:val="0"/>
          <w:numId w:val="2"/>
        </w:numPr>
        <w:pBdr>
          <w:top w:val="nil"/>
          <w:left w:val="nil"/>
          <w:bottom w:val="nil"/>
          <w:right w:val="nil"/>
          <w:between w:val="nil"/>
        </w:pBdr>
        <w:spacing w:after="0" w:line="360" w:lineRule="auto"/>
        <w:jc w:val="both"/>
        <w:rPr>
          <w:color w:val="000000"/>
        </w:rPr>
      </w:pPr>
      <w:r>
        <w:rPr>
          <w:color w:val="000000"/>
        </w:rPr>
        <w:t>Evidence suggests peer support and co-designed educational sources regarding lifestyle choices such as physical activity, food choices, managing stress, self-monitoring of blood pressures, glucose levels which act as risk factors for developing complications empower patients to take control over their lives (</w:t>
      </w:r>
      <w:r>
        <w:rPr>
          <w:color w:val="1B1B1B"/>
        </w:rPr>
        <w:t>Dellafiore et al. 2023)</w:t>
      </w:r>
      <w:r>
        <w:rPr>
          <w:color w:val="000000"/>
        </w:rPr>
        <w:t xml:space="preserve">. However, many individual lack strong health literacy skill that could worsen the outcome, therefore, HCPs should assess patients’ and their family's literacy level before entirely putting the self-management plan on them. </w:t>
      </w:r>
    </w:p>
    <w:p w14:paraId="1A636BEB" w14:textId="77777777" w:rsidR="009C6DB6" w:rsidRDefault="00436E0D">
      <w:pPr>
        <w:numPr>
          <w:ilvl w:val="0"/>
          <w:numId w:val="2"/>
        </w:numPr>
        <w:pBdr>
          <w:top w:val="nil"/>
          <w:left w:val="nil"/>
          <w:bottom w:val="nil"/>
          <w:right w:val="nil"/>
          <w:between w:val="nil"/>
        </w:pBdr>
        <w:spacing w:line="360" w:lineRule="auto"/>
        <w:jc w:val="both"/>
        <w:rPr>
          <w:color w:val="000000"/>
        </w:rPr>
      </w:pPr>
      <w:r>
        <w:rPr>
          <w:color w:val="000000"/>
        </w:rPr>
        <w:t>Motivational interviewing, coaching from HCPs at individual or community level further strengthen self-efficacy, that leads to improved management of symptoms, quality of life and reduce hospital readmission rate may be required in some cases (</w:t>
      </w:r>
      <w:r>
        <w:rPr>
          <w:color w:val="1B1B1B"/>
        </w:rPr>
        <w:t>Dellafiore et al. 2023)</w:t>
      </w:r>
      <w:r>
        <w:rPr>
          <w:color w:val="000000"/>
        </w:rPr>
        <w:t xml:space="preserve">. </w:t>
      </w:r>
    </w:p>
    <w:p w14:paraId="732FC533" w14:textId="77777777" w:rsidR="009C6DB6" w:rsidRDefault="00436E0D">
      <w:pPr>
        <w:pStyle w:val="Heading3"/>
      </w:pPr>
      <w:bookmarkStart w:id="7" w:name="_heading=h.cfpauy3y0kvq" w:colFirst="0" w:colLast="0"/>
      <w:bookmarkEnd w:id="7"/>
      <w:r>
        <w:t>End-of-Life care/Palliative care approach</w:t>
      </w:r>
    </w:p>
    <w:p w14:paraId="0AAD2387" w14:textId="77777777" w:rsidR="009C6DB6" w:rsidRDefault="00436E0D">
      <w:pPr>
        <w:spacing w:line="360" w:lineRule="auto"/>
        <w:jc w:val="both"/>
      </w:pPr>
      <w:r>
        <w:t>WHO described that end-of-life care approaches improved QoL of patients and their families in association with life-threatening or life-limiting illnesses. Recent HF guidelines such as 2021 ESC guidelines for the diagnosis and treatment of acute and chronic HF suggest integrative end-of-life care approaches for HF patients to improve their quality of life by pain management, lifestyle modification and setting up a holistic care plan (Lee and Hwang 2022). The following end-of-life care approaches could be fo</w:t>
      </w:r>
      <w:r>
        <w:t>llowed by adhering to the given recommendations-</w:t>
      </w:r>
    </w:p>
    <w:p w14:paraId="2F389808" w14:textId="77777777" w:rsidR="009C6DB6" w:rsidRDefault="00436E0D">
      <w:pPr>
        <w:spacing w:line="360" w:lineRule="auto"/>
        <w:jc w:val="center"/>
      </w:pPr>
      <w:r>
        <w:rPr>
          <w:noProof/>
        </w:rPr>
        <w:drawing>
          <wp:inline distT="0" distB="0" distL="114300" distR="114300" wp14:anchorId="74794386" wp14:editId="6B2065A9">
            <wp:extent cx="3264408" cy="3269894"/>
            <wp:effectExtent l="0" t="0" r="0" b="0"/>
            <wp:docPr id="1977627393" name="image3.jpg"/>
            <wp:cNvGraphicFramePr/>
            <a:graphic xmlns:a="http://schemas.openxmlformats.org/drawingml/2006/main">
              <a:graphicData uri="http://schemas.openxmlformats.org/drawingml/2006/picture">
                <pic:pic xmlns:pic="http://schemas.openxmlformats.org/drawingml/2006/picture">
                  <pic:nvPicPr>
                    <pic:cNvPr id="0" name="image3.jpg"/>
                    <pic:cNvPicPr preferRelativeResize="0"/>
                  </pic:nvPicPr>
                  <pic:blipFill>
                    <a:blip r:embed="rId11"/>
                    <a:srcRect/>
                    <a:stretch>
                      <a:fillRect/>
                    </a:stretch>
                  </pic:blipFill>
                  <pic:spPr>
                    <a:xfrm>
                      <a:off x="0" y="0"/>
                      <a:ext cx="3264408" cy="3269894"/>
                    </a:xfrm>
                    <a:prstGeom prst="rect">
                      <a:avLst/>
                    </a:prstGeom>
                    <a:ln/>
                  </pic:spPr>
                </pic:pic>
              </a:graphicData>
            </a:graphic>
          </wp:inline>
        </w:drawing>
      </w:r>
    </w:p>
    <w:p w14:paraId="292D4845" w14:textId="77777777" w:rsidR="009C6DB6" w:rsidRDefault="00436E0D">
      <w:pPr>
        <w:spacing w:line="360" w:lineRule="auto"/>
        <w:jc w:val="center"/>
      </w:pPr>
      <w:r>
        <w:t xml:space="preserve">Figure </w:t>
      </w:r>
      <w:r>
        <w:t>4</w:t>
      </w:r>
      <w:r>
        <w:t>: Domain of EoL or Palliative Care approach</w:t>
      </w:r>
    </w:p>
    <w:p w14:paraId="493A3EFB" w14:textId="77777777" w:rsidR="009C6DB6" w:rsidRDefault="00436E0D">
      <w:pPr>
        <w:spacing w:line="360" w:lineRule="auto"/>
        <w:jc w:val="center"/>
      </w:pPr>
      <w:r>
        <w:t>Source: (Gelfman et al. 2024)</w:t>
      </w:r>
    </w:p>
    <w:p w14:paraId="5A8EFAB3" w14:textId="77777777" w:rsidR="009C6DB6" w:rsidRDefault="00436E0D">
      <w:pPr>
        <w:numPr>
          <w:ilvl w:val="0"/>
          <w:numId w:val="1"/>
        </w:numPr>
        <w:pBdr>
          <w:top w:val="nil"/>
          <w:left w:val="nil"/>
          <w:bottom w:val="nil"/>
          <w:right w:val="nil"/>
          <w:between w:val="nil"/>
        </w:pBdr>
        <w:spacing w:after="0" w:line="360" w:lineRule="auto"/>
        <w:jc w:val="both"/>
        <w:rPr>
          <w:color w:val="000000"/>
        </w:rPr>
      </w:pPr>
      <w:r>
        <w:rPr>
          <w:color w:val="000000"/>
        </w:rPr>
        <w:t>End stage HF patients are more prone to exhibit symptoms such as dyspnoea, pain, anxiety, depression and fatigue which demand regular symptom assessments using validated scales such as numeric rating scales, Edmonton Symptom Assessment System (ESAS) can be used for more comprehensive assessment (</w:t>
      </w:r>
      <w:r>
        <w:rPr>
          <w:color w:val="1B1B1B"/>
        </w:rPr>
        <w:t xml:space="preserve">Lee and Hwang 2022). </w:t>
      </w:r>
      <w:r>
        <w:rPr>
          <w:color w:val="000000"/>
        </w:rPr>
        <w:t xml:space="preserve"> </w:t>
      </w:r>
    </w:p>
    <w:p w14:paraId="3A3484DC" w14:textId="77777777" w:rsidR="009C6DB6" w:rsidRDefault="00436E0D">
      <w:pPr>
        <w:numPr>
          <w:ilvl w:val="0"/>
          <w:numId w:val="1"/>
        </w:numPr>
        <w:pBdr>
          <w:top w:val="nil"/>
          <w:left w:val="nil"/>
          <w:bottom w:val="nil"/>
          <w:right w:val="nil"/>
          <w:between w:val="nil"/>
        </w:pBdr>
        <w:spacing w:after="0" w:line="360" w:lineRule="auto"/>
        <w:jc w:val="both"/>
        <w:rPr>
          <w:color w:val="000000"/>
        </w:rPr>
      </w:pPr>
      <w:r>
        <w:rPr>
          <w:color w:val="000000"/>
        </w:rPr>
        <w:t>Other HF specific tools such as Minnesota Living with Heart Failure Questionnaire and Kansas City Cardiomyopathy Questionnaire</w:t>
      </w:r>
      <w:r>
        <w:rPr>
          <w:color w:val="1B1B1B"/>
        </w:rPr>
        <w:t xml:space="preserve"> (KCCQ) can be also used to measure burden of the deteriorator factors (Lee and Hwang 2022). </w:t>
      </w:r>
    </w:p>
    <w:p w14:paraId="0BD9D1FA" w14:textId="77777777" w:rsidR="009C6DB6" w:rsidRDefault="00436E0D">
      <w:pPr>
        <w:numPr>
          <w:ilvl w:val="0"/>
          <w:numId w:val="1"/>
        </w:numPr>
        <w:pBdr>
          <w:top w:val="nil"/>
          <w:left w:val="nil"/>
          <w:bottom w:val="nil"/>
          <w:right w:val="nil"/>
          <w:between w:val="nil"/>
        </w:pBdr>
        <w:spacing w:after="0" w:line="360" w:lineRule="auto"/>
        <w:jc w:val="both"/>
        <w:rPr>
          <w:color w:val="000000"/>
        </w:rPr>
      </w:pPr>
      <w:r>
        <w:rPr>
          <w:color w:val="000000"/>
        </w:rPr>
        <w:t xml:space="preserve">Another critical consideration is approximate reliable calculation of patients’ life expectancy that some clinicians, HCPs who lack proper HF knowledge often overestimate life-expectancy in comparison to model-based prediction related to survival (Gelfman et al. 2024). In such cases, tools like online Seattle Heart Failure Model can guide HCPs, palliative care support workers with prognosis but also explore and document patients' preferences, values, likes, health-related concerns with priority (Gelfman et </w:t>
      </w:r>
      <w:r>
        <w:rPr>
          <w:color w:val="000000"/>
        </w:rPr>
        <w:t xml:space="preserve">al. 2024). </w:t>
      </w:r>
    </w:p>
    <w:p w14:paraId="3E59266F" w14:textId="77777777" w:rsidR="009C6DB6" w:rsidRDefault="00436E0D">
      <w:pPr>
        <w:numPr>
          <w:ilvl w:val="0"/>
          <w:numId w:val="1"/>
        </w:numPr>
        <w:pBdr>
          <w:top w:val="nil"/>
          <w:left w:val="nil"/>
          <w:bottom w:val="nil"/>
          <w:right w:val="nil"/>
          <w:between w:val="nil"/>
        </w:pBdr>
        <w:spacing w:after="0" w:line="360" w:lineRule="auto"/>
        <w:jc w:val="both"/>
        <w:rPr>
          <w:color w:val="000000"/>
        </w:rPr>
      </w:pPr>
      <w:r>
        <w:rPr>
          <w:color w:val="000000"/>
        </w:rPr>
        <w:t>In ambulatory setting, patients with HF should receive management of HF symptoms by the management of HF symptoms. HCPs, palliative care workers should apply guideline-directed medical therapies such as diuretic titration, optimise quadruple medical therapy, regurgitation of mitral vulve, effective treatment of left bundle branch block to improve the cardiac function that will lower ejection fraction (</w:t>
      </w:r>
      <w:r>
        <w:rPr>
          <w:color w:val="212121"/>
        </w:rPr>
        <w:t>Kavalieratos et al. 2018)</w:t>
      </w:r>
      <w:r>
        <w:rPr>
          <w:color w:val="000000"/>
        </w:rPr>
        <w:t xml:space="preserve">. </w:t>
      </w:r>
    </w:p>
    <w:p w14:paraId="7D243627" w14:textId="77777777" w:rsidR="009C6DB6" w:rsidRDefault="00436E0D">
      <w:pPr>
        <w:numPr>
          <w:ilvl w:val="0"/>
          <w:numId w:val="1"/>
        </w:numPr>
        <w:pBdr>
          <w:top w:val="nil"/>
          <w:left w:val="nil"/>
          <w:bottom w:val="nil"/>
          <w:right w:val="nil"/>
          <w:between w:val="nil"/>
        </w:pBdr>
        <w:spacing w:after="0" w:line="360" w:lineRule="auto"/>
        <w:jc w:val="both"/>
        <w:rPr>
          <w:color w:val="000000"/>
        </w:rPr>
      </w:pPr>
      <w:r>
        <w:rPr>
          <w:color w:val="000000"/>
        </w:rPr>
        <w:t xml:space="preserve">End-of-life care for HF patients often involve conflicts with family members, patients, other HCPs which require adhering to ethical principle of fostering beneficence, avoiding maleficence and maintaining effective communication skills to resolve conflicts. </w:t>
      </w:r>
    </w:p>
    <w:p w14:paraId="713E8175" w14:textId="77777777" w:rsidR="009C6DB6" w:rsidRDefault="00436E0D">
      <w:pPr>
        <w:numPr>
          <w:ilvl w:val="0"/>
          <w:numId w:val="1"/>
        </w:numPr>
        <w:pBdr>
          <w:top w:val="nil"/>
          <w:left w:val="nil"/>
          <w:bottom w:val="nil"/>
          <w:right w:val="nil"/>
          <w:between w:val="nil"/>
        </w:pBdr>
        <w:spacing w:line="360" w:lineRule="auto"/>
        <w:jc w:val="both"/>
        <w:rPr>
          <w:color w:val="000000"/>
        </w:rPr>
      </w:pPr>
      <w:r>
        <w:rPr>
          <w:color w:val="000000"/>
        </w:rPr>
        <w:t>HCPs are also recommended to take care of themselves as caring for HF patients, especially for older adults require continuous showcasing of empathy, compassion that leads to compassion burnout (Cross et al. 2023). HCPs and families of the patients are also guided to manage stress by engaging into meaningful activities, taking short-breaks or seeking professional helps if it is unmanageable by following self-management strategies. This is also important because caregivers' well-being is closely related with</w:t>
      </w:r>
      <w:r>
        <w:rPr>
          <w:color w:val="000000"/>
        </w:rPr>
        <w:t xml:space="preserve"> patients’ well-being as it makes the care personnels more engaged into care provision, prevent fatal events, and negative outcomes (Cross et al. 2023).  </w:t>
      </w:r>
    </w:p>
    <w:p w14:paraId="05F9591F" w14:textId="77777777" w:rsidR="009C6DB6" w:rsidRDefault="00436E0D">
      <w:pPr>
        <w:pStyle w:val="Heading1"/>
      </w:pPr>
      <w:bookmarkStart w:id="8" w:name="_heading=h.pnruay9a66gx" w:colFirst="0" w:colLast="0"/>
      <w:bookmarkEnd w:id="8"/>
      <w:r>
        <w:rPr>
          <w:rFonts w:ascii="Times New Roman" w:eastAsia="Times New Roman" w:hAnsi="Times New Roman" w:cs="Times New Roman"/>
          <w:b/>
          <w:bCs/>
          <w:sz w:val="28"/>
          <w:szCs w:val="28"/>
        </w:rPr>
        <w:t>Conclusion</w:t>
      </w:r>
    </w:p>
    <w:p w14:paraId="49DCB83A" w14:textId="77777777" w:rsidR="009C6DB6" w:rsidRDefault="009C6DB6"/>
    <w:p w14:paraId="33946B3A" w14:textId="77777777" w:rsidR="009C6DB6" w:rsidRDefault="00436E0D">
      <w:pPr>
        <w:spacing w:line="360" w:lineRule="auto"/>
        <w:jc w:val="both"/>
      </w:pPr>
      <w:r>
        <w:t>Overall, in conclusion, it can be said that HF is a significant long-term condition which significantly effects individual physiological, psychological and social well-being, affect social relationships, create financial burden along with enhancing healthcare demands. Henceforth, the effective management of HF liquor combined and collaborative care approach following evidence based national guidelines and locally coordinated health and social care services. The chronic care model and WHO framework provide c</w:t>
      </w:r>
      <w:r>
        <w:t>omplementary approaches to strengthening self-management, multidisciplinary collaboration and equitable access. Moreover, person centred care approach and end of life care approach should focus on prioritising patients' preferences, choices, respecting their autonomy, management of pain and other symptoms following ethical principles to improve their QoL. Overall, sustainable improvements required collaborative decision making, accessible services along with alleviating structural and social determinants of</w:t>
      </w:r>
      <w:r>
        <w:t xml:space="preserve"> health creating barriers.</w:t>
      </w:r>
    </w:p>
    <w:p w14:paraId="5FE267F6" w14:textId="77777777" w:rsidR="009C6DB6" w:rsidRDefault="009C6DB6">
      <w:pPr>
        <w:spacing w:line="360" w:lineRule="auto"/>
        <w:jc w:val="both"/>
        <w:rPr>
          <w:b/>
          <w:bCs/>
        </w:rPr>
      </w:pPr>
    </w:p>
    <w:p w14:paraId="0BBB24AF" w14:textId="77777777" w:rsidR="009C6DB6" w:rsidRDefault="009C6DB6">
      <w:pPr>
        <w:spacing w:line="360" w:lineRule="auto"/>
        <w:jc w:val="both"/>
        <w:rPr>
          <w:b/>
          <w:bCs/>
        </w:rPr>
      </w:pPr>
    </w:p>
    <w:p w14:paraId="257AF8A9" w14:textId="77777777" w:rsidR="009C6DB6" w:rsidRDefault="009C6DB6">
      <w:pPr>
        <w:spacing w:line="360" w:lineRule="auto"/>
        <w:jc w:val="both"/>
      </w:pPr>
    </w:p>
    <w:p w14:paraId="79A22FE0" w14:textId="77777777" w:rsidR="009C6DB6" w:rsidRDefault="009C6DB6">
      <w:pPr>
        <w:pBdr>
          <w:top w:val="nil"/>
          <w:left w:val="nil"/>
          <w:bottom w:val="nil"/>
          <w:right w:val="nil"/>
          <w:between w:val="nil"/>
        </w:pBdr>
        <w:spacing w:line="360" w:lineRule="auto"/>
        <w:ind w:left="720"/>
        <w:jc w:val="both"/>
        <w:rPr>
          <w:color w:val="000000"/>
        </w:rPr>
      </w:pPr>
    </w:p>
    <w:p w14:paraId="5E13A553" w14:textId="77777777" w:rsidR="009C6DB6" w:rsidRDefault="009C6DB6">
      <w:pPr>
        <w:pStyle w:val="Heading1"/>
        <w:rPr>
          <w:rFonts w:ascii="Times New Roman" w:eastAsia="Times New Roman" w:hAnsi="Times New Roman" w:cs="Times New Roman"/>
          <w:b/>
          <w:bCs/>
          <w:sz w:val="28"/>
          <w:szCs w:val="28"/>
        </w:rPr>
      </w:pPr>
    </w:p>
    <w:p w14:paraId="32BA5238" w14:textId="77777777" w:rsidR="009C6DB6" w:rsidRDefault="00436E0D">
      <w:r>
        <w:br w:type="page"/>
      </w:r>
    </w:p>
    <w:p w14:paraId="30F10BDB" w14:textId="77777777" w:rsidR="009C6DB6" w:rsidRDefault="00436E0D">
      <w:pPr>
        <w:pStyle w:val="Heading1"/>
        <w:rPr>
          <w:rFonts w:ascii="Times New Roman" w:eastAsia="Times New Roman" w:hAnsi="Times New Roman" w:cs="Times New Roman"/>
          <w:b/>
          <w:bCs/>
          <w:sz w:val="28"/>
          <w:szCs w:val="28"/>
        </w:rPr>
      </w:pPr>
      <w:bookmarkStart w:id="9" w:name="_heading=h.q3j64gpy50nk" w:colFirst="0" w:colLast="0"/>
      <w:bookmarkEnd w:id="9"/>
      <w:r>
        <w:rPr>
          <w:rFonts w:ascii="Times New Roman" w:eastAsia="Times New Roman" w:hAnsi="Times New Roman" w:cs="Times New Roman"/>
          <w:b/>
          <w:bCs/>
          <w:sz w:val="28"/>
          <w:szCs w:val="28"/>
        </w:rPr>
        <w:t>References</w:t>
      </w:r>
    </w:p>
    <w:p w14:paraId="2A609E69" w14:textId="77777777" w:rsidR="009C6DB6" w:rsidRDefault="00436E0D">
      <w:r>
        <w:t xml:space="preserve">British Heart Foundation. (2022) </w:t>
      </w:r>
      <w:r>
        <w:rPr>
          <w:i/>
          <w:iCs/>
        </w:rPr>
        <w:t>Death rates-Heart and circulatory disease context</w:t>
      </w:r>
      <w:r>
        <w:t xml:space="preserve"> [Online]. Available at: </w:t>
      </w:r>
      <w:hyperlink r:id="rId12">
        <w:r>
          <w:rPr>
            <w:color w:val="1155CC"/>
            <w:u w:val="single"/>
          </w:rPr>
          <w:t>https://www.bhf.org.uk/what-we-do/our-research/heart-and-circulatory-diseases-in-numbers/heart-and-circulatory-disease-in-context</w:t>
        </w:r>
      </w:hyperlink>
      <w:r>
        <w:t xml:space="preserve"> [Accessed on: 22nd Oct 2026]. </w:t>
      </w:r>
    </w:p>
    <w:p w14:paraId="57A9F16B" w14:textId="77777777" w:rsidR="009C6DB6" w:rsidRDefault="00436E0D">
      <w:pPr>
        <w:spacing w:line="360" w:lineRule="auto"/>
      </w:pPr>
      <w:r>
        <w:t xml:space="preserve">British Heart Foundation (BHF). (2025) </w:t>
      </w:r>
      <w:r>
        <w:rPr>
          <w:i/>
          <w:iCs/>
        </w:rPr>
        <w:t>Heart Failure Research</w:t>
      </w:r>
      <w:r>
        <w:t xml:space="preserve"> [Online]. Available at: </w:t>
      </w:r>
      <w:hyperlink r:id="rId13">
        <w:r>
          <w:rPr>
            <w:color w:val="467886"/>
            <w:u w:val="single"/>
          </w:rPr>
          <w:t>https://www.bhf.org.uk/what-we-do/our-research/heart-conditions-research/heart-failure-research</w:t>
        </w:r>
      </w:hyperlink>
      <w:r>
        <w:t xml:space="preserve">  [Accessed on 14</w:t>
      </w:r>
      <w:r>
        <w:rPr>
          <w:vertAlign w:val="superscript"/>
        </w:rPr>
        <w:t>th</w:t>
      </w:r>
      <w:r>
        <w:t xml:space="preserve"> Oct 2026]. </w:t>
      </w:r>
    </w:p>
    <w:p w14:paraId="2D9F7675" w14:textId="77777777" w:rsidR="009C6DB6" w:rsidRDefault="00436E0D">
      <w:pPr>
        <w:spacing w:line="360" w:lineRule="auto"/>
      </w:pPr>
      <w:r>
        <w:t xml:space="preserve">British Heart Foundation. (2026) </w:t>
      </w:r>
      <w:r>
        <w:rPr>
          <w:i/>
          <w:iCs/>
        </w:rPr>
        <w:t>UK Cardiovascular Disease Factsheet</w:t>
      </w:r>
      <w:r>
        <w:t xml:space="preserve"> [Online]. Available at: </w:t>
      </w:r>
      <w:hyperlink r:id="rId14">
        <w:r>
          <w:rPr>
            <w:color w:val="467886"/>
            <w:u w:val="single"/>
          </w:rPr>
          <w:t>https://www.bhf.org.uk/-/media/files/for-professionals/research/heart-statistics/bhf-cvd-statistics-uk-factsheet-jul26.pdf?rev=b4564e3e00504d778ad2db7efea92a76&amp;hash=FB19A378FA741A72E8B88EA14015ED7D</w:t>
        </w:r>
      </w:hyperlink>
      <w:r>
        <w:t xml:space="preserve"> [Accessed on 13</w:t>
      </w:r>
      <w:r>
        <w:rPr>
          <w:vertAlign w:val="superscript"/>
        </w:rPr>
        <w:t>th</w:t>
      </w:r>
      <w:r>
        <w:t xml:space="preserve"> Oct 2026]. </w:t>
      </w:r>
    </w:p>
    <w:p w14:paraId="59901F26" w14:textId="77777777" w:rsidR="009C6DB6" w:rsidRDefault="00436E0D">
      <w:pPr>
        <w:spacing w:line="360" w:lineRule="auto"/>
        <w:jc w:val="both"/>
      </w:pPr>
      <w:r>
        <w:rPr>
          <w:color w:val="1B1B1B"/>
        </w:rPr>
        <w:t xml:space="preserve">Coyte, A., Perry, R., Papacosta, A. O., Lennon, L., Whincup, P. H., Wannamethee, S. G., and Ramsay, A. S. E. (2021) Social relationships and the risk of incident heart failure: results from a prospective population-based study of older men. </w:t>
      </w:r>
      <w:r>
        <w:rPr>
          <w:i/>
          <w:iCs/>
          <w:color w:val="1B1B1B"/>
        </w:rPr>
        <w:t>European heart journal open</w:t>
      </w:r>
      <w:r>
        <w:rPr>
          <w:color w:val="1B1B1B"/>
        </w:rPr>
        <w:t xml:space="preserve">, </w:t>
      </w:r>
      <w:r>
        <w:rPr>
          <w:i/>
          <w:iCs/>
          <w:color w:val="1B1B1B"/>
        </w:rPr>
        <w:t>2</w:t>
      </w:r>
      <w:r>
        <w:rPr>
          <w:color w:val="1B1B1B"/>
        </w:rPr>
        <w:t xml:space="preserve">(1), pp. oeab045. </w:t>
      </w:r>
      <w:hyperlink r:id="rId15">
        <w:r>
          <w:rPr>
            <w:color w:val="467886"/>
            <w:u w:val="single"/>
          </w:rPr>
          <w:t>https://doi.org/10.1093/ehjopen/oeab045</w:t>
        </w:r>
      </w:hyperlink>
      <w:r>
        <w:rPr>
          <w:color w:val="1B1B1B"/>
        </w:rPr>
        <w:t xml:space="preserve"> </w:t>
      </w:r>
    </w:p>
    <w:p w14:paraId="0907DAF0" w14:textId="77777777" w:rsidR="009C6DB6" w:rsidRDefault="00436E0D">
      <w:pPr>
        <w:spacing w:line="360" w:lineRule="auto"/>
        <w:jc w:val="both"/>
      </w:pPr>
      <w:r>
        <w:rPr>
          <w:color w:val="212121"/>
        </w:rPr>
        <w:t xml:space="preserve">Cross, L. A., Koren, A., Dowling, J. S., and Gonzales, J. E. (2023) Compassion Fatigue and Family Caregivers Caring in End-Stage Heart Failure. </w:t>
      </w:r>
      <w:r>
        <w:rPr>
          <w:i/>
          <w:iCs/>
          <w:color w:val="212121"/>
        </w:rPr>
        <w:t>Research and theory for nursing practice</w:t>
      </w:r>
      <w:r>
        <w:rPr>
          <w:color w:val="212121"/>
        </w:rPr>
        <w:t xml:space="preserve">, </w:t>
      </w:r>
      <w:r>
        <w:rPr>
          <w:i/>
          <w:iCs/>
          <w:color w:val="212121"/>
        </w:rPr>
        <w:t>37</w:t>
      </w:r>
      <w:r>
        <w:rPr>
          <w:color w:val="212121"/>
        </w:rPr>
        <w:t xml:space="preserve">(2), pp. 195–213. </w:t>
      </w:r>
      <w:hyperlink r:id="rId16">
        <w:r>
          <w:rPr>
            <w:color w:val="467886"/>
            <w:u w:val="single"/>
          </w:rPr>
          <w:t>https://doi.org/10.1891/RTNP-2022-0084</w:t>
        </w:r>
      </w:hyperlink>
      <w:r>
        <w:rPr>
          <w:color w:val="212121"/>
        </w:rPr>
        <w:t xml:space="preserve"> </w:t>
      </w:r>
    </w:p>
    <w:p w14:paraId="0D66CC68" w14:textId="77777777" w:rsidR="009C6DB6" w:rsidRDefault="00436E0D">
      <w:pPr>
        <w:spacing w:line="360" w:lineRule="auto"/>
        <w:jc w:val="both"/>
        <w:rPr>
          <w:color w:val="1B1B1B"/>
        </w:rPr>
      </w:pPr>
      <w:r>
        <w:rPr>
          <w:color w:val="1B1B1B"/>
        </w:rPr>
        <w:t xml:space="preserve">Dellafiore, F., Ghizzardi, G., Vellone, E., Magon, A., Conte, G., Baroni, I., De Angeli, G., Vangone, I., Russo, S., Arrigoni, C., and  Caruso, R. (2023) Motivational Interviewing for Enhancing Self-care in Patients with Heart Failure: Protocol for a Randomized Controlled Trial. </w:t>
      </w:r>
      <w:r>
        <w:rPr>
          <w:i/>
          <w:iCs/>
          <w:color w:val="1B1B1B"/>
        </w:rPr>
        <w:t>JMIR research protocols</w:t>
      </w:r>
      <w:r>
        <w:rPr>
          <w:color w:val="1B1B1B"/>
        </w:rPr>
        <w:t xml:space="preserve">, </w:t>
      </w:r>
      <w:r>
        <w:rPr>
          <w:i/>
          <w:iCs/>
          <w:color w:val="1B1B1B"/>
        </w:rPr>
        <w:t>12</w:t>
      </w:r>
      <w:r>
        <w:rPr>
          <w:color w:val="1B1B1B"/>
        </w:rPr>
        <w:t xml:space="preserve">, pp. e44629. </w:t>
      </w:r>
      <w:hyperlink r:id="rId17">
        <w:r>
          <w:rPr>
            <w:color w:val="467886"/>
            <w:u w:val="single"/>
          </w:rPr>
          <w:t>https://doi.org/10.2196/44629</w:t>
        </w:r>
      </w:hyperlink>
      <w:r>
        <w:rPr>
          <w:color w:val="1B1B1B"/>
        </w:rPr>
        <w:t xml:space="preserve"> </w:t>
      </w:r>
    </w:p>
    <w:p w14:paraId="3BBC737E" w14:textId="77777777" w:rsidR="009C6DB6" w:rsidRDefault="00436E0D">
      <w:pPr>
        <w:spacing w:line="360" w:lineRule="auto"/>
        <w:jc w:val="both"/>
        <w:rPr>
          <w:color w:val="1B1B1B"/>
        </w:rPr>
      </w:pPr>
      <w:r>
        <w:rPr>
          <w:color w:val="1B1B1B"/>
        </w:rPr>
        <w:t xml:space="preserve">Gee, P. M., Greenwood, D. A., Paterniti, D. A., Ward, D., &amp; Miller, L. M. (2016). The eHealth Enhanced Chronic Care Model: a theory derivation approach. </w:t>
      </w:r>
      <w:r>
        <w:rPr>
          <w:i/>
          <w:iCs/>
          <w:color w:val="1B1B1B"/>
        </w:rPr>
        <w:t>Journal of medical Internet research</w:t>
      </w:r>
      <w:r>
        <w:rPr>
          <w:color w:val="1B1B1B"/>
        </w:rPr>
        <w:t xml:space="preserve">, </w:t>
      </w:r>
      <w:r>
        <w:rPr>
          <w:i/>
          <w:iCs/>
          <w:color w:val="1B1B1B"/>
        </w:rPr>
        <w:t>17</w:t>
      </w:r>
      <w:r>
        <w:rPr>
          <w:color w:val="1B1B1B"/>
        </w:rPr>
        <w:t xml:space="preserve">(4), e86. </w:t>
      </w:r>
      <w:hyperlink r:id="rId18">
        <w:r>
          <w:rPr>
            <w:color w:val="1155CC"/>
            <w:u w:val="single"/>
          </w:rPr>
          <w:t>https://doi.org/10.2196/jmir.4067</w:t>
        </w:r>
      </w:hyperlink>
      <w:r>
        <w:rPr>
          <w:color w:val="1B1B1B"/>
        </w:rPr>
        <w:t xml:space="preserve"> </w:t>
      </w:r>
    </w:p>
    <w:p w14:paraId="47A78E14" w14:textId="77777777" w:rsidR="009C6DB6" w:rsidRDefault="00436E0D">
      <w:pPr>
        <w:spacing w:line="360" w:lineRule="auto"/>
        <w:jc w:val="both"/>
      </w:pPr>
      <w:r>
        <w:t xml:space="preserve">Gelfman, L.P., Blum, M., Ogunniyi, M.O., McIlvennan, C.K., Kavalieratos, D. and Allen, L.A. (2024) Palliative Care Across the Spectrum of Heart Failure, </w:t>
      </w:r>
      <w:r>
        <w:rPr>
          <w:i/>
          <w:iCs/>
        </w:rPr>
        <w:t>JACC: Heart Failure</w:t>
      </w:r>
      <w:r>
        <w:t xml:space="preserve">, 12(6).  pp. 973-989. </w:t>
      </w:r>
      <w:hyperlink r:id="rId19">
        <w:r>
          <w:rPr>
            <w:color w:val="467886"/>
            <w:u w:val="single"/>
          </w:rPr>
          <w:t>https://doi.org/10.1016/j.jchf.2024.01.010</w:t>
        </w:r>
      </w:hyperlink>
      <w:r>
        <w:t xml:space="preserve"> </w:t>
      </w:r>
    </w:p>
    <w:p w14:paraId="02025EED" w14:textId="77777777" w:rsidR="009C6DB6" w:rsidRDefault="00436E0D">
      <w:pPr>
        <w:spacing w:line="360" w:lineRule="auto"/>
        <w:jc w:val="both"/>
      </w:pPr>
      <w:r>
        <w:rPr>
          <w:color w:val="212121"/>
        </w:rPr>
        <w:t xml:space="preserve">Giusti, A., Pukrittayakamee, P., Wannarit, K., Thongchot, L., Janwanishstaporn, S., Nkhoma, K., Venkatapuram, S., &amp; Harding, R. (2024) How to deliver person-centred care for people living with heart failure: a multi stakeholder interview study with patients, caregivers and healthcare professionals in Thailand. </w:t>
      </w:r>
      <w:r>
        <w:rPr>
          <w:i/>
          <w:iCs/>
          <w:color w:val="212121"/>
        </w:rPr>
        <w:t>BMC health services research</w:t>
      </w:r>
      <w:r>
        <w:rPr>
          <w:color w:val="212121"/>
        </w:rPr>
        <w:t xml:space="preserve">, </w:t>
      </w:r>
      <w:r>
        <w:rPr>
          <w:i/>
          <w:iCs/>
          <w:color w:val="212121"/>
        </w:rPr>
        <w:t>24</w:t>
      </w:r>
      <w:r>
        <w:rPr>
          <w:color w:val="212121"/>
        </w:rPr>
        <w:t xml:space="preserve">(1), pp. 1570. </w:t>
      </w:r>
      <w:hyperlink r:id="rId20">
        <w:r>
          <w:rPr>
            <w:color w:val="467886"/>
            <w:u w:val="single"/>
          </w:rPr>
          <w:t>https://doi.org/10.1186/s12913-024-11922-z</w:t>
        </w:r>
      </w:hyperlink>
      <w:r>
        <w:rPr>
          <w:color w:val="212121"/>
        </w:rPr>
        <w:t xml:space="preserve"> </w:t>
      </w:r>
    </w:p>
    <w:p w14:paraId="30004C6B" w14:textId="77777777" w:rsidR="009C6DB6" w:rsidRDefault="00436E0D">
      <w:pPr>
        <w:spacing w:line="360" w:lineRule="auto"/>
        <w:jc w:val="both"/>
      </w:pPr>
      <w:r>
        <w:rPr>
          <w:color w:val="212121"/>
        </w:rPr>
        <w:t xml:space="preserve">Kavalieratos, D., Gelfman, L. P., Tycon, L. E., Riegel, B., Bekelman, D. B., Ikejiani, D. Z., Goldstein, N., Kimmel, S. E., Bakitas, M. A., and Arnold, R. M. (2018) Palliative Care in Heart Failure: Rationale, Evidence, and Future Priorities. </w:t>
      </w:r>
      <w:r>
        <w:rPr>
          <w:i/>
          <w:iCs/>
          <w:color w:val="212121"/>
        </w:rPr>
        <w:t>Journal of the American College of Cardiology</w:t>
      </w:r>
      <w:r>
        <w:rPr>
          <w:color w:val="212121"/>
        </w:rPr>
        <w:t xml:space="preserve">, </w:t>
      </w:r>
      <w:r>
        <w:rPr>
          <w:i/>
          <w:iCs/>
          <w:color w:val="212121"/>
        </w:rPr>
        <w:t>70</w:t>
      </w:r>
      <w:r>
        <w:rPr>
          <w:color w:val="212121"/>
        </w:rPr>
        <w:t xml:space="preserve">(15), pp. 1919–1930. </w:t>
      </w:r>
      <w:hyperlink r:id="rId21">
        <w:r>
          <w:rPr>
            <w:color w:val="467886"/>
            <w:u w:val="single"/>
          </w:rPr>
          <w:t>https://doi.org/10.1016/j.jacc.2017.08.036</w:t>
        </w:r>
      </w:hyperlink>
      <w:r>
        <w:rPr>
          <w:color w:val="212121"/>
        </w:rPr>
        <w:t xml:space="preserve"> </w:t>
      </w:r>
    </w:p>
    <w:p w14:paraId="16805FB2" w14:textId="77777777" w:rsidR="009C6DB6" w:rsidRDefault="00436E0D">
      <w:pPr>
        <w:spacing w:line="360" w:lineRule="auto"/>
        <w:jc w:val="both"/>
      </w:pPr>
      <w:r>
        <w:rPr>
          <w:color w:val="1B1B1B"/>
        </w:rPr>
        <w:t xml:space="preserve">Lee, J. H., and Hwang, K. K. (2022) End-of-Life Care for End-stage Heart Failure Patients. </w:t>
      </w:r>
      <w:r>
        <w:rPr>
          <w:i/>
          <w:iCs/>
          <w:color w:val="1B1B1B"/>
        </w:rPr>
        <w:t>Korean circulation journal</w:t>
      </w:r>
      <w:r>
        <w:rPr>
          <w:color w:val="1B1B1B"/>
        </w:rPr>
        <w:t xml:space="preserve">, </w:t>
      </w:r>
      <w:r>
        <w:rPr>
          <w:i/>
          <w:iCs/>
          <w:color w:val="1B1B1B"/>
        </w:rPr>
        <w:t>52</w:t>
      </w:r>
      <w:r>
        <w:rPr>
          <w:color w:val="1B1B1B"/>
        </w:rPr>
        <w:t xml:space="preserve">(9), pp. 659–679. </w:t>
      </w:r>
      <w:hyperlink r:id="rId22">
        <w:r>
          <w:rPr>
            <w:color w:val="467886"/>
            <w:u w:val="single"/>
          </w:rPr>
          <w:t>https://doi.org/10.4070/kcj.2022.0211</w:t>
        </w:r>
      </w:hyperlink>
      <w:r>
        <w:rPr>
          <w:color w:val="1B1B1B"/>
        </w:rPr>
        <w:t xml:space="preserve"> </w:t>
      </w:r>
    </w:p>
    <w:p w14:paraId="55E3EA55" w14:textId="77777777" w:rsidR="009C6DB6" w:rsidRDefault="00436E0D">
      <w:pPr>
        <w:spacing w:line="360" w:lineRule="auto"/>
        <w:jc w:val="both"/>
      </w:pPr>
      <w:r>
        <w:rPr>
          <w:color w:val="1B1B1B"/>
        </w:rPr>
        <w:t xml:space="preserve">McHorney, C. A., Mansukhani, S. G., Anatchkova, M., Taylor, N., Wirtz, H. S., Abbasi, S., Battle, L., Desai, N. R., and Globe, G. (2021) The impact of heart failure on patients and caregivers: A qualitative study. </w:t>
      </w:r>
      <w:r>
        <w:rPr>
          <w:i/>
          <w:iCs/>
          <w:color w:val="1B1B1B"/>
        </w:rPr>
        <w:t>PloS one</w:t>
      </w:r>
      <w:r>
        <w:rPr>
          <w:color w:val="1B1B1B"/>
        </w:rPr>
        <w:t xml:space="preserve">, </w:t>
      </w:r>
      <w:r>
        <w:rPr>
          <w:i/>
          <w:iCs/>
          <w:color w:val="1B1B1B"/>
        </w:rPr>
        <w:t>16</w:t>
      </w:r>
      <w:r>
        <w:rPr>
          <w:color w:val="1B1B1B"/>
        </w:rPr>
        <w:t xml:space="preserve">(3), pp. e0248240. </w:t>
      </w:r>
      <w:hyperlink r:id="rId23">
        <w:r>
          <w:rPr>
            <w:color w:val="467886"/>
            <w:u w:val="single"/>
          </w:rPr>
          <w:t>https://doi.org/10.1371/journal.pone.0248240</w:t>
        </w:r>
      </w:hyperlink>
      <w:r>
        <w:rPr>
          <w:color w:val="1B1B1B"/>
        </w:rPr>
        <w:t xml:space="preserve"> </w:t>
      </w:r>
    </w:p>
    <w:p w14:paraId="23A1A156" w14:textId="77777777" w:rsidR="009C6DB6" w:rsidRDefault="00436E0D">
      <w:pPr>
        <w:spacing w:line="360" w:lineRule="auto"/>
        <w:jc w:val="both"/>
      </w:pPr>
      <w:r>
        <w:t xml:space="preserve">National Institute for Health and Care Excellence (NICE) (2025) </w:t>
      </w:r>
      <w:r>
        <w:rPr>
          <w:i/>
          <w:iCs/>
        </w:rPr>
        <w:t>Chronic heart failure in adults: diagnosis and management. NICE guideline NG106</w:t>
      </w:r>
      <w:r>
        <w:t xml:space="preserve"> [Online]. Available at: </w:t>
      </w:r>
      <w:hyperlink r:id="rId24">
        <w:r>
          <w:rPr>
            <w:color w:val="467886"/>
            <w:u w:val="single"/>
          </w:rPr>
          <w:t>https://www.nice.org.uk/guidance/ng106</w:t>
        </w:r>
      </w:hyperlink>
      <w:r>
        <w:t xml:space="preserve"> [Accessed on: 14 October 2026].</w:t>
      </w:r>
    </w:p>
    <w:p w14:paraId="0AB72DA6" w14:textId="77777777" w:rsidR="009C6DB6" w:rsidRDefault="00436E0D">
      <w:pPr>
        <w:spacing w:line="360" w:lineRule="auto"/>
        <w:jc w:val="both"/>
      </w:pPr>
      <w:r>
        <w:rPr>
          <w:color w:val="1B1B1B"/>
        </w:rPr>
        <w:t xml:space="preserve">NIH. (2022) </w:t>
      </w:r>
      <w:r>
        <w:rPr>
          <w:i/>
          <w:iCs/>
          <w:color w:val="1B1B1B"/>
        </w:rPr>
        <w:t>Heart Failure-Causes and Risk factors</w:t>
      </w:r>
      <w:r>
        <w:rPr>
          <w:color w:val="1B1B1B"/>
        </w:rPr>
        <w:t xml:space="preserve"> [Online]. Available at: </w:t>
      </w:r>
      <w:hyperlink r:id="rId25">
        <w:r>
          <w:rPr>
            <w:color w:val="467886"/>
            <w:u w:val="single"/>
          </w:rPr>
          <w:t>https://www.nhlbi.nih.gov/health/heart-failure/causes</w:t>
        </w:r>
      </w:hyperlink>
      <w:r>
        <w:rPr>
          <w:color w:val="1B1B1B"/>
        </w:rPr>
        <w:t xml:space="preserve">  [Accessed on 14</w:t>
      </w:r>
      <w:r>
        <w:rPr>
          <w:color w:val="1B1B1B"/>
          <w:vertAlign w:val="superscript"/>
        </w:rPr>
        <w:t>th</w:t>
      </w:r>
      <w:r>
        <w:rPr>
          <w:color w:val="1B1B1B"/>
        </w:rPr>
        <w:t xml:space="preserve"> Oct 2026]. </w:t>
      </w:r>
    </w:p>
    <w:p w14:paraId="305EDEC5" w14:textId="77777777" w:rsidR="009C6DB6" w:rsidRDefault="00436E0D">
      <w:pPr>
        <w:spacing w:line="360" w:lineRule="auto"/>
        <w:jc w:val="both"/>
      </w:pPr>
      <w:r>
        <w:t xml:space="preserve">NHS England (2024) </w:t>
      </w:r>
      <w:r>
        <w:rPr>
          <w:i/>
          <w:iCs/>
        </w:rPr>
        <w:t>2024/25 priorities and operational planning guidance</w:t>
      </w:r>
      <w:r>
        <w:t xml:space="preserve"> [Online]. Available at: </w:t>
      </w:r>
      <w:hyperlink r:id="rId26">
        <w:r>
          <w:rPr>
            <w:color w:val="467886"/>
            <w:u w:val="single"/>
          </w:rPr>
          <w:t>https://www.england.nhs.uk/long-read/2024-25-priorities-and-operational-planning-guidance/</w:t>
        </w:r>
      </w:hyperlink>
      <w:r>
        <w:t xml:space="preserve"> [Accessed on: 14 October 2026]. </w:t>
      </w:r>
    </w:p>
    <w:p w14:paraId="4294FE83" w14:textId="77777777" w:rsidR="009C6DB6" w:rsidRDefault="00436E0D">
      <w:pPr>
        <w:spacing w:line="360" w:lineRule="auto"/>
        <w:jc w:val="both"/>
      </w:pPr>
      <w:r>
        <w:rPr>
          <w:color w:val="1B1B1B"/>
        </w:rPr>
        <w:t xml:space="preserve">Niklasson, A., Maher, J., Patil, R., Sillén, H., Chen, J., Gwaltney, C., and Rydén, A. (2022) Living with heart failure: patient experiences and implications for physical activity and daily living. </w:t>
      </w:r>
      <w:r>
        <w:rPr>
          <w:i/>
          <w:iCs/>
          <w:color w:val="1B1B1B"/>
        </w:rPr>
        <w:t>ESC heart failure</w:t>
      </w:r>
      <w:r>
        <w:rPr>
          <w:color w:val="1B1B1B"/>
        </w:rPr>
        <w:t xml:space="preserve">, </w:t>
      </w:r>
      <w:r>
        <w:rPr>
          <w:i/>
          <w:iCs/>
          <w:color w:val="1B1B1B"/>
        </w:rPr>
        <w:t>9</w:t>
      </w:r>
      <w:r>
        <w:rPr>
          <w:color w:val="1B1B1B"/>
        </w:rPr>
        <w:t xml:space="preserve">(2), pp. 1206–1215. </w:t>
      </w:r>
      <w:hyperlink r:id="rId27">
        <w:r>
          <w:rPr>
            <w:color w:val="467886"/>
            <w:u w:val="single"/>
          </w:rPr>
          <w:t>https://doi.org/10.1002/ehf2.13795</w:t>
        </w:r>
      </w:hyperlink>
      <w:r>
        <w:rPr>
          <w:color w:val="1B1B1B"/>
        </w:rPr>
        <w:t xml:space="preserve"> </w:t>
      </w:r>
    </w:p>
    <w:p w14:paraId="68F4C459" w14:textId="77777777" w:rsidR="009C6DB6" w:rsidRDefault="00436E0D">
      <w:pPr>
        <w:spacing w:line="360" w:lineRule="auto"/>
        <w:jc w:val="both"/>
        <w:rPr>
          <w:color w:val="212121"/>
        </w:rPr>
      </w:pPr>
      <w:r>
        <w:rPr>
          <w:color w:val="212121"/>
        </w:rPr>
        <w:t xml:space="preserve">Oriani, A., Guo, P., Gadoud, A., Dunleavy, L., Kane, P., and Murtagh, F. E. M. (2019) What are the main symptoms and concerns reported by patients with advanced chronic heart failure?-a secondary analysis of the Palliative care Outcome Scale (POS) and Integrated Palliative care Outcome Scale (IPOS). </w:t>
      </w:r>
      <w:r>
        <w:rPr>
          <w:i/>
          <w:iCs/>
          <w:color w:val="212121"/>
        </w:rPr>
        <w:t>Annals of palliative medicine</w:t>
      </w:r>
      <w:r>
        <w:rPr>
          <w:color w:val="212121"/>
        </w:rPr>
        <w:t xml:space="preserve">, </w:t>
      </w:r>
      <w:r>
        <w:rPr>
          <w:i/>
          <w:iCs/>
          <w:color w:val="212121"/>
        </w:rPr>
        <w:t>8</w:t>
      </w:r>
      <w:r>
        <w:rPr>
          <w:color w:val="212121"/>
        </w:rPr>
        <w:t xml:space="preserve">(5), pp. 775–780. </w:t>
      </w:r>
      <w:hyperlink r:id="rId28">
        <w:r>
          <w:rPr>
            <w:color w:val="467886"/>
            <w:u w:val="single"/>
          </w:rPr>
          <w:t>https://doi.org/10.21037/apm.2019.08.10</w:t>
        </w:r>
      </w:hyperlink>
    </w:p>
    <w:p w14:paraId="111D8598" w14:textId="77777777" w:rsidR="009C6DB6" w:rsidRDefault="00436E0D">
      <w:pPr>
        <w:spacing w:line="360" w:lineRule="auto"/>
      </w:pPr>
      <w:r>
        <w:rPr>
          <w:color w:val="212121"/>
        </w:rPr>
        <w:t xml:space="preserve">Ran, J., Zhou, P., Wang, J., Zhao, X., Huang, Y., Zhou, Q., Zhai, M., and Zhang, Y. (2025) Global, regional, and national burden of heart failure and its underlying causes, 1990-2021: results from the global burden of disease study 2021. </w:t>
      </w:r>
      <w:r>
        <w:rPr>
          <w:i/>
          <w:iCs/>
          <w:color w:val="212121"/>
        </w:rPr>
        <w:t>Biomarker research</w:t>
      </w:r>
      <w:r>
        <w:rPr>
          <w:color w:val="212121"/>
        </w:rPr>
        <w:t xml:space="preserve">, </w:t>
      </w:r>
      <w:r>
        <w:rPr>
          <w:i/>
          <w:iCs/>
          <w:color w:val="212121"/>
        </w:rPr>
        <w:t>13</w:t>
      </w:r>
      <w:r>
        <w:rPr>
          <w:color w:val="212121"/>
        </w:rPr>
        <w:t xml:space="preserve">(1), pp. 16. </w:t>
      </w:r>
      <w:hyperlink r:id="rId29">
        <w:r>
          <w:rPr>
            <w:color w:val="467886"/>
            <w:u w:val="single"/>
          </w:rPr>
          <w:t>https://doi.org/10.1186/s40364-025-00728-8</w:t>
        </w:r>
      </w:hyperlink>
      <w:r>
        <w:rPr>
          <w:color w:val="212121"/>
        </w:rPr>
        <w:t xml:space="preserve"> </w:t>
      </w:r>
    </w:p>
    <w:p w14:paraId="349AC3FA" w14:textId="77777777" w:rsidR="009C6DB6" w:rsidRDefault="00436E0D">
      <w:pPr>
        <w:spacing w:line="360" w:lineRule="auto"/>
        <w:jc w:val="both"/>
      </w:pPr>
      <w:r>
        <w:rPr>
          <w:color w:val="1B1B1B"/>
        </w:rPr>
        <w:t xml:space="preserve">Shahim, B., Kapelios, C. J., Savarese, G., and Lund, L. H. (2023) Global Public Health Burden of Heart Failure: An Updated Review. </w:t>
      </w:r>
      <w:r>
        <w:rPr>
          <w:i/>
          <w:iCs/>
          <w:color w:val="1B1B1B"/>
        </w:rPr>
        <w:t>Cardiac failure review</w:t>
      </w:r>
      <w:r>
        <w:rPr>
          <w:color w:val="1B1B1B"/>
        </w:rPr>
        <w:t xml:space="preserve">, </w:t>
      </w:r>
      <w:r>
        <w:rPr>
          <w:i/>
          <w:iCs/>
          <w:color w:val="1B1B1B"/>
        </w:rPr>
        <w:t>9</w:t>
      </w:r>
      <w:r>
        <w:rPr>
          <w:color w:val="1B1B1B"/>
        </w:rPr>
        <w:t xml:space="preserve">, pp. e11. </w:t>
      </w:r>
      <w:hyperlink r:id="rId30">
        <w:r>
          <w:rPr>
            <w:color w:val="467886"/>
            <w:u w:val="single"/>
          </w:rPr>
          <w:t>https://doi.org/10.15420/cfr.2023.05</w:t>
        </w:r>
      </w:hyperlink>
      <w:r>
        <w:rPr>
          <w:rFonts w:ascii="Consolas" w:eastAsia="Consolas" w:hAnsi="Consolas" w:cs="Consolas"/>
          <w:color w:val="1B1B1B"/>
        </w:rPr>
        <w:t xml:space="preserve"> </w:t>
      </w:r>
    </w:p>
    <w:p w14:paraId="305D2AA8" w14:textId="77777777" w:rsidR="009C6DB6" w:rsidRDefault="00436E0D">
      <w:pPr>
        <w:spacing w:line="360" w:lineRule="auto"/>
        <w:jc w:val="both"/>
      </w:pPr>
      <w:r>
        <w:t xml:space="preserve">World Health Organization (2026) </w:t>
      </w:r>
      <w:r>
        <w:rPr>
          <w:i/>
          <w:iCs/>
        </w:rPr>
        <w:t>Innovative care for chronic conditions: building blocks for action. Geneva: World Health Organization</w:t>
      </w:r>
      <w:r>
        <w:t xml:space="preserve"> [Online. Available at: </w:t>
      </w:r>
      <w:hyperlink r:id="rId31">
        <w:r>
          <w:rPr>
            <w:color w:val="467886"/>
            <w:u w:val="single"/>
          </w:rPr>
          <w:t>https://www.who.int/publications/i/item/innovative-care-for-chronic-conditions-building-blocks-for-actions</w:t>
        </w:r>
      </w:hyperlink>
      <w:r>
        <w:t xml:space="preserve"> [Accessed on: 14 October 2026]. </w:t>
      </w:r>
    </w:p>
    <w:p w14:paraId="013A4AE6" w14:textId="77777777" w:rsidR="009C6DB6" w:rsidRDefault="009C6DB6">
      <w:pPr>
        <w:spacing w:line="360" w:lineRule="auto"/>
        <w:jc w:val="both"/>
        <w:rPr>
          <w:color w:val="212121"/>
        </w:rPr>
      </w:pPr>
    </w:p>
    <w:p w14:paraId="34580131" w14:textId="77777777" w:rsidR="009C6DB6" w:rsidRDefault="009C6DB6">
      <w:pPr>
        <w:jc w:val="both"/>
        <w:rPr>
          <w:color w:val="1B1B1B"/>
        </w:rPr>
      </w:pPr>
    </w:p>
    <w:sectPr w:rsidR="009C6DB6">
      <w:headerReference w:type="default" r:id="rId32"/>
      <w:footerReference w:type="default" r:id="rId33"/>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F5BBDE" w14:textId="77777777" w:rsidR="00436E0D" w:rsidRDefault="00436E0D">
      <w:pPr>
        <w:spacing w:after="0" w:line="240" w:lineRule="auto"/>
      </w:pPr>
      <w:r>
        <w:separator/>
      </w:r>
    </w:p>
  </w:endnote>
  <w:endnote w:type="continuationSeparator" w:id="0">
    <w:p w14:paraId="1CFD8C7F" w14:textId="77777777" w:rsidR="00436E0D" w:rsidRDefault="00436E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panose1 w:val="020B0502040504020204"/>
    <w:charset w:val="00"/>
    <w:family w:val="swiss"/>
    <w:pitch w:val="variable"/>
    <w:sig w:usb0="00000003" w:usb1="0200E0A0" w:usb2="00000000" w:usb3="00000000" w:csb0="00000001" w:csb1="00000000"/>
    <w:embedRegular r:id="rId3" w:fontKey="{00000000-0000-0000-0000-000000000000}"/>
    <w:embedBold r:id="rId4" w:fontKey="{00000000-0000-0000-0000-000000000000}"/>
  </w:font>
  <w:font w:name="Courier New">
    <w:panose1 w:val="02070309020205020404"/>
    <w:charset w:val="00"/>
    <w:family w:val="auto"/>
    <w:pitch w:val="default"/>
  </w:font>
  <w:font w:name="Times New Roman">
    <w:panose1 w:val="02020603050405020304"/>
    <w:charset w:val="00"/>
    <w:family w:val="roman"/>
    <w:pitch w:val="variable"/>
    <w:sig w:usb0="E0002EFF" w:usb1="C000785B" w:usb2="00000009" w:usb3="00000000" w:csb0="000001FF" w:csb1="00000000"/>
  </w:font>
  <w:font w:name="Play">
    <w:charset w:val="00"/>
    <w:family w:val="auto"/>
    <w:pitch w:val="default"/>
    <w:embedRegular r:id="rId5" w:fontKey="{D4F4BADD-03D6-544A-B53D-7A741395A8B6}"/>
    <w:embedBold r:id="rId6" w:fontKey="{1C85C09C-BAD8-274A-A9E3-A5E71B8B9D20}"/>
  </w:font>
  <w:font w:name="Georgia">
    <w:panose1 w:val="02040502050405020303"/>
    <w:charset w:val="00"/>
    <w:family w:val="auto"/>
    <w:pitch w:val="default"/>
  </w:font>
  <w:font w:name="Consolas">
    <w:panose1 w:val="020B0609020204030204"/>
    <w:charset w:val="00"/>
    <w:family w:val="modern"/>
    <w:pitch w:val="fixed"/>
    <w:sig w:usb0="E00006FF" w:usb1="0000FCFF" w:usb2="00000001" w:usb3="00000000" w:csb0="0000019F" w:csb1="00000000"/>
  </w:font>
  <w:font w:name="Aptos Display">
    <w:panose1 w:val="020B00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7A0EA8" w14:textId="77777777" w:rsidR="009C6DB6" w:rsidRDefault="009C6DB6">
    <w:pPr>
      <w:widowControl w:val="0"/>
      <w:pBdr>
        <w:top w:val="nil"/>
        <w:left w:val="nil"/>
        <w:bottom w:val="nil"/>
        <w:right w:val="nil"/>
        <w:between w:val="nil"/>
      </w:pBdr>
      <w:spacing w:after="0" w:line="276" w:lineRule="auto"/>
      <w:rPr>
        <w:color w:val="000000"/>
      </w:rPr>
    </w:pPr>
  </w:p>
  <w:tbl>
    <w:tblPr>
      <w:tblStyle w:val="a0"/>
      <w:tblW w:w="9015" w:type="dxa"/>
      <w:tblLayout w:type="fixed"/>
      <w:tblLook w:val="0600" w:firstRow="0" w:lastRow="0" w:firstColumn="0" w:lastColumn="0" w:noHBand="1" w:noVBand="1"/>
    </w:tblPr>
    <w:tblGrid>
      <w:gridCol w:w="3005"/>
      <w:gridCol w:w="3005"/>
      <w:gridCol w:w="3005"/>
    </w:tblGrid>
    <w:tr w:rsidR="009C6DB6" w14:paraId="5C19540E" w14:textId="77777777">
      <w:trPr>
        <w:trHeight w:val="300"/>
      </w:trPr>
      <w:tc>
        <w:tcPr>
          <w:tcW w:w="3005" w:type="dxa"/>
        </w:tcPr>
        <w:p w14:paraId="4290E918" w14:textId="77777777" w:rsidR="009C6DB6" w:rsidRDefault="009C6DB6">
          <w:pPr>
            <w:pBdr>
              <w:top w:val="nil"/>
              <w:left w:val="nil"/>
              <w:bottom w:val="nil"/>
              <w:right w:val="nil"/>
              <w:between w:val="nil"/>
            </w:pBdr>
            <w:tabs>
              <w:tab w:val="center" w:pos="4680"/>
              <w:tab w:val="right" w:pos="9360"/>
            </w:tabs>
            <w:spacing w:after="0" w:line="240" w:lineRule="auto"/>
            <w:ind w:left="-115"/>
            <w:rPr>
              <w:color w:val="000000"/>
            </w:rPr>
          </w:pPr>
        </w:p>
      </w:tc>
      <w:tc>
        <w:tcPr>
          <w:tcW w:w="3005" w:type="dxa"/>
        </w:tcPr>
        <w:p w14:paraId="4C4B220C" w14:textId="77777777" w:rsidR="009C6DB6" w:rsidRDefault="009C6DB6">
          <w:pPr>
            <w:pBdr>
              <w:top w:val="nil"/>
              <w:left w:val="nil"/>
              <w:bottom w:val="nil"/>
              <w:right w:val="nil"/>
              <w:between w:val="nil"/>
            </w:pBdr>
            <w:tabs>
              <w:tab w:val="center" w:pos="4680"/>
              <w:tab w:val="right" w:pos="9360"/>
            </w:tabs>
            <w:spacing w:after="0" w:line="240" w:lineRule="auto"/>
            <w:jc w:val="center"/>
            <w:rPr>
              <w:color w:val="000000"/>
            </w:rPr>
          </w:pPr>
        </w:p>
      </w:tc>
      <w:tc>
        <w:tcPr>
          <w:tcW w:w="3005" w:type="dxa"/>
        </w:tcPr>
        <w:p w14:paraId="796613FA" w14:textId="77777777" w:rsidR="009C6DB6" w:rsidRDefault="00436E0D">
          <w:pPr>
            <w:pBdr>
              <w:top w:val="nil"/>
              <w:left w:val="nil"/>
              <w:bottom w:val="nil"/>
              <w:right w:val="nil"/>
              <w:between w:val="nil"/>
            </w:pBdr>
            <w:tabs>
              <w:tab w:val="center" w:pos="4680"/>
              <w:tab w:val="right" w:pos="9360"/>
            </w:tabs>
            <w:spacing w:after="0" w:line="240" w:lineRule="auto"/>
            <w:ind w:right="-115"/>
            <w:jc w:val="right"/>
            <w:rPr>
              <w:color w:val="000000"/>
            </w:rPr>
          </w:pPr>
          <w:r>
            <w:rPr>
              <w:color w:val="000000"/>
            </w:rPr>
            <w:fldChar w:fldCharType="begin"/>
          </w:r>
          <w:r>
            <w:rPr>
              <w:color w:val="000000"/>
            </w:rPr>
            <w:instrText>PAGE</w:instrText>
          </w:r>
          <w:r>
            <w:rPr>
              <w:color w:val="000000"/>
            </w:rPr>
            <w:fldChar w:fldCharType="separate"/>
          </w:r>
          <w:r>
            <w:rPr>
              <w:color w:val="000000"/>
            </w:rPr>
            <w:fldChar w:fldCharType="end"/>
          </w:r>
        </w:p>
      </w:tc>
    </w:tr>
  </w:tbl>
  <w:p w14:paraId="52BA8F0D" w14:textId="77777777" w:rsidR="009C6DB6" w:rsidRDefault="009C6DB6">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B8C679" w14:textId="77777777" w:rsidR="00436E0D" w:rsidRDefault="00436E0D">
      <w:pPr>
        <w:spacing w:after="0" w:line="240" w:lineRule="auto"/>
      </w:pPr>
      <w:r>
        <w:separator/>
      </w:r>
    </w:p>
  </w:footnote>
  <w:footnote w:type="continuationSeparator" w:id="0">
    <w:p w14:paraId="0694E679" w14:textId="77777777" w:rsidR="00436E0D" w:rsidRDefault="00436E0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3E1AD3" w14:textId="77777777" w:rsidR="009C6DB6" w:rsidRDefault="009C6DB6">
    <w:pPr>
      <w:widowControl w:val="0"/>
      <w:pBdr>
        <w:top w:val="nil"/>
        <w:left w:val="nil"/>
        <w:bottom w:val="nil"/>
        <w:right w:val="nil"/>
        <w:between w:val="nil"/>
      </w:pBdr>
      <w:spacing w:after="0" w:line="276" w:lineRule="auto"/>
      <w:rPr>
        <w:color w:val="1B1B1B"/>
      </w:rPr>
    </w:pPr>
  </w:p>
  <w:tbl>
    <w:tblPr>
      <w:tblStyle w:val="a"/>
      <w:tblW w:w="9015" w:type="dxa"/>
      <w:tblLayout w:type="fixed"/>
      <w:tblLook w:val="0600" w:firstRow="0" w:lastRow="0" w:firstColumn="0" w:lastColumn="0" w:noHBand="1" w:noVBand="1"/>
    </w:tblPr>
    <w:tblGrid>
      <w:gridCol w:w="3005"/>
      <w:gridCol w:w="3005"/>
      <w:gridCol w:w="3005"/>
    </w:tblGrid>
    <w:tr w:rsidR="009C6DB6" w14:paraId="2DC71D5F" w14:textId="77777777">
      <w:trPr>
        <w:trHeight w:val="300"/>
      </w:trPr>
      <w:tc>
        <w:tcPr>
          <w:tcW w:w="3005" w:type="dxa"/>
        </w:tcPr>
        <w:p w14:paraId="7397C027" w14:textId="77777777" w:rsidR="009C6DB6" w:rsidRDefault="009C6DB6">
          <w:pPr>
            <w:pBdr>
              <w:top w:val="nil"/>
              <w:left w:val="nil"/>
              <w:bottom w:val="nil"/>
              <w:right w:val="nil"/>
              <w:between w:val="nil"/>
            </w:pBdr>
            <w:tabs>
              <w:tab w:val="center" w:pos="4680"/>
              <w:tab w:val="right" w:pos="9360"/>
            </w:tabs>
            <w:spacing w:after="0" w:line="240" w:lineRule="auto"/>
            <w:ind w:left="-115"/>
            <w:rPr>
              <w:color w:val="000000"/>
            </w:rPr>
          </w:pPr>
        </w:p>
      </w:tc>
      <w:tc>
        <w:tcPr>
          <w:tcW w:w="3005" w:type="dxa"/>
        </w:tcPr>
        <w:p w14:paraId="1FB39E84" w14:textId="77777777" w:rsidR="009C6DB6" w:rsidRDefault="009C6DB6">
          <w:pPr>
            <w:pBdr>
              <w:top w:val="nil"/>
              <w:left w:val="nil"/>
              <w:bottom w:val="nil"/>
              <w:right w:val="nil"/>
              <w:between w:val="nil"/>
            </w:pBdr>
            <w:tabs>
              <w:tab w:val="center" w:pos="4680"/>
              <w:tab w:val="right" w:pos="9360"/>
            </w:tabs>
            <w:spacing w:after="0" w:line="240" w:lineRule="auto"/>
            <w:jc w:val="center"/>
            <w:rPr>
              <w:color w:val="000000"/>
            </w:rPr>
          </w:pPr>
        </w:p>
      </w:tc>
      <w:tc>
        <w:tcPr>
          <w:tcW w:w="3005" w:type="dxa"/>
        </w:tcPr>
        <w:p w14:paraId="48D4FBA7" w14:textId="77777777" w:rsidR="009C6DB6" w:rsidRDefault="009C6DB6">
          <w:pPr>
            <w:pBdr>
              <w:top w:val="nil"/>
              <w:left w:val="nil"/>
              <w:bottom w:val="nil"/>
              <w:right w:val="nil"/>
              <w:between w:val="nil"/>
            </w:pBdr>
            <w:tabs>
              <w:tab w:val="center" w:pos="4680"/>
              <w:tab w:val="right" w:pos="9360"/>
            </w:tabs>
            <w:spacing w:after="0" w:line="240" w:lineRule="auto"/>
            <w:ind w:right="-115"/>
            <w:jc w:val="right"/>
            <w:rPr>
              <w:color w:val="000000"/>
            </w:rPr>
          </w:pPr>
        </w:p>
      </w:tc>
    </w:tr>
  </w:tbl>
  <w:p w14:paraId="4ABE87F9" w14:textId="77777777" w:rsidR="009C6DB6" w:rsidRDefault="009C6DB6">
    <w:pPr>
      <w:pBdr>
        <w:top w:val="nil"/>
        <w:left w:val="nil"/>
        <w:bottom w:val="nil"/>
        <w:right w:val="nil"/>
        <w:between w:val="nil"/>
      </w:pBdr>
      <w:tabs>
        <w:tab w:val="center" w:pos="4680"/>
        <w:tab w:val="right" w:pos="9360"/>
      </w:tabs>
      <w:spacing w:after="0"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6E77BEB"/>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52750A3F"/>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7F15173D"/>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675837770">
    <w:abstractNumId w:val="0"/>
  </w:num>
  <w:num w:numId="2" w16cid:durableId="1849641113">
    <w:abstractNumId w:val="2"/>
  </w:num>
  <w:num w:numId="3" w16cid:durableId="51754994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embedTrueTypeFonts/>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C6DB6"/>
    <w:rsid w:val="0002643E"/>
    <w:rsid w:val="00137802"/>
    <w:rsid w:val="00436E0D"/>
    <w:rsid w:val="006C266E"/>
    <w:rsid w:val="008D5AA4"/>
    <w:rsid w:val="009C6DB6"/>
    <w:rsid w:val="00ED2FE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4:docId w14:val="35E3E720"/>
  <w15:docId w15:val="{949C566D-35D9-9F4F-A878-8D499AC1EC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eastAsia="en-US"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360" w:after="80"/>
      <w:outlineLvl w:val="0"/>
    </w:pPr>
    <w:rPr>
      <w:rFonts w:ascii="Play" w:eastAsia="Play" w:hAnsi="Play" w:cs="Play"/>
      <w:color w:val="0F4761"/>
      <w:sz w:val="40"/>
      <w:szCs w:val="40"/>
    </w:rPr>
  </w:style>
  <w:style w:type="paragraph" w:styleId="Heading2">
    <w:name w:val="heading 2"/>
    <w:basedOn w:val="Normal"/>
    <w:next w:val="Normal"/>
    <w:uiPriority w:val="9"/>
    <w:unhideWhenUsed/>
    <w:qFormat/>
    <w:pPr>
      <w:keepNext/>
      <w:keepLines/>
      <w:spacing w:before="160" w:after="80"/>
      <w:outlineLvl w:val="1"/>
    </w:pPr>
    <w:rPr>
      <w:rFonts w:ascii="Play" w:eastAsia="Play" w:hAnsi="Play" w:cs="Play"/>
      <w:color w:val="0F4761"/>
      <w:sz w:val="32"/>
      <w:szCs w:val="32"/>
    </w:rPr>
  </w:style>
  <w:style w:type="paragraph" w:styleId="Heading3">
    <w:name w:val="heading 3"/>
    <w:basedOn w:val="Normal"/>
    <w:next w:val="Normal"/>
    <w:uiPriority w:val="9"/>
    <w:unhideWhenUsed/>
    <w:qFormat/>
    <w:pPr>
      <w:keepNext/>
      <w:keepLines/>
      <w:spacing w:before="160" w:after="80"/>
      <w:outlineLvl w:val="2"/>
    </w:pPr>
    <w:rPr>
      <w:color w:val="0F4761"/>
      <w:sz w:val="28"/>
      <w:szCs w:val="28"/>
    </w:rPr>
  </w:style>
  <w:style w:type="paragraph" w:styleId="Heading4">
    <w:name w:val="heading 4"/>
    <w:basedOn w:val="Normal"/>
    <w:next w:val="Normal"/>
    <w:uiPriority w:val="9"/>
    <w:semiHidden/>
    <w:unhideWhenUsed/>
    <w:qFormat/>
    <w:pPr>
      <w:keepNext/>
      <w:keepLines/>
      <w:spacing w:before="240" w:after="40"/>
      <w:outlineLvl w:val="3"/>
    </w:pPr>
    <w:rPr>
      <w:b/>
      <w:bCs/>
    </w:rPr>
  </w:style>
  <w:style w:type="paragraph" w:styleId="Heading5">
    <w:name w:val="heading 5"/>
    <w:basedOn w:val="Normal"/>
    <w:next w:val="Normal"/>
    <w:uiPriority w:val="9"/>
    <w:semiHidden/>
    <w:unhideWhenUsed/>
    <w:qFormat/>
    <w:pPr>
      <w:keepNext/>
      <w:keepLines/>
      <w:spacing w:before="220" w:after="40"/>
      <w:outlineLvl w:val="4"/>
    </w:pPr>
    <w:rPr>
      <w:b/>
      <w:bCs/>
      <w:sz w:val="22"/>
      <w:szCs w:val="22"/>
    </w:rPr>
  </w:style>
  <w:style w:type="paragraph" w:styleId="Heading6">
    <w:name w:val="heading 6"/>
    <w:basedOn w:val="Normal"/>
    <w:next w:val="Normal"/>
    <w:uiPriority w:val="9"/>
    <w:semiHidden/>
    <w:unhideWhenUsed/>
    <w:qFormat/>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character" w:styleId="Hyperlink">
    <w:name w:val="Hyperlink"/>
    <w:basedOn w:val="DefaultParagraphFont"/>
    <w:uiPriority w:val="99"/>
    <w:unhideWhenUsed/>
    <w:rsid w:val="60E0F000"/>
    <w:rPr>
      <w:color w:val="467886"/>
      <w:u w:val="single"/>
    </w:rPr>
  </w:style>
  <w:style w:type="paragraph" w:styleId="ListParagraph">
    <w:name w:val="List Paragraph"/>
    <w:basedOn w:val="Normal"/>
    <w:uiPriority w:val="34"/>
    <w:qFormat/>
    <w:rsid w:val="11C7BFED"/>
    <w:pPr>
      <w:ind w:left="720"/>
      <w:contextualSpacing/>
    </w:pPr>
  </w:style>
  <w:style w:type="paragraph" w:styleId="Header">
    <w:name w:val="header"/>
    <w:basedOn w:val="Normal"/>
    <w:uiPriority w:val="99"/>
    <w:unhideWhenUsed/>
    <w:rsid w:val="11C7BFED"/>
    <w:pPr>
      <w:tabs>
        <w:tab w:val="center" w:pos="4680"/>
        <w:tab w:val="right" w:pos="9360"/>
      </w:tabs>
      <w:spacing w:after="0" w:line="240" w:lineRule="auto"/>
    </w:pPr>
  </w:style>
  <w:style w:type="paragraph" w:styleId="Footer">
    <w:name w:val="footer"/>
    <w:basedOn w:val="Normal"/>
    <w:uiPriority w:val="99"/>
    <w:unhideWhenUsed/>
    <w:rsid w:val="11C7BFED"/>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1">
    <w:name w:val="toc 1"/>
    <w:basedOn w:val="Normal"/>
    <w:next w:val="Normal"/>
    <w:uiPriority w:val="39"/>
    <w:unhideWhenUsed/>
    <w:rsid w:val="0279A2B7"/>
    <w:pPr>
      <w:spacing w:after="100"/>
    </w:pPr>
  </w:style>
  <w:style w:type="paragraph" w:styleId="TOC2">
    <w:name w:val="toc 2"/>
    <w:basedOn w:val="Normal"/>
    <w:next w:val="Normal"/>
    <w:uiPriority w:val="39"/>
    <w:unhideWhenUsed/>
    <w:rsid w:val="0279A2B7"/>
    <w:pPr>
      <w:spacing w:after="100"/>
      <w:ind w:left="220"/>
    </w:pPr>
  </w:style>
  <w:style w:type="paragraph" w:styleId="TOC3">
    <w:name w:val="toc 3"/>
    <w:basedOn w:val="Normal"/>
    <w:next w:val="Normal"/>
    <w:uiPriority w:val="39"/>
    <w:unhideWhenUsed/>
    <w:rsid w:val="0279A2B7"/>
    <w:pPr>
      <w:spacing w:after="100"/>
      <w:ind w:left="440"/>
    </w:p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customStyle="1" w:styleId="a">
    <w:basedOn w:val="TableNormal"/>
    <w:tblPr>
      <w:tblStyleRowBandSize w:val="1"/>
      <w:tblStyleColBandSize w:val="1"/>
    </w:tblPr>
  </w:style>
  <w:style w:type="table" w:customStyle="1" w:styleId="a0">
    <w:basedOn w:val="TableNormal"/>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www.bhf.org.uk/what-we-do/our-research/heart-conditions-research/heart-failure-research" TargetMode="External" /><Relationship Id="rId18" Type="http://schemas.openxmlformats.org/officeDocument/2006/relationships/hyperlink" Target="https://doi.org/10.2196/jmir.4067" TargetMode="External" /><Relationship Id="rId26" Type="http://schemas.openxmlformats.org/officeDocument/2006/relationships/hyperlink" Target="https://www.england.nhs.uk/long-read/2024-25-priorities-and-operational-planning-guidance/" TargetMode="External" /><Relationship Id="rId3" Type="http://schemas.openxmlformats.org/officeDocument/2006/relationships/styles" Target="styles.xml" /><Relationship Id="rId21" Type="http://schemas.openxmlformats.org/officeDocument/2006/relationships/hyperlink" Target="https://doi.org/10.1016/j.jacc.2017.08.036" TargetMode="External" /><Relationship Id="rId34" Type="http://schemas.openxmlformats.org/officeDocument/2006/relationships/fontTable" Target="fontTable.xml" /><Relationship Id="rId7" Type="http://schemas.openxmlformats.org/officeDocument/2006/relationships/endnotes" Target="endnotes.xml" /><Relationship Id="rId12" Type="http://schemas.openxmlformats.org/officeDocument/2006/relationships/hyperlink" Target="https://www.bhf.org.uk/what-we-do/our-research/heart-and-circulatory-diseases-in-numbers/heart-and-circulatory-disease-in-context" TargetMode="External" /><Relationship Id="rId17" Type="http://schemas.openxmlformats.org/officeDocument/2006/relationships/hyperlink" Target="https://doi.org/10.2196/44629" TargetMode="External" /><Relationship Id="rId25" Type="http://schemas.openxmlformats.org/officeDocument/2006/relationships/hyperlink" Target="https://www.nhlbi.nih.gov/health/heart-failure/causes" TargetMode="External" /><Relationship Id="rId33" Type="http://schemas.openxmlformats.org/officeDocument/2006/relationships/footer" Target="footer1.xml" /><Relationship Id="rId2" Type="http://schemas.openxmlformats.org/officeDocument/2006/relationships/numbering" Target="numbering.xml" /><Relationship Id="rId16" Type="http://schemas.openxmlformats.org/officeDocument/2006/relationships/hyperlink" Target="https://doi.org/10.1891/RTNP-2022-0084" TargetMode="External" /><Relationship Id="rId20" Type="http://schemas.openxmlformats.org/officeDocument/2006/relationships/hyperlink" Target="https://doi.org/10.1186/s12913-024-11922-z" TargetMode="External" /><Relationship Id="rId29" Type="http://schemas.openxmlformats.org/officeDocument/2006/relationships/hyperlink" Target="https://doi.org/10.1186/s40364-025-00728-8"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jpg" /><Relationship Id="rId24" Type="http://schemas.openxmlformats.org/officeDocument/2006/relationships/hyperlink" Target="https://www.nice.org.uk/guidance/ng106" TargetMode="External" /><Relationship Id="rId32" Type="http://schemas.openxmlformats.org/officeDocument/2006/relationships/header" Target="header1.xml" /><Relationship Id="rId5" Type="http://schemas.openxmlformats.org/officeDocument/2006/relationships/webSettings" Target="webSettings.xml" /><Relationship Id="rId15" Type="http://schemas.openxmlformats.org/officeDocument/2006/relationships/hyperlink" Target="https://doi.org/10.1093/ehjopen/oeab045" TargetMode="External" /><Relationship Id="rId23" Type="http://schemas.openxmlformats.org/officeDocument/2006/relationships/hyperlink" Target="https://doi.org/10.1371/journal.pone.0248240" TargetMode="External" /><Relationship Id="rId28" Type="http://schemas.openxmlformats.org/officeDocument/2006/relationships/hyperlink" Target="https://doi.org/10.21037/apm.2019.08.10" TargetMode="External" /><Relationship Id="rId10" Type="http://schemas.openxmlformats.org/officeDocument/2006/relationships/image" Target="media/image3.png" /><Relationship Id="rId19" Type="http://schemas.openxmlformats.org/officeDocument/2006/relationships/hyperlink" Target="https://doi.org/10.1016/j.jchf.2024.01.010" TargetMode="External" /><Relationship Id="rId31" Type="http://schemas.openxmlformats.org/officeDocument/2006/relationships/hyperlink" Target="https://www.who.int/publications/i/item/innovative-care-for-chronic-conditions-building-blocks-for-actions" TargetMode="Externa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yperlink" Target="https://www.bhf.org.uk/-/media/files/for-professionals/research/heart-statistics/bhf-cvd-statistics-uk-factsheet-jul26.pdf?rev=b4564e3e00504d778ad2db7efea92a76&amp;hash=FB19A378FA741A72E8B88EA14015ED7D" TargetMode="External" /><Relationship Id="rId22" Type="http://schemas.openxmlformats.org/officeDocument/2006/relationships/hyperlink" Target="https://doi.org/10.4070/kcj.2022.0211" TargetMode="External" /><Relationship Id="rId27" Type="http://schemas.openxmlformats.org/officeDocument/2006/relationships/hyperlink" Target="https://doi.org/10.1002/ehf2.13795" TargetMode="External" /><Relationship Id="rId30" Type="http://schemas.openxmlformats.org/officeDocument/2006/relationships/hyperlink" Target="https://doi.org/10.15420/cfr.2023.05" TargetMode="External" /><Relationship Id="rId35" Type="http://schemas.openxmlformats.org/officeDocument/2006/relationships/theme" Target="theme/theme1.xml" /></Relationships>
</file>

<file path=word/_rels/fontTable.xml.rels><?xml version="1.0" encoding="UTF-8" standalone="yes"?>
<Relationships xmlns="http://schemas.openxmlformats.org/package/2006/relationships"><Relationship Id="rId3" Type="http://schemas.openxmlformats.org/officeDocument/2006/relationships/font" Target="fonts/NotoSansSymbols-regular.ttf" /><Relationship Id="rId6" Type="http://schemas.openxmlformats.org/officeDocument/2006/relationships/font" Target="fonts/font2.odttf" /><Relationship Id="rId5" Type="http://schemas.openxmlformats.org/officeDocument/2006/relationships/font" Target="fonts/font1.odttf" /><Relationship Id="rId4" Type="http://schemas.openxmlformats.org/officeDocument/2006/relationships/font" Target="fonts/NotoSansSymbols-bol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imes New Roman"/>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AqZZvUPhVsSEfKs5h6IPwnoTD0g==">CgMxLjAyDmgucDl5emN2YnB6MXIzMg5oLnA2bmpnanF5OHVueDIOaC5iM2F5N29penh2cHoyDmgucDhzN2FodTdiZ2oyMg5oLnNudTY1cnk0a2dhZzIOaC5hejduMmN0NmQzYncyDmgud3ZmbTVjYXQxbnZuMg5oLmNmcGF1eTN5MGt2cTIOaC5wbnJ1YXk5YTY2Z3gyDmgucTNqNjRncHk1MG5rOAByITF0Y3lPendRVjlXU3d4NHFEaGIwWWJ6c1JPcllYUEZRdw==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4481</Words>
  <Characters>25545</Characters>
  <Application>Microsoft Office Word</Application>
  <DocSecurity>0</DocSecurity>
  <Lines>212</Lines>
  <Paragraphs>59</Paragraphs>
  <ScaleCrop>false</ScaleCrop>
  <Company/>
  <LinksUpToDate>false</LinksUpToDate>
  <CharactersWithSpaces>29967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Priti Malde Odedara</cp:lastModifiedBy>
  <cp:revision>2</cp:revision>
  <dcterms:created xsi:type="dcterms:W3CDTF">2026-10-22T10:07:00Z</dcterms:created>
  <dcterms:modified xsi:type="dcterms:W3CDTF">2026-10-22T10:07:00Z</dcterms:modified>
</cp:coreProperties>
</file>