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B09BF86" wp14:paraId="1BC3CF30" wp14:textId="0BC5D729">
      <w:pPr>
        <w:pStyle w:val="NoSpacing"/>
        <w:spacing w:after="0"/>
        <w:rPr>
          <w:rFonts w:ascii="Aptos Display" w:hAnsi="Aptos Display" w:eastAsia="Aptos Display" w:cs="Aptos Display"/>
          <w:b w:val="0"/>
          <w:bCs w:val="0"/>
          <w:i w:val="0"/>
          <w:iCs w:val="0"/>
          <w:caps w:val="0"/>
          <w:smallCaps w:val="0"/>
          <w:noProof w:val="0"/>
          <w:color w:val="000000" w:themeColor="text1" w:themeTint="FF" w:themeShade="FF"/>
          <w:sz w:val="32"/>
          <w:szCs w:val="32"/>
          <w:lang w:val="en-US"/>
        </w:rPr>
      </w:pPr>
      <w:r w:rsidRPr="3B09BF86" w:rsidR="661C6EDB">
        <w:rPr>
          <w:rFonts w:ascii="Aptos Display" w:hAnsi="Aptos Display" w:eastAsia="Aptos Display" w:cs="Aptos Display"/>
          <w:b w:val="1"/>
          <w:bCs w:val="1"/>
          <w:i w:val="0"/>
          <w:iCs w:val="0"/>
          <w:caps w:val="0"/>
          <w:smallCaps w:val="0"/>
          <w:noProof w:val="0"/>
          <w:color w:val="000000" w:themeColor="text1" w:themeTint="FF" w:themeShade="FF"/>
          <w:sz w:val="32"/>
          <w:szCs w:val="32"/>
          <w:lang w:val="en-US"/>
        </w:rPr>
        <w:t xml:space="preserve">Student Name - Simon Canby </w:t>
      </w:r>
    </w:p>
    <w:p xmlns:wp14="http://schemas.microsoft.com/office/word/2010/wordml" w:rsidP="3B09BF86" wp14:paraId="38991FB0" wp14:textId="2E8C6C09">
      <w:pPr>
        <w:pStyle w:val="NoSpacing"/>
        <w:spacing w:after="0"/>
        <w:rPr>
          <w:rFonts w:ascii="Aptos Display" w:hAnsi="Aptos Display" w:eastAsia="Aptos Display" w:cs="Aptos Display"/>
          <w:b w:val="0"/>
          <w:bCs w:val="0"/>
          <w:i w:val="0"/>
          <w:iCs w:val="0"/>
          <w:caps w:val="0"/>
          <w:smallCaps w:val="0"/>
          <w:noProof w:val="0"/>
          <w:color w:val="000000" w:themeColor="text1" w:themeTint="FF" w:themeShade="FF"/>
          <w:sz w:val="32"/>
          <w:szCs w:val="32"/>
          <w:lang w:val="en-US"/>
        </w:rPr>
      </w:pPr>
      <w:r w:rsidRPr="3B09BF86" w:rsidR="661C6EDB">
        <w:rPr>
          <w:rFonts w:ascii="Aptos Display" w:hAnsi="Aptos Display" w:eastAsia="Aptos Display" w:cs="Aptos Display"/>
          <w:b w:val="1"/>
          <w:bCs w:val="1"/>
          <w:i w:val="0"/>
          <w:iCs w:val="0"/>
          <w:caps w:val="0"/>
          <w:smallCaps w:val="0"/>
          <w:noProof w:val="0"/>
          <w:color w:val="000000" w:themeColor="text1" w:themeTint="FF" w:themeShade="FF"/>
          <w:sz w:val="32"/>
          <w:szCs w:val="32"/>
          <w:lang w:val="en-US"/>
        </w:rPr>
        <w:t xml:space="preserve">Student Number - 2304206 </w:t>
      </w:r>
    </w:p>
    <w:p xmlns:wp14="http://schemas.microsoft.com/office/word/2010/wordml" w:rsidP="3B09BF86" wp14:paraId="4516F02D" wp14:textId="49B044AA">
      <w:pPr>
        <w:pStyle w:val="NoSpacing"/>
        <w:spacing w:after="0"/>
        <w:rPr>
          <w:rFonts w:ascii="Aptos Display" w:hAnsi="Aptos Display" w:eastAsia="Aptos Display" w:cs="Aptos Display"/>
          <w:b w:val="0"/>
          <w:bCs w:val="0"/>
          <w:i w:val="0"/>
          <w:iCs w:val="0"/>
          <w:caps w:val="0"/>
          <w:smallCaps w:val="0"/>
          <w:noProof w:val="0"/>
          <w:color w:val="000000" w:themeColor="text1" w:themeTint="FF" w:themeShade="FF"/>
          <w:sz w:val="32"/>
          <w:szCs w:val="32"/>
          <w:lang w:val="en-US"/>
        </w:rPr>
      </w:pPr>
      <w:r w:rsidRPr="3B09BF86" w:rsidR="661C6EDB">
        <w:rPr>
          <w:rFonts w:ascii="Aptos Display" w:hAnsi="Aptos Display" w:eastAsia="Aptos Display" w:cs="Aptos Display"/>
          <w:b w:val="1"/>
          <w:bCs w:val="1"/>
          <w:i w:val="0"/>
          <w:iCs w:val="0"/>
          <w:caps w:val="0"/>
          <w:smallCaps w:val="0"/>
          <w:noProof w:val="0"/>
          <w:color w:val="000000" w:themeColor="text1" w:themeTint="FF" w:themeShade="FF"/>
          <w:sz w:val="32"/>
          <w:szCs w:val="32"/>
          <w:lang w:val="en-US"/>
        </w:rPr>
        <w:t xml:space="preserve">Independent project – Review </w:t>
      </w:r>
    </w:p>
    <w:p xmlns:wp14="http://schemas.microsoft.com/office/word/2010/wordml" w:rsidP="3B09BF86" wp14:paraId="70F6F200" wp14:textId="1E1E2748">
      <w:pPr>
        <w:pStyle w:val="NoSpacing"/>
        <w:spacing w:after="0"/>
        <w:rPr>
          <w:rFonts w:ascii="Aptos Display" w:hAnsi="Aptos Display" w:eastAsia="Aptos Display" w:cs="Aptos Display"/>
          <w:b w:val="0"/>
          <w:bCs w:val="0"/>
          <w:i w:val="0"/>
          <w:iCs w:val="0"/>
          <w:caps w:val="0"/>
          <w:smallCaps w:val="0"/>
          <w:noProof w:val="0"/>
          <w:color w:val="000000" w:themeColor="text1" w:themeTint="FF" w:themeShade="FF"/>
          <w:sz w:val="32"/>
          <w:szCs w:val="32"/>
          <w:lang w:val="en-US"/>
        </w:rPr>
      </w:pPr>
      <w:r w:rsidRPr="3B09BF86" w:rsidR="661C6EDB">
        <w:rPr>
          <w:rFonts w:ascii="Aptos Display" w:hAnsi="Aptos Display" w:eastAsia="Aptos Display" w:cs="Aptos Display"/>
          <w:b w:val="1"/>
          <w:bCs w:val="1"/>
          <w:i w:val="0"/>
          <w:iCs w:val="0"/>
          <w:caps w:val="0"/>
          <w:smallCaps w:val="0"/>
          <w:noProof w:val="0"/>
          <w:color w:val="000000" w:themeColor="text1" w:themeTint="FF" w:themeShade="FF"/>
          <w:sz w:val="32"/>
          <w:szCs w:val="32"/>
          <w:lang w:val="en-US"/>
        </w:rPr>
        <w:t xml:space="preserve">Lecture - Scott James </w:t>
      </w:r>
    </w:p>
    <w:p xmlns:wp14="http://schemas.microsoft.com/office/word/2010/wordml" w:rsidP="3B09BF86" wp14:paraId="0460E8BF" wp14:textId="4F22CB7E">
      <w:pPr>
        <w:pStyle w:val="NoSpacing"/>
        <w:spacing w:after="0"/>
        <w:rPr>
          <w:rFonts w:ascii="Aptos Display" w:hAnsi="Aptos Display" w:eastAsia="Aptos Display" w:cs="Aptos Display"/>
          <w:b w:val="0"/>
          <w:bCs w:val="0"/>
          <w:i w:val="0"/>
          <w:iCs w:val="0"/>
          <w:caps w:val="0"/>
          <w:smallCaps w:val="0"/>
          <w:noProof w:val="0"/>
          <w:color w:val="000000" w:themeColor="text1" w:themeTint="FF" w:themeShade="FF"/>
          <w:sz w:val="32"/>
          <w:szCs w:val="32"/>
          <w:lang w:val="en-US"/>
        </w:rPr>
      </w:pPr>
      <w:r w:rsidRPr="3B09BF86" w:rsidR="661C6EDB">
        <w:rPr>
          <w:rFonts w:ascii="Aptos Display" w:hAnsi="Aptos Display" w:eastAsia="Aptos Display" w:cs="Aptos Display"/>
          <w:b w:val="1"/>
          <w:bCs w:val="1"/>
          <w:i w:val="0"/>
          <w:iCs w:val="0"/>
          <w:caps w:val="0"/>
          <w:smallCaps w:val="0"/>
          <w:noProof w:val="0"/>
          <w:color w:val="000000" w:themeColor="text1" w:themeTint="FF" w:themeShade="FF"/>
          <w:sz w:val="32"/>
          <w:szCs w:val="32"/>
          <w:lang w:val="en-US"/>
        </w:rPr>
        <w:t>Module handbook - BMTP6015</w:t>
      </w:r>
    </w:p>
    <w:p xmlns:wp14="http://schemas.microsoft.com/office/word/2010/wordml" w:rsidP="3B09BF86" wp14:paraId="0F3F1EC1" wp14:textId="4D2E358F">
      <w:pPr>
        <w:pStyle w:val="NoSpacing"/>
        <w:rPr>
          <w:b w:val="1"/>
          <w:bCs w:val="1"/>
          <w:noProof w:val="0"/>
          <w:sz w:val="32"/>
          <w:szCs w:val="32"/>
          <w:lang w:val="en-US"/>
        </w:rPr>
      </w:pPr>
    </w:p>
    <w:p xmlns:wp14="http://schemas.microsoft.com/office/word/2010/wordml" w:rsidP="1B6E5744" wp14:paraId="00306F6D" wp14:textId="38F9B59B">
      <w:pPr>
        <w:rPr>
          <w:b w:val="1"/>
          <w:bCs w:val="1"/>
          <w:u w:val="single"/>
        </w:rPr>
      </w:pPr>
    </w:p>
    <w:p xmlns:wp14="http://schemas.microsoft.com/office/word/2010/wordml" w:rsidP="1B6E5744" wp14:paraId="5E0949D9" wp14:textId="5825A791">
      <w:pPr>
        <w:rPr>
          <w:b w:val="1"/>
          <w:bCs w:val="1"/>
          <w:u w:val="single"/>
        </w:rPr>
      </w:pPr>
    </w:p>
    <w:p xmlns:wp14="http://schemas.microsoft.com/office/word/2010/wordml" w:rsidP="1B6E5744" wp14:paraId="1F08D7FB" wp14:textId="56A54894">
      <w:pPr>
        <w:rPr>
          <w:b w:val="1"/>
          <w:bCs w:val="1"/>
          <w:u w:val="single"/>
        </w:rPr>
      </w:pPr>
    </w:p>
    <w:p xmlns:wp14="http://schemas.microsoft.com/office/word/2010/wordml" w:rsidP="1B6E5744" wp14:paraId="1B3A2930" wp14:textId="4F8E9625">
      <w:pPr>
        <w:rPr>
          <w:b w:val="1"/>
          <w:bCs w:val="1"/>
          <w:u w:val="single"/>
        </w:rPr>
      </w:pPr>
    </w:p>
    <w:p xmlns:wp14="http://schemas.microsoft.com/office/word/2010/wordml" w:rsidP="1B6E5744" wp14:paraId="0496C155" wp14:textId="06247F6C">
      <w:pPr>
        <w:rPr>
          <w:b w:val="1"/>
          <w:bCs w:val="1"/>
          <w:u w:val="single"/>
        </w:rPr>
      </w:pPr>
    </w:p>
    <w:p xmlns:wp14="http://schemas.microsoft.com/office/word/2010/wordml" w:rsidP="1B6E5744" wp14:paraId="74B17499" wp14:textId="4FB344C3">
      <w:pPr>
        <w:rPr>
          <w:b w:val="1"/>
          <w:bCs w:val="1"/>
          <w:u w:val="single"/>
        </w:rPr>
      </w:pPr>
    </w:p>
    <w:p xmlns:wp14="http://schemas.microsoft.com/office/word/2010/wordml" w:rsidP="1B6E5744" wp14:paraId="02B0D0C3" wp14:textId="5780A90F">
      <w:pPr>
        <w:rPr>
          <w:b w:val="1"/>
          <w:bCs w:val="1"/>
          <w:u w:val="single"/>
        </w:rPr>
      </w:pPr>
    </w:p>
    <w:p xmlns:wp14="http://schemas.microsoft.com/office/word/2010/wordml" w:rsidP="1B6E5744" wp14:paraId="4478B0EF" wp14:textId="7FA6892B">
      <w:pPr>
        <w:rPr>
          <w:b w:val="1"/>
          <w:bCs w:val="1"/>
          <w:u w:val="single"/>
        </w:rPr>
      </w:pPr>
    </w:p>
    <w:p xmlns:wp14="http://schemas.microsoft.com/office/word/2010/wordml" w:rsidP="1B6E5744" wp14:paraId="47D83DF9" wp14:textId="4765694B">
      <w:pPr>
        <w:rPr>
          <w:b w:val="1"/>
          <w:bCs w:val="1"/>
          <w:u w:val="single"/>
        </w:rPr>
      </w:pPr>
    </w:p>
    <w:p xmlns:wp14="http://schemas.microsoft.com/office/word/2010/wordml" w:rsidP="1B6E5744" wp14:paraId="499BC4F9" wp14:textId="5A3D1FC9">
      <w:pPr>
        <w:rPr>
          <w:b w:val="1"/>
          <w:bCs w:val="1"/>
          <w:u w:val="single"/>
        </w:rPr>
      </w:pPr>
    </w:p>
    <w:p xmlns:wp14="http://schemas.microsoft.com/office/word/2010/wordml" w:rsidP="1B6E5744" wp14:paraId="3FDEEB17" wp14:textId="243FC075">
      <w:pPr>
        <w:rPr>
          <w:b w:val="1"/>
          <w:bCs w:val="1"/>
          <w:u w:val="single"/>
        </w:rPr>
      </w:pPr>
    </w:p>
    <w:p xmlns:wp14="http://schemas.microsoft.com/office/word/2010/wordml" w:rsidP="1B6E5744" wp14:paraId="41093053" wp14:textId="5474617F">
      <w:pPr>
        <w:rPr>
          <w:b w:val="1"/>
          <w:bCs w:val="1"/>
          <w:u w:val="single"/>
        </w:rPr>
      </w:pPr>
    </w:p>
    <w:p xmlns:wp14="http://schemas.microsoft.com/office/word/2010/wordml" w:rsidP="1B6E5744" wp14:paraId="7683E77E" wp14:textId="699E914A">
      <w:pPr>
        <w:rPr>
          <w:b w:val="1"/>
          <w:bCs w:val="1"/>
          <w:u w:val="single"/>
        </w:rPr>
      </w:pPr>
    </w:p>
    <w:p xmlns:wp14="http://schemas.microsoft.com/office/word/2010/wordml" w:rsidP="1B6E5744" wp14:paraId="428CEEFF" wp14:textId="64F3B480">
      <w:pPr>
        <w:rPr>
          <w:b w:val="1"/>
          <w:bCs w:val="1"/>
          <w:u w:val="single"/>
        </w:rPr>
      </w:pPr>
    </w:p>
    <w:p xmlns:wp14="http://schemas.microsoft.com/office/word/2010/wordml" w:rsidP="1B6E5744" wp14:paraId="65953741" wp14:textId="21E8A8F8">
      <w:pPr>
        <w:rPr>
          <w:b w:val="1"/>
          <w:bCs w:val="1"/>
          <w:u w:val="single"/>
        </w:rPr>
      </w:pPr>
    </w:p>
    <w:p w:rsidR="3B09BF86" w:rsidP="3B09BF86" w:rsidRDefault="3B09BF86" w14:paraId="40FD6167" w14:textId="6C2BC30D">
      <w:pPr>
        <w:rPr>
          <w:b w:val="1"/>
          <w:bCs w:val="1"/>
          <w:u w:val="single"/>
        </w:rPr>
      </w:pPr>
    </w:p>
    <w:p xmlns:wp14="http://schemas.microsoft.com/office/word/2010/wordml" w:rsidP="1B6E5744" wp14:paraId="5D439094" wp14:textId="04C7FA2E">
      <w:pPr>
        <w:rPr>
          <w:b w:val="1"/>
          <w:bCs w:val="1"/>
          <w:u w:val="single"/>
        </w:rPr>
      </w:pPr>
    </w:p>
    <w:p xmlns:wp14="http://schemas.microsoft.com/office/word/2010/wordml" w:rsidP="1B6E5744" wp14:paraId="68EC15C5" wp14:textId="6B1C2053">
      <w:pPr>
        <w:rPr>
          <w:b w:val="1"/>
          <w:bCs w:val="1"/>
          <w:u w:val="single"/>
        </w:rPr>
      </w:pPr>
    </w:p>
    <w:p xmlns:wp14="http://schemas.microsoft.com/office/word/2010/wordml" w:rsidP="1B6E5744" wp14:paraId="201AF323" wp14:textId="62D8CE86">
      <w:pPr>
        <w:rPr>
          <w:b w:val="1"/>
          <w:bCs w:val="1"/>
          <w:u w:val="single"/>
        </w:rPr>
      </w:pPr>
    </w:p>
    <w:p xmlns:wp14="http://schemas.microsoft.com/office/word/2010/wordml" w:rsidP="1B6E5744" wp14:paraId="1185F7A2" wp14:textId="4BA0431D">
      <w:pPr>
        <w:pStyle w:val="Normal"/>
        <w:rPr>
          <w:b w:val="1"/>
          <w:bCs w:val="1"/>
          <w:u w:val="single"/>
        </w:rPr>
      </w:pPr>
    </w:p>
    <w:p w:rsidR="3EA0DEEE" w:rsidP="3B09BF86" w:rsidRDefault="3EA0DEEE" w14:paraId="2966B94C" w14:textId="555116D8">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4"/>
          <w:szCs w:val="24"/>
          <w:u w:val="singl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4"/>
          <w:szCs w:val="24"/>
          <w:u w:val="single"/>
          <w:lang w:val="en-US"/>
        </w:rPr>
        <w:t>Introduction</w:t>
      </w:r>
    </w:p>
    <w:p w:rsidR="647A2D28" w:rsidP="3B09BF86" w:rsidRDefault="647A2D28" w14:paraId="535C46BA" w14:textId="19425E85">
      <w:pPr>
        <w:pStyle w:val="Normal"/>
        <w:spacing w:before="240" w:beforeAutospacing="off" w:after="240" w:afterAutospacing="off"/>
        <w:jc w:val="left"/>
      </w:pPr>
      <w:r w:rsidRPr="3B09BF86" w:rsidR="647A2D28">
        <w:rPr>
          <w:rFonts w:ascii="Aptos Display" w:hAnsi="Aptos Display" w:eastAsia="Aptos Display" w:cs="Aptos Display" w:asciiTheme="minorAscii" w:hAnsiTheme="minorAscii" w:eastAsiaTheme="minorAscii" w:cstheme="minorAscii"/>
          <w:noProof w:val="0"/>
          <w:sz w:val="24"/>
          <w:szCs w:val="24"/>
          <w:lang w:val="en-US"/>
        </w:rPr>
        <w:t>Evaluating an event is important because it shows what worked, what didn’t, and what needs improving next time. Event Academy (2019) highlights that clear goals guide planning and make it easier to judge success. The Events Company (2023) emphasises that evaluation should look at the real impact, not just describe what happened. The CX Academy (2023) adds that good evaluation helps organisers understand the experience from the audience’s point of view. This report reviews the ITT Future You Conference held at the Swansea Building Society Arena on 10 March 2026, using feedback from visitors and exhibitors to assess planning, delivery, and outcomes.</w:t>
      </w:r>
    </w:p>
    <w:p w:rsidR="3EA0DEEE" w:rsidP="3B09BF86" w:rsidRDefault="3EA0DEEE" w14:paraId="65923173" w14:textId="3A836D73">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 xml:space="preserve"> </w:t>
      </w:r>
    </w:p>
    <w:p w:rsidR="3EA0DEEE" w:rsidP="3B09BF86" w:rsidRDefault="3EA0DEEE" w14:paraId="23668634" w14:textId="22206DC9">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4"/>
          <w:szCs w:val="24"/>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4"/>
          <w:szCs w:val="24"/>
          <w:lang w:val="en-US"/>
        </w:rPr>
        <w:t>Overview of Event Outcomes</w:t>
      </w:r>
    </w:p>
    <w:p w:rsidR="4EE5A2BF" w:rsidP="3B09BF86" w:rsidRDefault="4EE5A2BF" w14:paraId="45A6A4FD" w14:textId="180A9F67">
      <w:pPr>
        <w:pStyle w:val="Normal"/>
        <w:spacing w:before="240" w:beforeAutospacing="off" w:after="240" w:afterAutospacing="off"/>
        <w:jc w:val="left"/>
      </w:pPr>
      <w:r w:rsidRPr="3B09BF86" w:rsidR="4EE5A2BF">
        <w:rPr>
          <w:rFonts w:ascii="Aptos Display" w:hAnsi="Aptos Display" w:eastAsia="Aptos Display" w:cs="Aptos Display" w:asciiTheme="minorAscii" w:hAnsiTheme="minorAscii" w:eastAsiaTheme="minorAscii" w:cstheme="minorAscii"/>
          <w:noProof w:val="0"/>
          <w:sz w:val="24"/>
          <w:szCs w:val="24"/>
          <w:lang w:val="en-US"/>
        </w:rPr>
        <w:t>The event had a record 670 visitors, showing strong interest, but numbers alone do not confirm success. Brewster (2009) argues that turnout does not always mean engagement. McLeod (2024) reinforces that learning only happens when people participate meaningfully, not just when they attend.</w:t>
      </w:r>
    </w:p>
    <w:p w:rsidR="4EE5A2BF" w:rsidP="3B09BF86" w:rsidRDefault="4EE5A2BF" w14:paraId="320B8D1D" w14:textId="04745581">
      <w:pPr>
        <w:pStyle w:val="Normal"/>
        <w:spacing w:before="240" w:beforeAutospacing="off" w:after="240" w:afterAutospacing="off"/>
        <w:jc w:val="left"/>
      </w:pPr>
      <w:r w:rsidRPr="3B09BF86" w:rsidR="4EE5A2BF">
        <w:rPr>
          <w:rFonts w:ascii="Aptos Display" w:hAnsi="Aptos Display" w:eastAsia="Aptos Display" w:cs="Aptos Display" w:asciiTheme="minorAscii" w:hAnsiTheme="minorAscii" w:eastAsiaTheme="minorAscii" w:cstheme="minorAscii"/>
          <w:noProof w:val="0"/>
          <w:sz w:val="24"/>
          <w:szCs w:val="24"/>
          <w:lang w:val="en-US"/>
        </w:rPr>
        <w:t>There were 55 exhibitors offering different career paths. This supported the objective of ensuring enough stallholders, but Nathan (2025) highlights that employability depends on skills and confidence, not just meeting employers. Castro and Foxall (2011) explain that people engage more when the environment supports motivation, meaning that simply having stalls is not enough.</w:t>
      </w:r>
    </w:p>
    <w:p w:rsidR="4EE5A2BF" w:rsidP="3B09BF86" w:rsidRDefault="4EE5A2BF" w14:paraId="4CBEDF44" w14:textId="772797CC">
      <w:pPr>
        <w:pStyle w:val="Normal"/>
        <w:spacing w:before="240" w:beforeAutospacing="off" w:after="240" w:afterAutospacing="off"/>
        <w:jc w:val="left"/>
      </w:pPr>
      <w:r w:rsidRPr="3B09BF86" w:rsidR="4EE5A2BF">
        <w:rPr>
          <w:rFonts w:ascii="Aptos Display" w:hAnsi="Aptos Display" w:eastAsia="Aptos Display" w:cs="Aptos Display" w:asciiTheme="minorAscii" w:hAnsiTheme="minorAscii" w:eastAsiaTheme="minorAscii" w:cstheme="minorAscii"/>
          <w:noProof w:val="0"/>
          <w:sz w:val="24"/>
          <w:szCs w:val="24"/>
          <w:lang w:val="en-US"/>
        </w:rPr>
        <w:t>The event atmosphere was positive, supported by music and interactive activities. Morgan (2006) notes that sensory elements shape how people feel at events. However, the CX Academy (2023) reminds organisers that a good atmosphere does not guarantee deeper engagement.</w:t>
      </w:r>
    </w:p>
    <w:p w:rsidR="4EE5A2BF" w:rsidP="3B09BF86" w:rsidRDefault="4EE5A2BF" w14:paraId="25F12CE8" w14:textId="5E74BC9F">
      <w:pPr>
        <w:pStyle w:val="Normal"/>
        <w:spacing w:before="240" w:beforeAutospacing="off" w:after="240" w:afterAutospacing="off"/>
        <w:jc w:val="left"/>
      </w:pPr>
      <w:r w:rsidRPr="3B09BF86" w:rsidR="4EE5A2BF">
        <w:rPr>
          <w:rFonts w:ascii="Aptos Display" w:hAnsi="Aptos Display" w:eastAsia="Aptos Display" w:cs="Aptos Display" w:asciiTheme="minorAscii" w:hAnsiTheme="minorAscii" w:eastAsiaTheme="minorAscii" w:cstheme="minorAscii"/>
          <w:noProof w:val="0"/>
          <w:sz w:val="24"/>
          <w:szCs w:val="24"/>
          <w:lang w:val="en-US"/>
        </w:rPr>
        <w:t>McLeod (2024) highlights that people learn in different ways. The event offered hands‑on activities but limited space for reflection, meaning some students may not have fully processed what they learned. Nathan (2025) argues that early exposure to employers can shape career ideas, and students reported feeling more informed, but without follow‑up resources, long‑term impact is uncertain.</w:t>
      </w:r>
    </w:p>
    <w:p w:rsidR="4EE5A2BF" w:rsidP="3B09BF86" w:rsidRDefault="4EE5A2BF" w14:paraId="5FD22ECF" w14:textId="18FC8A2A">
      <w:pPr>
        <w:pStyle w:val="Normal"/>
        <w:spacing w:before="240" w:beforeAutospacing="off" w:after="240" w:afterAutospacing="off"/>
        <w:jc w:val="left"/>
      </w:pPr>
      <w:r w:rsidRPr="3B09BF86" w:rsidR="4EE5A2BF">
        <w:rPr>
          <w:rFonts w:ascii="Aptos Display" w:hAnsi="Aptos Display" w:eastAsia="Aptos Display" w:cs="Aptos Display" w:asciiTheme="minorAscii" w:hAnsiTheme="minorAscii" w:eastAsiaTheme="minorAscii" w:cstheme="minorAscii"/>
          <w:noProof w:val="0"/>
          <w:sz w:val="24"/>
          <w:szCs w:val="24"/>
          <w:lang w:val="en-US"/>
        </w:rPr>
        <w:t>Crowded areas also influenced behaviour. Castro and Foxall (2011) state that busy environments can make people rush or avoid certain areas, and the tight layout likely affected how long students spent at some stalls</w:t>
      </w:r>
    </w:p>
    <w:p w:rsidR="3EA0DEEE" w:rsidP="3B09BF86" w:rsidRDefault="3EA0DEEE" w14:paraId="57F3DC55" w14:textId="5455DB8A">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 xml:space="preserve"> </w:t>
      </w:r>
    </w:p>
    <w:p w:rsidR="3EA0DEEE" w:rsidP="3B09BF86" w:rsidRDefault="3EA0DEEE" w14:paraId="7E3A6C6F" w14:textId="438A34A7">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4"/>
          <w:szCs w:val="24"/>
          <w:u w:val="singl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4"/>
          <w:szCs w:val="24"/>
          <w:u w:val="single"/>
          <w:lang w:val="en-US"/>
        </w:rPr>
        <w:t>Evaluation of Aims and Objectives</w:t>
      </w:r>
      <w:r w:rsidRPr="3B09BF86" w:rsidR="5B945685">
        <w:rPr>
          <w:rFonts w:ascii="Aptos Display" w:hAnsi="Aptos Display" w:eastAsia="Aptos Display" w:cs="Aptos Display" w:asciiTheme="minorAscii" w:hAnsiTheme="minorAscii" w:eastAsiaTheme="minorAscii" w:cstheme="minorAscii"/>
          <w:b w:val="1"/>
          <w:bCs w:val="1"/>
          <w:noProof w:val="0"/>
          <w:sz w:val="24"/>
          <w:szCs w:val="24"/>
          <w:u w:val="single"/>
          <w:lang w:val="en-US"/>
        </w:rPr>
        <w:t xml:space="preserve"> </w:t>
      </w:r>
      <w:r w:rsidRPr="3B09BF86" w:rsidR="5B945685">
        <w:rPr>
          <w:rFonts w:ascii="Aptos Display" w:hAnsi="Aptos Display" w:eastAsia="Aptos Display" w:cs="Aptos Display" w:asciiTheme="minorAscii" w:hAnsiTheme="minorAscii" w:eastAsiaTheme="minorAscii" w:cstheme="minorAscii"/>
          <w:b w:val="1"/>
          <w:bCs w:val="1"/>
          <w:noProof w:val="0"/>
          <w:sz w:val="24"/>
          <w:szCs w:val="24"/>
          <w:u w:val="none"/>
          <w:lang w:val="en-US"/>
        </w:rPr>
        <w:t>(Appendix A)</w:t>
      </w:r>
    </w:p>
    <w:p w:rsidR="3EA0DEEE" w:rsidP="3B09BF86" w:rsidRDefault="3EA0DEEE" w14:paraId="19994DD3" w14:textId="2B755830">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4"/>
          <w:szCs w:val="24"/>
          <w:u w:val="singl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4"/>
          <w:szCs w:val="24"/>
          <w:u w:val="single"/>
          <w:lang w:val="en-US"/>
        </w:rPr>
        <w:t>Motivation and Engagement</w:t>
      </w:r>
    </w:p>
    <w:p w:rsidR="3EA0DEEE" w:rsidP="3B09BF86" w:rsidRDefault="3EA0DEEE" w14:paraId="485DB330" w14:textId="4EE34296">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A key aim was to motivate students and build confidence when speaking to employers. McLeod (2024) highlights that hands‑on activities increase involvement, which aligned with the VR headsets, music equipment, and interactive stalls. Ryan and Deci (2000) argue that motivation grows when individuals feel supported, and school feedback indicated that students felt comfortable engaging with exhibitors.</w:t>
      </w:r>
    </w:p>
    <w:p w:rsidR="3EA0DEEE" w:rsidP="3B09BF86" w:rsidRDefault="3EA0DEEE" w14:paraId="3C404AE3" w14:textId="617A557C">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However, motivation was not measured systematically. Indeed (2021) states that service quality should be assessed across multiple areas, not just through general comments. While many students reported enjoying the event, enjoyment alone does not confirm confidence growth. A QR‑code feedback system would have supported the objective of being proactive and provided clearer evidence of whether aims were met.</w:t>
      </w:r>
    </w:p>
    <w:p w:rsidR="3EA0DEEE" w:rsidP="3B09BF86" w:rsidRDefault="3EA0DEEE" w14:paraId="0B86A5E3" w14:textId="08FBECEC">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Weezevent (2025) highlights the importance of volunteers in shaping visitor experience. Many volunteers were friendly and helpful, contributing to positive responses to “How friendly was the staff?”, but some areas lacked support. This suggests that the objective of being proactive was only partially achieved. A clearer volunteer briefing would improve consistency and help students feel more secure navigating the event.</w:t>
      </w:r>
    </w:p>
    <w:p w:rsidR="3EA0DEEE" w:rsidP="3B09BF86" w:rsidRDefault="3EA0DEEE" w14:paraId="3BE1603F" w14:textId="7EEBD6CD">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Environmental factors also influenced motivation. Castro and Foxall (2011) argue that surroundings shape behaviour, and the busy layout may have discouraged some students from approaching certain stalls. This affected the objective of ensuring “something for everyone.”</w:t>
      </w:r>
    </w:p>
    <w:p w:rsidR="3EA0DEEE" w:rsidP="3B09BF86" w:rsidRDefault="3EA0DEEE" w14:paraId="3B5A7F1B" w14:textId="35F98380">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 xml:space="preserve"> </w:t>
      </w:r>
    </w:p>
    <w:p w:rsidR="3EA0DEEE" w:rsidP="3B09BF86" w:rsidRDefault="3EA0DEEE" w14:paraId="1B2ABB58" w14:textId="15CE80C2">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4"/>
          <w:szCs w:val="24"/>
          <w:u w:val="singl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4"/>
          <w:szCs w:val="24"/>
          <w:u w:val="single"/>
          <w:lang w:val="en-US"/>
        </w:rPr>
        <w:t>Workshops and Learning Opportunities</w:t>
      </w:r>
    </w:p>
    <w:p w:rsidR="40972D3A" w:rsidP="3B09BF86" w:rsidRDefault="40972D3A" w14:paraId="319363DA" w14:textId="20686A9A">
      <w:pPr>
        <w:pStyle w:val="Normal"/>
        <w:spacing w:before="240" w:beforeAutospacing="off" w:after="240" w:afterAutospacing="off"/>
        <w:jc w:val="left"/>
      </w:pPr>
      <w:r w:rsidRPr="3B09BF86" w:rsidR="40972D3A">
        <w:rPr>
          <w:rFonts w:ascii="Aptos Display" w:hAnsi="Aptos Display" w:eastAsia="Aptos Display" w:cs="Aptos Display" w:asciiTheme="minorAscii" w:hAnsiTheme="minorAscii" w:eastAsiaTheme="minorAscii" w:cstheme="minorAscii"/>
          <w:noProof w:val="0"/>
          <w:sz w:val="24"/>
          <w:szCs w:val="24"/>
          <w:lang w:val="en-US"/>
        </w:rPr>
        <w:t>The workshops were intended to provide structured learning experiences that supported the development of professional skills, yet several operational factors limited their overall effectiveness. While Biggs (1996) emphasises that learning activities must align with intended outcomes, the workshop environment did not fully support this alignment. The broken divider wall meant that the workshop area lacked acoustic separation from the main hall, resulting in high noise levels that made it difficult for students to concentrate. This issue demonstrates how physical space can directly influence learning quality, particularly in events designed to support skill development and career exploration.</w:t>
      </w:r>
    </w:p>
    <w:p w:rsidR="40972D3A" w:rsidP="3B09BF86" w:rsidRDefault="40972D3A" w14:paraId="386CD230" w14:textId="6FB051E4">
      <w:pPr>
        <w:pStyle w:val="Normal"/>
        <w:spacing w:before="240" w:beforeAutospacing="off" w:after="240" w:afterAutospacing="off"/>
        <w:jc w:val="left"/>
      </w:pPr>
      <w:r w:rsidRPr="3B09BF86" w:rsidR="40972D3A">
        <w:rPr>
          <w:rFonts w:ascii="Aptos Display" w:hAnsi="Aptos Display" w:eastAsia="Aptos Display" w:cs="Aptos Display" w:asciiTheme="minorAscii" w:hAnsiTheme="minorAscii" w:eastAsiaTheme="minorAscii" w:cstheme="minorAscii"/>
          <w:noProof w:val="0"/>
          <w:sz w:val="24"/>
          <w:szCs w:val="24"/>
          <w:lang w:val="en-US"/>
        </w:rPr>
        <w:t>Feedback from exhibitors and visitors also highlighted that workshop timings were not clearly communicated. Some students reported missing sessions because they were unaware of when they were taking place, which undermines the objective of ensuring interactive opportunities for everyone. Clearer signage, printed schedules, and digital reminders would help ensure that students can access the full range of learning activities. The lack of a dedicated facilitator to guide students into workshops also contributed to inconsistent attendance. A more structured approach, including volunteer-led signposting and scheduled announcements, would strengthen the learning environment and ensure that workshops contribute more effectively to the event’s aims.</w:t>
      </w:r>
    </w:p>
    <w:p w:rsidR="3EA0DEEE" w:rsidP="3B09BF86" w:rsidRDefault="3EA0DEEE" w14:paraId="05777B87" w14:textId="5E5D33F2">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 xml:space="preserve"> </w:t>
      </w:r>
    </w:p>
    <w:p w:rsidR="3EA0DEEE" w:rsidP="3B09BF86" w:rsidRDefault="3EA0DEEE" w14:paraId="7785BA80" w14:textId="123DB8F1">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4"/>
          <w:szCs w:val="24"/>
          <w:u w:val="singl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4"/>
          <w:szCs w:val="24"/>
          <w:u w:val="single"/>
          <w:lang w:val="en-US"/>
        </w:rPr>
        <w:t>Networking and Confidence Building</w:t>
      </w:r>
    </w:p>
    <w:p w:rsidR="3EA0DEEE" w:rsidP="3B09BF86" w:rsidRDefault="3EA0DEEE" w14:paraId="57AD53A0" w14:textId="4A6D876E">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Networking was central to the event’s aims, particularly linking students with employers and growing confidence. Nathan (2025) highlights that networking supports employability, and many students reported feeling more confident after speaking with exhibitors. Exhibitor responses to “How would you rate student engagement?” were generally positive.</w:t>
      </w:r>
    </w:p>
    <w:p w:rsidR="3EA0DEEE" w:rsidP="3B09BF86" w:rsidRDefault="3EA0DEEE" w14:paraId="466DCDDB" w14:textId="322242F4">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However, Castro and Foxall (2011) note that the environment influences interaction. Without a quiet space for conversations, some interactions were rushed. Belbin (2025) explains that individuals have different strengths in team roles; some volunteers and exhibitors were naturally confident communicators, while others were quieter. Matching roles to strengths would support the objective of being proactive and improve networking outcomes.</w:t>
      </w:r>
    </w:p>
    <w:p w:rsidR="3EA0DEEE" w:rsidP="3B09BF86" w:rsidRDefault="3EA0DEEE" w14:paraId="6654562E" w14:textId="23D9CC78">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Some students may have lacked confidence in initiating conversations. A simple conversation‑starter sheet would have supported the aim of building confidence.</w:t>
      </w:r>
    </w:p>
    <w:p w:rsidR="3EA0DEEE" w:rsidP="3B09BF86" w:rsidRDefault="3EA0DEEE" w14:paraId="1271AAB7" w14:textId="2EE37687">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 xml:space="preserve"> </w:t>
      </w:r>
    </w:p>
    <w:p w:rsidR="3EA0DEEE" w:rsidP="3B09BF86" w:rsidRDefault="3EA0DEEE" w14:paraId="0CD50224" w14:textId="0BB385E2">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4"/>
          <w:szCs w:val="24"/>
          <w:u w:val="singl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4"/>
          <w:szCs w:val="24"/>
          <w:u w:val="single"/>
          <w:lang w:val="en-US"/>
        </w:rPr>
        <w:t>Sponsorship and Resource Management</w:t>
      </w:r>
      <w:r w:rsidRPr="3B09BF86" w:rsidR="26ED8921">
        <w:rPr>
          <w:rFonts w:ascii="Aptos Display" w:hAnsi="Aptos Display" w:eastAsia="Aptos Display" w:cs="Aptos Display" w:asciiTheme="minorAscii" w:hAnsiTheme="minorAscii" w:eastAsiaTheme="minorAscii" w:cstheme="minorAscii"/>
          <w:b w:val="1"/>
          <w:bCs w:val="1"/>
          <w:noProof w:val="0"/>
          <w:sz w:val="24"/>
          <w:szCs w:val="24"/>
          <w:u w:val="single"/>
          <w:lang w:val="en-US"/>
        </w:rPr>
        <w:t xml:space="preserve"> </w:t>
      </w:r>
      <w:r w:rsidRPr="3B09BF86" w:rsidR="26ED8921">
        <w:rPr>
          <w:rFonts w:ascii="Aptos Display" w:hAnsi="Aptos Display" w:eastAsia="Aptos Display" w:cs="Aptos Display" w:asciiTheme="minorAscii" w:hAnsiTheme="minorAscii" w:eastAsiaTheme="minorAscii" w:cstheme="minorAscii"/>
          <w:b w:val="1"/>
          <w:bCs w:val="1"/>
          <w:noProof w:val="0"/>
          <w:sz w:val="24"/>
          <w:szCs w:val="24"/>
          <w:u w:val="none"/>
          <w:lang w:val="en-US"/>
        </w:rPr>
        <w:t xml:space="preserve">(Appendix </w:t>
      </w:r>
      <w:r w:rsidRPr="3B09BF86" w:rsidR="57A989DB">
        <w:rPr>
          <w:rFonts w:ascii="Aptos Display" w:hAnsi="Aptos Display" w:eastAsia="Aptos Display" w:cs="Aptos Display" w:asciiTheme="minorAscii" w:hAnsiTheme="minorAscii" w:eastAsiaTheme="minorAscii" w:cstheme="minorAscii"/>
          <w:b w:val="1"/>
          <w:bCs w:val="1"/>
          <w:noProof w:val="0"/>
          <w:sz w:val="24"/>
          <w:szCs w:val="24"/>
          <w:u w:val="none"/>
          <w:lang w:val="en-US"/>
        </w:rPr>
        <w:t>B</w:t>
      </w:r>
      <w:r w:rsidRPr="3B09BF86" w:rsidR="26ED8921">
        <w:rPr>
          <w:rFonts w:ascii="Aptos Display" w:hAnsi="Aptos Display" w:eastAsia="Aptos Display" w:cs="Aptos Display" w:asciiTheme="minorAscii" w:hAnsiTheme="minorAscii" w:eastAsiaTheme="minorAscii" w:cstheme="minorAscii"/>
          <w:b w:val="1"/>
          <w:bCs w:val="1"/>
          <w:noProof w:val="0"/>
          <w:sz w:val="24"/>
          <w:szCs w:val="24"/>
          <w:u w:val="none"/>
          <w:lang w:val="en-US"/>
        </w:rPr>
        <w:t>)</w:t>
      </w:r>
    </w:p>
    <w:p w:rsidR="3EA0DEEE" w:rsidP="3B09BF86" w:rsidRDefault="3EA0DEEE" w14:paraId="0C005549" w14:textId="36AEA752">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Sponsorship supported several aims, including raising funds for essentials, adding value for guests, and choosing sponsors aligned with event values. Guidebook (2026) states that sponsorship is most effective when aligned with event goals. Tesco, Radnor, Castell Howell, and Pizza Express contributed significantly to goodie bags and refreshments, supporting the objectives of ensuring enough items and adding value.</w:t>
      </w:r>
    </w:p>
    <w:p w:rsidR="3EA0DEEE" w:rsidP="3B09BF86" w:rsidRDefault="3EA0DEEE" w14:paraId="52D3D734" w14:textId="0420DAEC">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However, the cup shortage highlighted gaps in planning. Polak (2025) argues that sponsorship requires clear communication, and Guidebook (2026) stresses the importance of written agreements. Relying on verbal confirmation meant the team had to purchase additional cups last minute, affecting the objective of ensuring resources were fully prepared.</w:t>
      </w:r>
    </w:p>
    <w:p w:rsidR="3EA0DEEE" w:rsidP="3B09BF86" w:rsidRDefault="3EA0DEEE" w14:paraId="59735E73" w14:textId="3DB8BB0C">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Exhibitor feedback questions such as “Would you be interested in additional opportunities?” and “How would you feel about a small exhibitor fee?” indicate that exhibitors are open to deeper involvement, which could strengthen future sponsorship strategies.</w:t>
      </w:r>
    </w:p>
    <w:p w:rsidR="3EA0DEEE" w:rsidP="3B09BF86" w:rsidRDefault="3EA0DEEE" w14:paraId="17927CFD" w14:textId="6B418BA3">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 xml:space="preserve"> </w:t>
      </w:r>
    </w:p>
    <w:p w:rsidR="3EA0DEEE" w:rsidP="3B09BF86" w:rsidRDefault="3EA0DEEE" w14:paraId="21DA7CD9" w14:textId="6D135D1E">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4"/>
          <w:szCs w:val="24"/>
          <w:u w:val="singl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4"/>
          <w:szCs w:val="24"/>
          <w:u w:val="single"/>
          <w:lang w:val="en-US"/>
        </w:rPr>
        <w:t xml:space="preserve">Targets, Attendance, and Exhibitor </w:t>
      </w:r>
      <w:r w:rsidRPr="3B09BF86" w:rsidR="3EA0DEEE">
        <w:rPr>
          <w:rFonts w:ascii="Aptos Display" w:hAnsi="Aptos Display" w:eastAsia="Aptos Display" w:cs="Aptos Display" w:asciiTheme="minorAscii" w:hAnsiTheme="minorAscii" w:eastAsiaTheme="minorAscii" w:cstheme="minorAscii"/>
          <w:b w:val="1"/>
          <w:bCs w:val="1"/>
          <w:noProof w:val="0"/>
          <w:sz w:val="24"/>
          <w:szCs w:val="24"/>
          <w:u w:val="single"/>
          <w:lang w:val="en-US"/>
        </w:rPr>
        <w:t>Recruitment</w:t>
      </w:r>
      <w:r w:rsidRPr="3B09BF86" w:rsidR="2EB3F3F4">
        <w:rPr>
          <w:rFonts w:ascii="Aptos Display" w:hAnsi="Aptos Display" w:eastAsia="Aptos Display" w:cs="Aptos Display" w:asciiTheme="minorAscii" w:hAnsiTheme="minorAscii" w:eastAsiaTheme="minorAscii" w:cstheme="minorAscii"/>
          <w:b w:val="1"/>
          <w:bCs w:val="1"/>
          <w:noProof w:val="0"/>
          <w:sz w:val="24"/>
          <w:szCs w:val="24"/>
          <w:u w:val="single"/>
          <w:lang w:val="en-US"/>
        </w:rPr>
        <w:t xml:space="preserve">  (</w:t>
      </w:r>
      <w:r w:rsidRPr="3B09BF86" w:rsidR="2EB3F3F4">
        <w:rPr>
          <w:rFonts w:ascii="Aptos Display" w:hAnsi="Aptos Display" w:eastAsia="Aptos Display" w:cs="Aptos Display" w:asciiTheme="minorAscii" w:hAnsiTheme="minorAscii" w:eastAsiaTheme="minorAscii" w:cstheme="minorAscii"/>
          <w:b w:val="1"/>
          <w:bCs w:val="1"/>
          <w:noProof w:val="0"/>
          <w:sz w:val="24"/>
          <w:szCs w:val="24"/>
          <w:u w:val="none"/>
          <w:lang w:val="en-US"/>
        </w:rPr>
        <w:t xml:space="preserve">Appendix </w:t>
      </w:r>
      <w:r w:rsidRPr="3B09BF86" w:rsidR="44C04751">
        <w:rPr>
          <w:rFonts w:ascii="Aptos Display" w:hAnsi="Aptos Display" w:eastAsia="Aptos Display" w:cs="Aptos Display" w:asciiTheme="minorAscii" w:hAnsiTheme="minorAscii" w:eastAsiaTheme="minorAscii" w:cstheme="minorAscii"/>
          <w:b w:val="1"/>
          <w:bCs w:val="1"/>
          <w:noProof w:val="0"/>
          <w:sz w:val="24"/>
          <w:szCs w:val="24"/>
          <w:u w:val="none"/>
          <w:lang w:val="en-US"/>
        </w:rPr>
        <w:t>C</w:t>
      </w:r>
      <w:r w:rsidRPr="3B09BF86" w:rsidR="2EB3F3F4">
        <w:rPr>
          <w:rFonts w:ascii="Aptos Display" w:hAnsi="Aptos Display" w:eastAsia="Aptos Display" w:cs="Aptos Display" w:asciiTheme="minorAscii" w:hAnsiTheme="minorAscii" w:eastAsiaTheme="minorAscii" w:cstheme="minorAscii"/>
          <w:b w:val="1"/>
          <w:bCs w:val="1"/>
          <w:noProof w:val="0"/>
          <w:sz w:val="24"/>
          <w:szCs w:val="24"/>
          <w:u w:val="none"/>
          <w:lang w:val="en-US"/>
        </w:rPr>
        <w:t>)</w:t>
      </w:r>
    </w:p>
    <w:p w:rsidR="2EDC194E" w:rsidP="3B09BF86" w:rsidRDefault="2EDC194E" w14:paraId="6F6B4B73" w14:textId="74A2D536">
      <w:pPr>
        <w:pStyle w:val="Normal"/>
        <w:spacing w:before="240" w:beforeAutospacing="off" w:after="240" w:afterAutospacing="off"/>
        <w:jc w:val="left"/>
      </w:pPr>
      <w:r w:rsidRPr="3B09BF86" w:rsidR="2EDC194E">
        <w:rPr>
          <w:rFonts w:ascii="Aptos Display" w:hAnsi="Aptos Display" w:eastAsia="Aptos Display" w:cs="Aptos Display" w:asciiTheme="minorAscii" w:hAnsiTheme="minorAscii" w:eastAsiaTheme="minorAscii" w:cstheme="minorAscii"/>
          <w:noProof w:val="0"/>
          <w:sz w:val="24"/>
          <w:szCs w:val="24"/>
          <w:lang w:val="en-US"/>
        </w:rPr>
        <w:t>The event exceeded its attendance target and secured more exhibitors than anticipated, demonstrating strong promotional efforts and stakeholder interest. However, high attendance also introduced challenges that affected the quality of engagement. Brewster (2009) notes that large numbers can indicate successful marketing, but they do not guarantee meaningful outcomes. Some exhibitors reported that the volume of students made it difficult to have in‑depth conversations, which limited the effectiveness of networking and career guidance.</w:t>
      </w:r>
    </w:p>
    <w:p w:rsidR="2EDC194E" w:rsidP="3B09BF86" w:rsidRDefault="2EDC194E" w14:paraId="2E4F518C" w14:textId="7042BE10">
      <w:pPr>
        <w:pStyle w:val="Normal"/>
        <w:spacing w:before="240" w:beforeAutospacing="off" w:after="240" w:afterAutospacing="off"/>
        <w:jc w:val="left"/>
      </w:pPr>
      <w:r w:rsidRPr="3B09BF86" w:rsidR="2EDC194E">
        <w:rPr>
          <w:rFonts w:ascii="Aptos Display" w:hAnsi="Aptos Display" w:eastAsia="Aptos Display" w:cs="Aptos Display" w:asciiTheme="minorAscii" w:hAnsiTheme="minorAscii" w:eastAsiaTheme="minorAscii" w:cstheme="minorAscii"/>
          <w:noProof w:val="0"/>
          <w:sz w:val="24"/>
          <w:szCs w:val="24"/>
          <w:lang w:val="en-US"/>
        </w:rPr>
        <w:t>Exhibitor feedback relating to stall location, access to power, and signage revealed inconsistencies in the setup process. While many exhibitors were satisfied, others experienced delays or confusion when locating their assigned spaces. This suggests that the objective of ensuring targets were met was achieved in terms of numbers, but not fully achieved in terms of operational delivery. A more structured exhibitor management system—such as pre‑event maps, clearer unloading instructions, and a dedicated exhibitor support team—would help ensure that high attendance translates into high‑quality engagement.</w:t>
      </w:r>
    </w:p>
    <w:p w:rsidR="2EDC194E" w:rsidP="3B09BF86" w:rsidRDefault="2EDC194E" w14:paraId="237B2532" w14:textId="4B18C6C6">
      <w:pPr>
        <w:pStyle w:val="Normal"/>
        <w:spacing w:before="240" w:beforeAutospacing="off" w:after="240" w:afterAutospacing="off"/>
        <w:jc w:val="left"/>
      </w:pPr>
      <w:r w:rsidRPr="3B09BF86" w:rsidR="2EDC194E">
        <w:rPr>
          <w:rFonts w:ascii="Aptos Display" w:hAnsi="Aptos Display" w:eastAsia="Aptos Display" w:cs="Aptos Display" w:asciiTheme="minorAscii" w:hAnsiTheme="minorAscii" w:eastAsiaTheme="minorAscii" w:cstheme="minorAscii"/>
          <w:noProof w:val="0"/>
          <w:sz w:val="24"/>
          <w:szCs w:val="24"/>
          <w:lang w:val="en-US"/>
        </w:rPr>
        <w:t>The event’s ability to attract a diverse range of exhibitors also contributed to the aim of highlighting careers in the industry. However, the crowded layout meant that some stalls received more attention than others, which may have influenced the visibility of certain career pathways. A revised floorplan with wider walkways and themed zones could help distribute footfall more evenly and improve the overall experience for exhibitors and students.</w:t>
      </w:r>
    </w:p>
    <w:p w:rsidR="3EA0DEEE" w:rsidP="3B09BF86" w:rsidRDefault="3EA0DEEE" w14:paraId="465EC9DB" w14:textId="735F2A7C">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 xml:space="preserve"> </w:t>
      </w:r>
    </w:p>
    <w:p w:rsidR="3EA0DEEE" w:rsidP="3B09BF86" w:rsidRDefault="3EA0DEEE" w14:paraId="583984DC" w14:textId="59D6893B">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4"/>
          <w:szCs w:val="24"/>
          <w:u w:val="singl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4"/>
          <w:szCs w:val="24"/>
          <w:u w:val="single"/>
          <w:lang w:val="en-US"/>
        </w:rPr>
        <w:t>Attendee Satisfaction and Value</w:t>
      </w:r>
      <w:r w:rsidRPr="3B09BF86" w:rsidR="6FBDD56E">
        <w:rPr>
          <w:rFonts w:ascii="Aptos Display" w:hAnsi="Aptos Display" w:eastAsia="Aptos Display" w:cs="Aptos Display" w:asciiTheme="minorAscii" w:hAnsiTheme="minorAscii" w:eastAsiaTheme="minorAscii" w:cstheme="minorAscii"/>
          <w:b w:val="1"/>
          <w:bCs w:val="1"/>
          <w:noProof w:val="0"/>
          <w:sz w:val="24"/>
          <w:szCs w:val="24"/>
          <w:u w:val="single"/>
          <w:lang w:val="en-US"/>
        </w:rPr>
        <w:t xml:space="preserve"> </w:t>
      </w:r>
      <w:r w:rsidRPr="3B09BF86" w:rsidR="6FBDD56E">
        <w:rPr>
          <w:rFonts w:ascii="Aptos Display" w:hAnsi="Aptos Display" w:eastAsia="Aptos Display" w:cs="Aptos Display" w:asciiTheme="minorAscii" w:hAnsiTheme="minorAscii" w:eastAsiaTheme="minorAscii" w:cstheme="minorAscii"/>
          <w:b w:val="1"/>
          <w:bCs w:val="1"/>
          <w:noProof w:val="0"/>
          <w:sz w:val="24"/>
          <w:szCs w:val="24"/>
          <w:u w:val="none"/>
          <w:lang w:val="en-US"/>
        </w:rPr>
        <w:t>(</w:t>
      </w:r>
      <w:r w:rsidRPr="3B09BF86" w:rsidR="6FBDD56E">
        <w:rPr>
          <w:rFonts w:ascii="Aptos Display" w:hAnsi="Aptos Display" w:eastAsia="Aptos Display" w:cs="Aptos Display" w:asciiTheme="minorAscii" w:hAnsiTheme="minorAscii" w:eastAsiaTheme="minorAscii" w:cstheme="minorAscii"/>
          <w:b w:val="1"/>
          <w:bCs w:val="1"/>
          <w:noProof w:val="0"/>
          <w:sz w:val="24"/>
          <w:szCs w:val="24"/>
          <w:u w:val="none"/>
          <w:lang w:val="en-US"/>
        </w:rPr>
        <w:t xml:space="preserve">Appendix </w:t>
      </w:r>
      <w:r w:rsidRPr="3B09BF86" w:rsidR="12CD1AE7">
        <w:rPr>
          <w:rFonts w:ascii="Aptos Display" w:hAnsi="Aptos Display" w:eastAsia="Aptos Display" w:cs="Aptos Display" w:asciiTheme="minorAscii" w:hAnsiTheme="minorAscii" w:eastAsiaTheme="minorAscii" w:cstheme="minorAscii"/>
          <w:b w:val="1"/>
          <w:bCs w:val="1"/>
          <w:noProof w:val="0"/>
          <w:sz w:val="24"/>
          <w:szCs w:val="24"/>
          <w:u w:val="none"/>
          <w:lang w:val="en-US"/>
        </w:rPr>
        <w:t>D</w:t>
      </w:r>
      <w:r w:rsidRPr="3B09BF86" w:rsidR="6FBDD56E">
        <w:rPr>
          <w:rFonts w:ascii="Aptos Display" w:hAnsi="Aptos Display" w:eastAsia="Aptos Display" w:cs="Aptos Display" w:asciiTheme="minorAscii" w:hAnsiTheme="minorAscii" w:eastAsiaTheme="minorAscii" w:cstheme="minorAscii"/>
          <w:b w:val="1"/>
          <w:bCs w:val="1"/>
          <w:noProof w:val="0"/>
          <w:sz w:val="24"/>
          <w:szCs w:val="24"/>
          <w:u w:val="none"/>
          <w:lang w:val="en-US"/>
        </w:rPr>
        <w:t>)</w:t>
      </w:r>
    </w:p>
    <w:p w:rsidR="3EA0DEEE" w:rsidP="3B09BF86" w:rsidRDefault="3EA0DEEE" w14:paraId="73D24753" w14:textId="3FBA403B">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Visitors reported enjoying the variety of stalls, friendly volunteers, and the atmosphere. Indeed (2021) argues that satisfaction occurs when expectations are met, and the CX Academy (2023) highlights the role of sensory elements in shaping positive experiences.</w:t>
      </w:r>
    </w:p>
    <w:p w:rsidR="3EA0DEEE" w:rsidP="3B09BF86" w:rsidRDefault="3EA0DEEE" w14:paraId="20231C6F" w14:textId="25C62B17">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However, satisfaction does not always reflect long‑term impact. Feedback responses to “What did you like least?” and “Any other comments?” highlighted issues such as unclear signage, limited food options, and crowding. These insights show that while the event delivered value, improvements are needed to fully meet the aim of adding value for guests.</w:t>
      </w:r>
    </w:p>
    <w:p w:rsidR="3B09BF86" w:rsidP="3B09BF86" w:rsidRDefault="3B09BF86" w14:paraId="3C080BAE" w14:textId="6749D54B">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8"/>
          <w:szCs w:val="28"/>
          <w:u w:val="single"/>
          <w:lang w:val="en-US"/>
        </w:rPr>
      </w:pPr>
    </w:p>
    <w:p w:rsidR="3EA0DEEE" w:rsidP="3B09BF86" w:rsidRDefault="3EA0DEEE" w14:paraId="332BA433" w14:textId="43A88096">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4"/>
          <w:szCs w:val="24"/>
          <w:u w:val="singl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8"/>
          <w:szCs w:val="28"/>
          <w:u w:val="single"/>
          <w:lang w:val="en-US"/>
        </w:rPr>
        <w:t>Financial Outcomes and Budgeting</w:t>
      </w:r>
      <w:r w:rsidRPr="3B09BF86" w:rsidR="2D997FD1">
        <w:rPr>
          <w:rFonts w:ascii="Aptos Display" w:hAnsi="Aptos Display" w:eastAsia="Aptos Display" w:cs="Aptos Display" w:asciiTheme="minorAscii" w:hAnsiTheme="minorAscii" w:eastAsiaTheme="minorAscii" w:cstheme="minorAscii"/>
          <w:b w:val="1"/>
          <w:bCs w:val="1"/>
          <w:noProof w:val="0"/>
          <w:sz w:val="28"/>
          <w:szCs w:val="28"/>
          <w:u w:val="single"/>
          <w:lang w:val="en-US"/>
        </w:rPr>
        <w:t xml:space="preserve"> </w:t>
      </w:r>
      <w:r w:rsidRPr="3B09BF86" w:rsidR="2D997FD1">
        <w:rPr>
          <w:rFonts w:ascii="Aptos Display" w:hAnsi="Aptos Display" w:eastAsia="Aptos Display" w:cs="Aptos Display" w:asciiTheme="minorAscii" w:hAnsiTheme="minorAscii" w:eastAsiaTheme="minorAscii" w:cstheme="minorAscii"/>
          <w:b w:val="1"/>
          <w:bCs w:val="1"/>
          <w:noProof w:val="0"/>
          <w:sz w:val="24"/>
          <w:szCs w:val="24"/>
          <w:u w:val="none"/>
          <w:lang w:val="en-US"/>
        </w:rPr>
        <w:t>(</w:t>
      </w:r>
      <w:r w:rsidRPr="3B09BF86" w:rsidR="2D997FD1">
        <w:rPr>
          <w:rFonts w:ascii="Aptos Display" w:hAnsi="Aptos Display" w:eastAsia="Aptos Display" w:cs="Aptos Display" w:asciiTheme="minorAscii" w:hAnsiTheme="minorAscii" w:eastAsiaTheme="minorAscii" w:cstheme="minorAscii"/>
          <w:b w:val="1"/>
          <w:bCs w:val="1"/>
          <w:noProof w:val="0"/>
          <w:sz w:val="24"/>
          <w:szCs w:val="24"/>
          <w:u w:val="none"/>
          <w:lang w:val="en-US"/>
        </w:rPr>
        <w:t xml:space="preserve">Appendix </w:t>
      </w:r>
      <w:r w:rsidRPr="3B09BF86" w:rsidR="371270E6">
        <w:rPr>
          <w:rFonts w:ascii="Aptos Display" w:hAnsi="Aptos Display" w:eastAsia="Aptos Display" w:cs="Aptos Display" w:asciiTheme="minorAscii" w:hAnsiTheme="minorAscii" w:eastAsiaTheme="minorAscii" w:cstheme="minorAscii"/>
          <w:b w:val="1"/>
          <w:bCs w:val="1"/>
          <w:noProof w:val="0"/>
          <w:sz w:val="24"/>
          <w:szCs w:val="24"/>
          <w:u w:val="none"/>
          <w:lang w:val="en-US"/>
        </w:rPr>
        <w:t>E</w:t>
      </w:r>
      <w:r w:rsidRPr="3B09BF86" w:rsidR="2D997FD1">
        <w:rPr>
          <w:rFonts w:ascii="Aptos Display" w:hAnsi="Aptos Display" w:eastAsia="Aptos Display" w:cs="Aptos Display" w:asciiTheme="minorAscii" w:hAnsiTheme="minorAscii" w:eastAsiaTheme="minorAscii" w:cstheme="minorAscii"/>
          <w:b w:val="1"/>
          <w:bCs w:val="1"/>
          <w:noProof w:val="0"/>
          <w:sz w:val="24"/>
          <w:szCs w:val="24"/>
          <w:u w:val="none"/>
          <w:lang w:val="en-US"/>
        </w:rPr>
        <w:t>)</w:t>
      </w:r>
    </w:p>
    <w:p w:rsidR="3EA0DEEE" w:rsidP="3B09BF86" w:rsidRDefault="3EA0DEEE" w14:paraId="6F693A7B" w14:textId="068F5AEE">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The budget was managed effectively overall, supported by university sponsorship. Tum et al. (2006) argue that good budgeting requires planning and flexibility, which was demonstrated when extra cups had to be purchased. Although a full ROI analysis was not completed, strong attendance suggests the event delivered value and supported the aim of raising funds for essentials.</w:t>
      </w:r>
    </w:p>
    <w:p w:rsidR="3EA0DEEE" w:rsidP="3B09BF86" w:rsidRDefault="3EA0DEEE" w14:paraId="1F87C2D8" w14:textId="5D17C2EE">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 xml:space="preserve"> </w:t>
      </w:r>
    </w:p>
    <w:p w:rsidR="3EA0DEEE" w:rsidP="3B09BF86" w:rsidRDefault="3EA0DEEE" w14:paraId="69435EA7" w14:textId="05527A5B">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8"/>
          <w:szCs w:val="28"/>
          <w:u w:val="singl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8"/>
          <w:szCs w:val="28"/>
          <w:u w:val="single"/>
          <w:lang w:val="en-US"/>
        </w:rPr>
        <w:t>Project Limitations</w:t>
      </w:r>
    </w:p>
    <w:p w:rsidR="3EA0DEEE" w:rsidP="3B09BF86" w:rsidRDefault="3EA0DEEE" w14:paraId="399C2EDD" w14:textId="2746D9FE">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8"/>
          <w:szCs w:val="28"/>
          <w:u w:val="singl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8"/>
          <w:szCs w:val="28"/>
          <w:u w:val="single"/>
          <w:lang w:val="en-US"/>
        </w:rPr>
        <w:t>Time and Communication Issues</w:t>
      </w:r>
    </w:p>
    <w:p w:rsidR="3EA0DEEE" w:rsidP="3B09BF86" w:rsidRDefault="3EA0DEEE" w14:paraId="51C45D27" w14:textId="6402D97C">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The two‑hour delay at the start of the day revealed significant communication weaknesses. The Arena provided inconsistent information, and there was no single point of contact. Kerzner (2009) emphasises that communication is one of the most important aspects of project management, and PMBOK (2017) highlights the need for a clear communication plan. The delay reduced setup time, affected volunteer coordination, and created a less professional impression for exhibitors arriving early. This impacted the objectives of being proactive and ensuring the event was fully prepared.</w:t>
      </w:r>
    </w:p>
    <w:p w:rsidR="3EA0DEEE" w:rsidP="3B09BF86" w:rsidRDefault="3EA0DEEE" w14:paraId="019574D4" w14:textId="05B3748E">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 xml:space="preserve"> </w:t>
      </w:r>
    </w:p>
    <w:p w:rsidR="3EA0DEEE" w:rsidP="3B09BF86" w:rsidRDefault="3EA0DEEE" w14:paraId="4D4C340D" w14:textId="5E8C957F">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b w:val="1"/>
          <w:bCs w:val="1"/>
          <w:noProof w:val="0"/>
          <w:sz w:val="24"/>
          <w:szCs w:val="24"/>
          <w:u w:val="single"/>
          <w:lang w:val="en-US"/>
        </w:rPr>
        <w:t>Budget and Contingency Gap</w:t>
      </w:r>
      <w:r w:rsidRPr="3B09BF86" w:rsidR="3EA0DEEE">
        <w:rPr>
          <w:rFonts w:ascii="Aptos Display" w:hAnsi="Aptos Display" w:eastAsia="Aptos Display" w:cs="Aptos Display" w:asciiTheme="minorAscii" w:hAnsiTheme="minorAscii" w:eastAsiaTheme="minorAscii" w:cstheme="minorAscii"/>
          <w:noProof w:val="0"/>
          <w:sz w:val="24"/>
          <w:szCs w:val="24"/>
          <w:lang w:val="en-US"/>
        </w:rPr>
        <w:t>s</w:t>
      </w:r>
    </w:p>
    <w:p w:rsidR="3EA0DEEE" w:rsidP="3B09BF86" w:rsidRDefault="3EA0DEEE" w14:paraId="15C992DE" w14:textId="551F0C0A">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The cup shortage reflected gaps in planning and sponsor communication. Tum et al. (2006) argue that every event budget should include contingency funds. Guidebook (2026) stresses the importance of written sponsorship agreements. A simple stock checklist would have identified the issue earlier, supporting the objective of ensuring enough resources.</w:t>
      </w:r>
    </w:p>
    <w:p w:rsidR="3EA0DEEE" w:rsidP="3B09BF86" w:rsidRDefault="3EA0DEEE" w14:paraId="6E4F0330" w14:textId="74C331FF">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 xml:space="preserve"> </w:t>
      </w:r>
    </w:p>
    <w:p w:rsidR="3EA0DEEE" w:rsidP="3B09BF86" w:rsidRDefault="3EA0DEEE" w14:paraId="42264E82" w14:textId="1EA60DFE">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4"/>
          <w:szCs w:val="24"/>
          <w:u w:val="singl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4"/>
          <w:szCs w:val="24"/>
          <w:u w:val="single"/>
          <w:lang w:val="en-US"/>
        </w:rPr>
        <w:t>Resource and Volunteer Issues</w:t>
      </w:r>
    </w:p>
    <w:p w:rsidR="633B44EF" w:rsidP="3B09BF86" w:rsidRDefault="633B44EF" w14:paraId="5B20BC7C" w14:textId="488CD49C">
      <w:pPr>
        <w:pStyle w:val="Normal"/>
        <w:spacing w:before="240" w:beforeAutospacing="off" w:after="240" w:afterAutospacing="off"/>
        <w:jc w:val="left"/>
      </w:pPr>
      <w:r w:rsidRPr="3B09BF86" w:rsidR="633B44EF">
        <w:rPr>
          <w:rFonts w:ascii="Aptos Display" w:hAnsi="Aptos Display" w:eastAsia="Aptos Display" w:cs="Aptos Display" w:asciiTheme="minorAscii" w:hAnsiTheme="minorAscii" w:eastAsiaTheme="minorAscii" w:cstheme="minorAscii"/>
          <w:noProof w:val="0"/>
          <w:sz w:val="24"/>
          <w:szCs w:val="24"/>
          <w:lang w:val="en-US"/>
        </w:rPr>
        <w:t>Volunteer performance played a significant role in shaping the visitor experience, yet engagement levels varied across the team. Weezevent (2025) highlights that volunteers require clear roles and instructions to perform effectively. Some volunteers were proactive and confident, contributing positively to the event atmosphere, while others appeared unsure of their responsibilities. This inconsistency affected the objective of being proactive and created gaps in visitor support, particularly during busy periods.</w:t>
      </w:r>
    </w:p>
    <w:p w:rsidR="633B44EF" w:rsidP="3B09BF86" w:rsidRDefault="633B44EF" w14:paraId="64D9AAE4" w14:textId="6EB43F10">
      <w:pPr>
        <w:pStyle w:val="Normal"/>
        <w:spacing w:before="240" w:beforeAutospacing="off" w:after="240" w:afterAutospacing="off"/>
        <w:jc w:val="left"/>
      </w:pPr>
      <w:r w:rsidRPr="3B09BF86" w:rsidR="633B44EF">
        <w:rPr>
          <w:rFonts w:ascii="Aptos Display" w:hAnsi="Aptos Display" w:eastAsia="Aptos Display" w:cs="Aptos Display" w:asciiTheme="minorAscii" w:hAnsiTheme="minorAscii" w:eastAsiaTheme="minorAscii" w:cstheme="minorAscii"/>
          <w:noProof w:val="0"/>
          <w:sz w:val="24"/>
          <w:szCs w:val="24"/>
          <w:lang w:val="en-US"/>
        </w:rPr>
        <w:t>The lack of a structured volunteer briefing also contributed to confusion around tasks such as directing students, supporting exhibitors, and managing workshop attendance. A pre‑event briefing, written role descriptions, and a volunteer coordinator would help ensure that all volunteers understand their responsibilities and feel confident in their roles. Additionally, the broken divider wall created unexpected challenges that required volunteers to adapt quickly, further highlighting the need for strong communication and contingency planning.</w:t>
      </w:r>
    </w:p>
    <w:p w:rsidR="3EA0DEEE" w:rsidP="3B09BF86" w:rsidRDefault="3EA0DEEE" w14:paraId="41B7E0D1" w14:textId="50AA9769">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8"/>
          <w:szCs w:val="28"/>
          <w:u w:val="non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8"/>
          <w:szCs w:val="28"/>
          <w:u w:val="none"/>
          <w:lang w:val="en-US"/>
        </w:rPr>
        <w:t xml:space="preserve"> </w:t>
      </w:r>
    </w:p>
    <w:p w:rsidR="3EA0DEEE" w:rsidP="3B09BF86" w:rsidRDefault="3EA0DEEE" w14:paraId="71B31505" w14:textId="3CC12CF0">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8"/>
          <w:szCs w:val="28"/>
          <w:u w:val="singl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8"/>
          <w:szCs w:val="28"/>
          <w:u w:val="single"/>
          <w:lang w:val="en-US"/>
        </w:rPr>
        <w:t>External Factors and Contingency Planning</w:t>
      </w:r>
    </w:p>
    <w:p w:rsidR="3EA0DEEE" w:rsidP="3B09BF86" w:rsidRDefault="3EA0DEEE" w14:paraId="40AA9FF4" w14:textId="3BD59BA0">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The missing guest speaker due to travel issues highlighted the need for backup plans. Brewster (2009) notes that external problems are common in events. A backup speaker or pre‑recorded video would have reduced the impact.</w:t>
      </w:r>
    </w:p>
    <w:p w:rsidR="3EA0DEEE" w:rsidP="3B09BF86" w:rsidRDefault="3EA0DEEE" w14:paraId="044F726B" w14:textId="18E5CB12">
      <w:pPr>
        <w:pStyle w:val="Normal"/>
        <w:spacing w:before="240" w:beforeAutospacing="off" w:after="240" w:afterAutospacing="off"/>
        <w:jc w:val="left"/>
      </w:pPr>
      <w:r w:rsidRPr="3B09BF86" w:rsidR="3EA0DEEE">
        <w:rPr>
          <w:rFonts w:ascii="Aptos Display" w:hAnsi="Aptos Display" w:eastAsia="Aptos Display" w:cs="Aptos Display" w:asciiTheme="minorAscii" w:hAnsiTheme="minorAscii" w:eastAsiaTheme="minorAscii" w:cstheme="minorAscii"/>
          <w:noProof w:val="0"/>
          <w:sz w:val="24"/>
          <w:szCs w:val="24"/>
          <w:lang w:val="en-US"/>
        </w:rPr>
        <w:t xml:space="preserve"> </w:t>
      </w:r>
    </w:p>
    <w:p w:rsidR="3EA0DEEE" w:rsidP="3B09BF86" w:rsidRDefault="3EA0DEEE" w14:paraId="49F7401D" w14:textId="36BE0294">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b w:val="1"/>
          <w:bCs w:val="1"/>
          <w:noProof w:val="0"/>
          <w:sz w:val="28"/>
          <w:szCs w:val="28"/>
          <w:u w:val="single"/>
          <w:lang w:val="en-US"/>
        </w:rPr>
      </w:pPr>
      <w:r w:rsidRPr="3B09BF86" w:rsidR="3EA0DEEE">
        <w:rPr>
          <w:rFonts w:ascii="Aptos Display" w:hAnsi="Aptos Display" w:eastAsia="Aptos Display" w:cs="Aptos Display" w:asciiTheme="minorAscii" w:hAnsiTheme="minorAscii" w:eastAsiaTheme="minorAscii" w:cstheme="minorAscii"/>
          <w:b w:val="1"/>
          <w:bCs w:val="1"/>
          <w:noProof w:val="0"/>
          <w:sz w:val="28"/>
          <w:szCs w:val="28"/>
          <w:u w:val="single"/>
          <w:lang w:val="en-US"/>
        </w:rPr>
        <w:t>Conclusion and Recommendations</w:t>
      </w:r>
    </w:p>
    <w:p w:rsidR="7B9045DF" w:rsidP="3B09BF86" w:rsidRDefault="7B9045DF" w14:paraId="585E4C08" w14:textId="3A551EE4">
      <w:pPr>
        <w:pStyle w:val="Normal"/>
        <w:spacing w:before="240" w:beforeAutospacing="off" w:after="240" w:afterAutospacing="off"/>
        <w:jc w:val="left"/>
      </w:pPr>
      <w:r w:rsidRPr="3B09BF86" w:rsidR="7B9045DF">
        <w:rPr>
          <w:rFonts w:ascii="Aptos Display" w:hAnsi="Aptos Display" w:eastAsia="Aptos Display" w:cs="Aptos Display" w:asciiTheme="minorAscii" w:hAnsiTheme="minorAscii" w:eastAsiaTheme="minorAscii" w:cstheme="minorAscii"/>
          <w:noProof w:val="0"/>
          <w:sz w:val="24"/>
          <w:szCs w:val="24"/>
          <w:lang w:val="en-US"/>
        </w:rPr>
        <w:t>The ITT Future You Conference 2026 delivered strong outcomes in terms of attendance, exhibitor participation, and overall atmosphere, demonstrating effective planning and teamwork. However, the extended analysis shows that several operational issues limited the event’s ability to fully meet its aims and objectives. Communication gaps, layout challenges, inconsistent volunteer support, and unclear workshop scheduling all contributed to areas where the event performed below its potential.</w:t>
      </w:r>
    </w:p>
    <w:p w:rsidR="7B9045DF" w:rsidP="3B09BF86" w:rsidRDefault="7B9045DF" w14:paraId="5FFFC191" w14:textId="57DA085E">
      <w:pPr>
        <w:pStyle w:val="Normal"/>
        <w:spacing w:before="240" w:beforeAutospacing="off" w:after="240" w:afterAutospacing="off"/>
        <w:jc w:val="left"/>
      </w:pPr>
      <w:r w:rsidRPr="3B09BF86" w:rsidR="7B9045DF">
        <w:rPr>
          <w:rFonts w:ascii="Aptos Display" w:hAnsi="Aptos Display" w:eastAsia="Aptos Display" w:cs="Aptos Display" w:asciiTheme="minorAscii" w:hAnsiTheme="minorAscii" w:eastAsiaTheme="minorAscii" w:cstheme="minorAscii"/>
          <w:noProof w:val="0"/>
          <w:sz w:val="24"/>
          <w:szCs w:val="24"/>
          <w:lang w:val="en-US"/>
        </w:rPr>
        <w:t>Strengthening communication structures—both internally and with external partners—would significantly improve future events. Clearer signage, written sponsor agreements, structured volunteer training, and improved venue checks would help address many of the issues identified. Enhancing the workshop environment, redesigning the floorplan, and introducing dedicated networking spaces would also support deeper engagement and more meaningful interactions between students and employers.</w:t>
      </w:r>
    </w:p>
    <w:p w:rsidR="7B9045DF" w:rsidP="3B09BF86" w:rsidRDefault="7B9045DF" w14:paraId="5EA5658F" w14:textId="17BA48E6">
      <w:pPr>
        <w:pStyle w:val="Normal"/>
        <w:spacing w:before="240" w:beforeAutospacing="off" w:after="240" w:afterAutospacing="off"/>
        <w:jc w:val="left"/>
      </w:pPr>
      <w:r w:rsidRPr="3B09BF86" w:rsidR="7B9045DF">
        <w:rPr>
          <w:rFonts w:ascii="Aptos Display" w:hAnsi="Aptos Display" w:eastAsia="Aptos Display" w:cs="Aptos Display" w:asciiTheme="minorAscii" w:hAnsiTheme="minorAscii" w:eastAsiaTheme="minorAscii" w:cstheme="minorAscii"/>
          <w:noProof w:val="0"/>
          <w:sz w:val="24"/>
          <w:szCs w:val="24"/>
          <w:lang w:val="en-US"/>
        </w:rPr>
        <w:t>Overall, the event provided valuable experiences for attendees and exhibitors, but targeted improvements in planning, communication, and resource management will help ensure that future events deliver even greater impact.</w:t>
      </w:r>
    </w:p>
    <w:p w:rsidR="3B09BF86" w:rsidP="3B09BF86" w:rsidRDefault="3B09BF86" w14:paraId="21E6FEE3" w14:textId="4AA3549E">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noProof w:val="0"/>
          <w:sz w:val="24"/>
          <w:szCs w:val="24"/>
          <w:lang w:val="en-US"/>
        </w:rPr>
      </w:pPr>
    </w:p>
    <w:p w:rsidR="3B09BF86" w:rsidP="3B09BF86" w:rsidRDefault="3B09BF86" w14:paraId="5A3265EE" w14:textId="69F3EDAB">
      <w:pPr>
        <w:pStyle w:val="Normal"/>
        <w:spacing w:before="240" w:beforeAutospacing="off" w:after="240" w:afterAutospacing="off"/>
        <w:jc w:val="left"/>
        <w:rPr>
          <w:rFonts w:ascii="Aptos Display" w:hAnsi="Aptos Display" w:eastAsia="Aptos Display" w:cs="Aptos Display" w:asciiTheme="minorAscii" w:hAnsiTheme="minorAscii" w:eastAsiaTheme="minorAscii" w:cstheme="minorAscii"/>
          <w:noProof w:val="0"/>
          <w:sz w:val="24"/>
          <w:szCs w:val="24"/>
          <w:lang w:val="en-US"/>
        </w:rPr>
      </w:pPr>
    </w:p>
    <w:p w:rsidR="3B09BF86" w:rsidP="3B09BF86" w:rsidRDefault="3B09BF86" w14:paraId="0FE90D06" w14:textId="54F6BB3F">
      <w:pPr>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5062DD93" w:rsidP="3B09BF86" w:rsidRDefault="5062DD93" w14:paraId="4C0EF12E" w14:textId="526CFC8C">
      <w:pPr>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3B09BF86" w:rsidR="5062DD93">
        <w:rPr>
          <w:rFonts w:ascii="Aptos Display" w:hAnsi="Aptos Display" w:eastAsia="Aptos Display" w:cs="Aptos Display"/>
          <w:b w:val="1"/>
          <w:bCs w:val="1"/>
          <w:i w:val="0"/>
          <w:iCs w:val="0"/>
          <w:caps w:val="0"/>
          <w:smallCaps w:val="0"/>
          <w:strike w:val="0"/>
          <w:dstrike w:val="0"/>
          <w:noProof w:val="0"/>
          <w:color w:val="000000" w:themeColor="text1" w:themeTint="FF" w:themeShade="FF"/>
          <w:sz w:val="24"/>
          <w:szCs w:val="24"/>
          <w:u w:val="single"/>
          <w:lang w:val="en-US"/>
        </w:rPr>
        <w:t>Appendix A</w:t>
      </w:r>
    </w:p>
    <w:p w:rsidR="5062DD93" w:rsidP="3B09BF86" w:rsidRDefault="5062DD93" w14:paraId="1D20304F" w14:textId="48BC507D">
      <w:pPr>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none"/>
          <w:lang w:val="en-US"/>
        </w:rPr>
      </w:pPr>
      <w:r w:rsidRPr="3B09BF86" w:rsidR="5062DD93">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none"/>
          <w:lang w:val="en-US"/>
        </w:rPr>
        <w:t xml:space="preserve">Aims &amp; </w:t>
      </w:r>
      <w:r w:rsidRPr="3B09BF86" w:rsidR="5062DD93">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none"/>
          <w:lang w:val="en-US"/>
        </w:rPr>
        <w:t>Objectives</w:t>
      </w:r>
      <w:r w:rsidRPr="3B09BF86" w:rsidR="5062DD93">
        <w:rPr>
          <w:rFonts w:ascii="Aptos Display" w:hAnsi="Aptos Display" w:eastAsia="Aptos Display" w:cs="Aptos Display"/>
          <w:b w:val="0"/>
          <w:bCs w:val="0"/>
          <w:i w:val="0"/>
          <w:iCs w:val="0"/>
          <w:caps w:val="0"/>
          <w:smallCaps w:val="0"/>
          <w:strike w:val="0"/>
          <w:dstrike w:val="0"/>
          <w:noProof w:val="0"/>
          <w:color w:val="000000" w:themeColor="text1" w:themeTint="FF" w:themeShade="FF"/>
          <w:sz w:val="24"/>
          <w:szCs w:val="24"/>
          <w:u w:val="none"/>
          <w:lang w:val="en-US"/>
        </w:rPr>
        <w:t xml:space="preserve"> </w:t>
      </w:r>
    </w:p>
    <w:p w:rsidR="5062DD93" w:rsidP="3B09BF86" w:rsidRDefault="5062DD93" w14:paraId="3972AAF8" w14:textId="03072799">
      <w:pPr>
        <w:pStyle w:val="Normal"/>
      </w:pPr>
      <w:r w:rsidR="5062DD93">
        <w:drawing>
          <wp:inline wp14:editId="343310E9" wp14:anchorId="0356D569">
            <wp:extent cx="2399590" cy="1238250"/>
            <wp:effectExtent l="0" t="0" r="0" b="0"/>
            <wp:docPr id="13551176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5117657" name="Picture 1355117657"/>
                    <pic:cNvPicPr/>
                  </pic:nvPicPr>
                  <pic:blipFill>
                    <a:blip xmlns:r="http://schemas.openxmlformats.org/officeDocument/2006/relationships" r:embed="rId1952910324">
                      <a:extLst>
                        <a:ext uri="{28A0092B-C50C-407E-A947-70E740481C1C}">
                          <a14:useLocalDpi xmlns:a14="http://schemas.microsoft.com/office/drawing/2010/main"/>
                        </a:ext>
                      </a:extLst>
                    </a:blip>
                    <a:stretch>
                      <a:fillRect/>
                    </a:stretch>
                  </pic:blipFill>
                  <pic:spPr>
                    <a:xfrm rot="0">
                      <a:off x="0" y="0"/>
                      <a:ext cx="2399590" cy="1238250"/>
                    </a:xfrm>
                    <a:prstGeom prst="rect">
                      <a:avLst/>
                    </a:prstGeom>
                  </pic:spPr>
                </pic:pic>
              </a:graphicData>
            </a:graphic>
          </wp:inline>
        </w:drawing>
      </w:r>
      <w:r w:rsidR="5062DD93">
        <w:drawing>
          <wp:inline wp14:editId="23A1C263" wp14:anchorId="05B3C4A6">
            <wp:extent cx="2266950" cy="1206133"/>
            <wp:effectExtent l="0" t="0" r="0" b="0"/>
            <wp:docPr id="3608527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0852724" name="Picture 360852724"/>
                    <pic:cNvPicPr/>
                  </pic:nvPicPr>
                  <pic:blipFill>
                    <a:blip xmlns:r="http://schemas.openxmlformats.org/officeDocument/2006/relationships" r:embed="rId343260591">
                      <a:extLst>
                        <a:ext uri="{28A0092B-C50C-407E-A947-70E740481C1C}">
                          <a14:useLocalDpi xmlns:a14="http://schemas.microsoft.com/office/drawing/2010/main"/>
                        </a:ext>
                      </a:extLst>
                    </a:blip>
                    <a:stretch>
                      <a:fillRect/>
                    </a:stretch>
                  </pic:blipFill>
                  <pic:spPr>
                    <a:xfrm rot="0">
                      <a:off x="0" y="0"/>
                      <a:ext cx="2266950" cy="1206133"/>
                    </a:xfrm>
                    <a:prstGeom prst="rect">
                      <a:avLst/>
                    </a:prstGeom>
                  </pic:spPr>
                </pic:pic>
              </a:graphicData>
            </a:graphic>
          </wp:inline>
        </w:drawing>
      </w:r>
    </w:p>
    <w:p w:rsidR="3B09BF86" w:rsidP="3B09BF86" w:rsidRDefault="3B09BF86" w14:paraId="208939C5" w14:textId="474773BE">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3B09BF86" w:rsidP="3B09BF86" w:rsidRDefault="3B09BF86" w14:paraId="4B113650" w14:textId="71392AA4">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5062DD93" w:rsidP="3B09BF86" w:rsidRDefault="5062DD93" w14:paraId="75270DAE" w14:textId="6731E6BA">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3B09BF86" w:rsidR="5062DD93">
        <w:rPr>
          <w:rFonts w:ascii="Aptos Display" w:hAnsi="Aptos Display" w:eastAsia="Aptos Display" w:cs="Aptos Display"/>
          <w:b w:val="1"/>
          <w:bCs w:val="1"/>
          <w:i w:val="0"/>
          <w:iCs w:val="0"/>
          <w:caps w:val="0"/>
          <w:smallCaps w:val="0"/>
          <w:strike w:val="0"/>
          <w:dstrike w:val="0"/>
          <w:noProof w:val="0"/>
          <w:color w:val="000000" w:themeColor="text1" w:themeTint="FF" w:themeShade="FF"/>
          <w:sz w:val="24"/>
          <w:szCs w:val="24"/>
          <w:u w:val="single"/>
          <w:lang w:val="en-US"/>
        </w:rPr>
        <w:t>Appendix B</w:t>
      </w:r>
    </w:p>
    <w:p w:rsidR="5062DD93" w:rsidP="3B09BF86" w:rsidRDefault="5062DD93" w14:paraId="6B94FB64" w14:textId="3B1BE6A4">
      <w:pPr>
        <w:pStyle w:val="Normal"/>
        <w:suppressLineNumbers w:val="0"/>
        <w:bidi w:val="0"/>
        <w:spacing w:before="0" w:beforeAutospacing="off" w:after="160" w:afterAutospacing="off" w:line="279" w:lineRule="auto"/>
        <w:ind w:left="0" w:right="0"/>
        <w:jc w:val="left"/>
      </w:pPr>
      <w:r w:rsidRPr="3B09BF86" w:rsidR="5062DD93">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Sponsorships</w:t>
      </w:r>
      <w:r w:rsidRPr="3B09BF86" w:rsidR="5062DD93">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 xml:space="preserve"> </w:t>
      </w:r>
    </w:p>
    <w:p w:rsidR="5062DD93" w:rsidP="3B09BF86" w:rsidRDefault="5062DD93" w14:paraId="18581D24" w14:textId="37D20FAF">
      <w:pPr>
        <w:pStyle w:val="Normal"/>
        <w:bidi w:val="0"/>
        <w:spacing w:before="0" w:beforeAutospacing="off" w:after="160" w:afterAutospacing="off" w:line="279" w:lineRule="auto"/>
        <w:ind w:left="0" w:right="0"/>
        <w:jc w:val="left"/>
      </w:pPr>
      <w:r w:rsidR="5062DD93">
        <w:drawing>
          <wp:inline wp14:editId="628D88A2" wp14:anchorId="57A606D4">
            <wp:extent cx="3006599" cy="2057400"/>
            <wp:effectExtent l="0" t="0" r="0" b="0"/>
            <wp:docPr id="17517093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1709373" name="Picture 1751709373"/>
                    <pic:cNvPicPr/>
                  </pic:nvPicPr>
                  <pic:blipFill>
                    <a:blip xmlns:r="http://schemas.openxmlformats.org/officeDocument/2006/relationships" r:embed="rId630396623">
                      <a:extLst>
                        <a:ext uri="{28A0092B-C50C-407E-A947-70E740481C1C}">
                          <a14:useLocalDpi xmlns:a14="http://schemas.microsoft.com/office/drawing/2010/main"/>
                        </a:ext>
                      </a:extLst>
                    </a:blip>
                    <a:stretch>
                      <a:fillRect/>
                    </a:stretch>
                  </pic:blipFill>
                  <pic:spPr>
                    <a:xfrm rot="0">
                      <a:off x="0" y="0"/>
                      <a:ext cx="3006599" cy="2057400"/>
                    </a:xfrm>
                    <a:prstGeom prst="rect">
                      <a:avLst/>
                    </a:prstGeom>
                  </pic:spPr>
                </pic:pic>
              </a:graphicData>
            </a:graphic>
          </wp:inline>
        </w:drawing>
      </w:r>
    </w:p>
    <w:p w:rsidR="5062DD93" w:rsidP="3B09BF86" w:rsidRDefault="5062DD93" w14:paraId="0AA737AA" w14:textId="3B3C85CD">
      <w:pPr>
        <w:pStyle w:val="Normal"/>
        <w:bidi w:val="0"/>
        <w:spacing w:before="0" w:beforeAutospacing="off" w:after="160" w:afterAutospacing="off" w:line="279" w:lineRule="auto"/>
        <w:ind w:left="0" w:right="0"/>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5062DD93">
        <w:drawing>
          <wp:inline wp14:editId="23E3DC85" wp14:anchorId="311F8B24">
            <wp:extent cx="1371600" cy="2438400"/>
            <wp:effectExtent l="0" t="0" r="0" b="0"/>
            <wp:docPr id="12395278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7177410" name="Picture 437177410"/>
                    <pic:cNvPicPr/>
                  </pic:nvPicPr>
                  <pic:blipFill>
                    <a:blip xmlns:r="http://schemas.openxmlformats.org/officeDocument/2006/relationships" r:embed="rId830564106">
                      <a:extLst>
                        <a:ext uri="{28A0092B-C50C-407E-A947-70E740481C1C}">
                          <a14:useLocalDpi xmlns:a14="http://schemas.microsoft.com/office/drawing/2010/main"/>
                        </a:ext>
                      </a:extLst>
                    </a:blip>
                    <a:stretch>
                      <a:fillRect/>
                    </a:stretch>
                  </pic:blipFill>
                  <pic:spPr>
                    <a:xfrm>
                      <a:off x="0" y="0"/>
                      <a:ext cx="1371600" cy="2438400"/>
                    </a:xfrm>
                    <a:prstGeom prst="rect">
                      <a:avLst/>
                    </a:prstGeom>
                  </pic:spPr>
                </pic:pic>
              </a:graphicData>
            </a:graphic>
          </wp:inline>
        </w:drawing>
      </w:r>
      <w:r w:rsidR="5062DD93">
        <w:drawing>
          <wp:inline wp14:editId="3B801557" wp14:anchorId="505FFA4E">
            <wp:extent cx="1881203" cy="2390775"/>
            <wp:effectExtent l="0" t="0" r="0" b="0"/>
            <wp:docPr id="19592158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9215858" name="Picture 1959215858"/>
                    <pic:cNvPicPr/>
                  </pic:nvPicPr>
                  <pic:blipFill>
                    <a:blip xmlns:r="http://schemas.openxmlformats.org/officeDocument/2006/relationships" r:embed="rId93352431">
                      <a:extLst>
                        <a:ext uri="{28A0092B-C50C-407E-A947-70E740481C1C}">
                          <a14:useLocalDpi xmlns:a14="http://schemas.microsoft.com/office/drawing/2010/main"/>
                        </a:ext>
                      </a:extLst>
                    </a:blip>
                    <a:stretch>
                      <a:fillRect/>
                    </a:stretch>
                  </pic:blipFill>
                  <pic:spPr>
                    <a:xfrm rot="0">
                      <a:off x="0" y="0"/>
                      <a:ext cx="1881203" cy="2390775"/>
                    </a:xfrm>
                    <a:prstGeom prst="rect">
                      <a:avLst/>
                    </a:prstGeom>
                  </pic:spPr>
                </pic:pic>
              </a:graphicData>
            </a:graphic>
          </wp:inline>
        </w:drawing>
      </w:r>
    </w:p>
    <w:p w:rsidR="3B09BF86" w:rsidP="3B09BF86" w:rsidRDefault="3B09BF86" w14:paraId="1E606064" w14:textId="586A87F7">
      <w:pPr>
        <w:pStyle w:val="Normal"/>
        <w:bidi w:val="0"/>
        <w:spacing w:before="0" w:beforeAutospacing="off" w:after="160" w:afterAutospacing="off" w:line="279" w:lineRule="auto"/>
        <w:ind w:left="0" w:right="0"/>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5062DD93" w:rsidP="3B09BF86" w:rsidRDefault="5062DD93" w14:paraId="03EB64F1" w14:textId="3BC12A15">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3B09BF86" w:rsidR="5062DD93">
        <w:rPr>
          <w:rFonts w:ascii="Aptos Display" w:hAnsi="Aptos Display" w:eastAsia="Aptos Display" w:cs="Aptos Display"/>
          <w:b w:val="1"/>
          <w:bCs w:val="1"/>
          <w:i w:val="0"/>
          <w:iCs w:val="0"/>
          <w:caps w:val="0"/>
          <w:smallCaps w:val="0"/>
          <w:strike w:val="0"/>
          <w:dstrike w:val="0"/>
          <w:noProof w:val="0"/>
          <w:color w:val="000000" w:themeColor="text1" w:themeTint="FF" w:themeShade="FF"/>
          <w:sz w:val="24"/>
          <w:szCs w:val="24"/>
          <w:u w:val="single"/>
          <w:lang w:val="en-US"/>
        </w:rPr>
        <w:t xml:space="preserve">Appendix </w:t>
      </w:r>
      <w:r w:rsidRPr="3B09BF86" w:rsidR="5062DD93">
        <w:rPr>
          <w:rFonts w:ascii="Aptos Display" w:hAnsi="Aptos Display" w:eastAsia="Aptos Display" w:cs="Aptos Display"/>
          <w:b w:val="1"/>
          <w:bCs w:val="1"/>
          <w:i w:val="0"/>
          <w:iCs w:val="0"/>
          <w:caps w:val="0"/>
          <w:smallCaps w:val="0"/>
          <w:strike w:val="0"/>
          <w:dstrike w:val="0"/>
          <w:noProof w:val="0"/>
          <w:color w:val="000000" w:themeColor="text1" w:themeTint="FF" w:themeShade="FF"/>
          <w:sz w:val="24"/>
          <w:szCs w:val="24"/>
          <w:u w:val="single"/>
          <w:lang w:val="en-US"/>
        </w:rPr>
        <w:t>C</w:t>
      </w:r>
    </w:p>
    <w:p w:rsidR="1A12C0A6" w:rsidP="3B09BF86" w:rsidRDefault="1A12C0A6" w14:paraId="7BD4951C" w14:textId="1BC564C3">
      <w:pPr>
        <w:pStyle w:val="Normal"/>
        <w:spacing w:before="0" w:beforeAutospacing="off" w:after="160" w:afterAutospacing="off" w:line="279" w:lineRule="auto"/>
        <w:ind w:left="0" w:right="0"/>
        <w:jc w:val="left"/>
        <w:rPr>
          <w:rFonts w:ascii="Aptos Display" w:hAnsi="Aptos Display" w:eastAsia="Aptos Display" w:cs="Aptos Display"/>
          <w:b w:val="0"/>
          <w:bCs w:val="0"/>
          <w:i w:val="0"/>
          <w:iCs w:val="0"/>
          <w:caps w:val="0"/>
          <w:smallCaps w:val="0"/>
          <w:noProof w:val="0"/>
          <w:color w:val="000000" w:themeColor="text1" w:themeTint="FF" w:themeShade="FF"/>
          <w:sz w:val="24"/>
          <w:szCs w:val="24"/>
          <w:u w:val="none"/>
          <w:lang w:val="en-US"/>
        </w:rPr>
      </w:pPr>
      <w:r w:rsidRPr="3B09BF86" w:rsidR="1A12C0A6">
        <w:rPr>
          <w:rFonts w:ascii="Aptos Display" w:hAnsi="Aptos Display" w:eastAsia="Aptos Display" w:cs="Aptos Display" w:asciiTheme="minorAscii" w:hAnsiTheme="minorAscii" w:eastAsiaTheme="minorAscii" w:cstheme="minorAscii"/>
          <w:b w:val="0"/>
          <w:bCs w:val="0"/>
          <w:noProof w:val="0"/>
          <w:sz w:val="24"/>
          <w:szCs w:val="24"/>
          <w:u w:val="none"/>
          <w:lang w:val="en-US"/>
        </w:rPr>
        <w:t xml:space="preserve">Targets, Attendance, and Exhibitor </w:t>
      </w:r>
      <w:r w:rsidRPr="3B09BF86" w:rsidR="1A12C0A6">
        <w:rPr>
          <w:rFonts w:ascii="Aptos Display" w:hAnsi="Aptos Display" w:eastAsia="Aptos Display" w:cs="Aptos Display" w:asciiTheme="minorAscii" w:hAnsiTheme="minorAscii" w:eastAsiaTheme="minorAscii" w:cstheme="minorAscii"/>
          <w:b w:val="0"/>
          <w:bCs w:val="0"/>
          <w:noProof w:val="0"/>
          <w:sz w:val="24"/>
          <w:szCs w:val="24"/>
          <w:u w:val="none"/>
          <w:lang w:val="en-US"/>
        </w:rPr>
        <w:t xml:space="preserve">Recruitment  </w:t>
      </w:r>
    </w:p>
    <w:p w:rsidR="32FB2BE6" w:rsidRDefault="32FB2BE6" w14:paraId="25100D56" w14:textId="7B82CD94">
      <w:r w:rsidR="32FB2BE6">
        <w:drawing>
          <wp:inline wp14:editId="52AE38DE" wp14:anchorId="374D9139">
            <wp:extent cx="1878070" cy="2543999"/>
            <wp:effectExtent l="0" t="0" r="0" b="0"/>
            <wp:docPr id="11650320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4191057" name="Picture 1954191057"/>
                    <pic:cNvPicPr/>
                  </pic:nvPicPr>
                  <pic:blipFill>
                    <a:blip xmlns:r="http://schemas.openxmlformats.org/officeDocument/2006/relationships" r:embed="rId920341744">
                      <a:extLst>
                        <a:ext uri="{28A0092B-C50C-407E-A947-70E740481C1C}">
                          <a14:useLocalDpi xmlns:a14="http://schemas.microsoft.com/office/drawing/2010/main"/>
                        </a:ext>
                      </a:extLst>
                    </a:blip>
                    <a:stretch>
                      <a:fillRect/>
                    </a:stretch>
                  </pic:blipFill>
                  <pic:spPr>
                    <a:xfrm rot="0">
                      <a:off x="0" y="0"/>
                      <a:ext cx="1878070" cy="2543999"/>
                    </a:xfrm>
                    <a:prstGeom prst="rect">
                      <a:avLst/>
                    </a:prstGeom>
                  </pic:spPr>
                </pic:pic>
              </a:graphicData>
            </a:graphic>
          </wp:inline>
        </w:drawing>
      </w:r>
      <w:r w:rsidR="32FB2BE6">
        <w:drawing>
          <wp:inline wp14:editId="2D31030A" wp14:anchorId="0087B05C">
            <wp:extent cx="1866900" cy="2535640"/>
            <wp:effectExtent l="0" t="0" r="0" b="0"/>
            <wp:docPr id="4720720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1588160" name="Picture 1641588160"/>
                    <pic:cNvPicPr/>
                  </pic:nvPicPr>
                  <pic:blipFill>
                    <a:blip xmlns:r="http://schemas.openxmlformats.org/officeDocument/2006/relationships" r:embed="rId1332430074">
                      <a:extLst>
                        <a:ext uri="{28A0092B-C50C-407E-A947-70E740481C1C}">
                          <a14:useLocalDpi xmlns:a14="http://schemas.microsoft.com/office/drawing/2010/main"/>
                        </a:ext>
                      </a:extLst>
                    </a:blip>
                    <a:stretch>
                      <a:fillRect/>
                    </a:stretch>
                  </pic:blipFill>
                  <pic:spPr>
                    <a:xfrm rot="0">
                      <a:off x="0" y="0"/>
                      <a:ext cx="1866900" cy="2535640"/>
                    </a:xfrm>
                    <a:prstGeom prst="rect">
                      <a:avLst/>
                    </a:prstGeom>
                  </pic:spPr>
                </pic:pic>
              </a:graphicData>
            </a:graphic>
          </wp:inline>
        </w:drawing>
      </w:r>
    </w:p>
    <w:p w:rsidR="3B09BF86" w:rsidP="3B09BF86" w:rsidRDefault="3B09BF86" w14:paraId="344933C4" w14:textId="59ABC1CB">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3B09BF86" w:rsidP="3B09BF86" w:rsidRDefault="3B09BF86" w14:paraId="45E9CF27" w14:textId="2D32F0E3">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32FB2BE6" w:rsidP="3B09BF86" w:rsidRDefault="32FB2BE6" w14:paraId="3DC84188" w14:textId="3C62463D">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32FB2BE6">
        <w:drawing>
          <wp:inline wp14:editId="4988C0CC" wp14:anchorId="66E9B92E">
            <wp:extent cx="2824902" cy="1552575"/>
            <wp:effectExtent l="0" t="0" r="0" b="0"/>
            <wp:docPr id="12333979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8342807" name="Picture 1758342807"/>
                    <pic:cNvPicPr/>
                  </pic:nvPicPr>
                  <pic:blipFill>
                    <a:blip xmlns:r="http://schemas.openxmlformats.org/officeDocument/2006/relationships" r:embed="rId605409343">
                      <a:extLst>
                        <a:ext uri="{28A0092B-C50C-407E-A947-70E740481C1C}">
                          <a14:useLocalDpi xmlns:a14="http://schemas.microsoft.com/office/drawing/2010/main"/>
                        </a:ext>
                      </a:extLst>
                    </a:blip>
                    <a:stretch>
                      <a:fillRect/>
                    </a:stretch>
                  </pic:blipFill>
                  <pic:spPr>
                    <a:xfrm rot="0">
                      <a:off x="0" y="0"/>
                      <a:ext cx="2824902" cy="1552575"/>
                    </a:xfrm>
                    <a:prstGeom prst="rect">
                      <a:avLst/>
                    </a:prstGeom>
                  </pic:spPr>
                </pic:pic>
              </a:graphicData>
            </a:graphic>
          </wp:inline>
        </w:drawing>
      </w:r>
    </w:p>
    <w:p w:rsidR="32FB2BE6" w:rsidP="3B09BF86" w:rsidRDefault="32FB2BE6" w14:paraId="4FB69C9F" w14:textId="2E92E40E">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32FB2BE6">
        <w:drawing>
          <wp:inline wp14:editId="40E6F9EE" wp14:anchorId="02A94C42">
            <wp:extent cx="2752725" cy="1847129"/>
            <wp:effectExtent l="0" t="0" r="0" b="0"/>
            <wp:docPr id="15436693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7361629" name="Picture 687361629"/>
                    <pic:cNvPicPr/>
                  </pic:nvPicPr>
                  <pic:blipFill>
                    <a:blip xmlns:r="http://schemas.openxmlformats.org/officeDocument/2006/relationships" r:embed="rId542184412">
                      <a:extLst>
                        <a:ext uri="{28A0092B-C50C-407E-A947-70E740481C1C}">
                          <a14:useLocalDpi xmlns:a14="http://schemas.microsoft.com/office/drawing/2010/main"/>
                        </a:ext>
                      </a:extLst>
                    </a:blip>
                    <a:stretch>
                      <a:fillRect/>
                    </a:stretch>
                  </pic:blipFill>
                  <pic:spPr>
                    <a:xfrm rot="0">
                      <a:off x="0" y="0"/>
                      <a:ext cx="2752725" cy="1847129"/>
                    </a:xfrm>
                    <a:prstGeom prst="rect">
                      <a:avLst/>
                    </a:prstGeom>
                  </pic:spPr>
                </pic:pic>
              </a:graphicData>
            </a:graphic>
          </wp:inline>
        </w:drawing>
      </w:r>
    </w:p>
    <w:p w:rsidR="3B09BF86" w:rsidP="3B09BF86" w:rsidRDefault="3B09BF86" w14:paraId="4185DD31" w14:textId="07F70717">
      <w:pPr>
        <w:pStyle w:val="Normal"/>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noProof w:val="0"/>
          <w:sz w:val="24"/>
          <w:szCs w:val="24"/>
          <w:u w:val="none"/>
          <w:lang w:val="en-US"/>
        </w:rPr>
      </w:pPr>
    </w:p>
    <w:p w:rsidR="3B09BF86" w:rsidP="3B09BF86" w:rsidRDefault="3B09BF86" w14:paraId="11BEA2A9" w14:textId="77BC1FEA">
      <w:pPr>
        <w:bidi w:val="0"/>
        <w:spacing w:before="0" w:beforeAutospacing="off" w:after="160" w:afterAutospacing="off" w:line="279" w:lineRule="auto"/>
        <w:ind w:left="0" w:right="0"/>
        <w:jc w:val="left"/>
      </w:pPr>
    </w:p>
    <w:p w:rsidR="3B09BF86" w:rsidP="3B09BF86" w:rsidRDefault="3B09BF86" w14:paraId="020B37DF" w14:textId="66A7169F">
      <w:pPr>
        <w:bidi w:val="0"/>
        <w:spacing w:before="0" w:beforeAutospacing="off" w:after="160" w:afterAutospacing="off" w:line="279" w:lineRule="auto"/>
        <w:ind w:left="0" w:right="0"/>
        <w:jc w:val="left"/>
      </w:pPr>
    </w:p>
    <w:p w:rsidR="3B09BF86" w:rsidP="3B09BF86" w:rsidRDefault="3B09BF86" w14:paraId="3EAF96A6" w14:textId="1DD30717">
      <w:pPr>
        <w:bidi w:val="0"/>
        <w:spacing w:before="0" w:beforeAutospacing="off" w:after="160" w:afterAutospacing="off" w:line="279" w:lineRule="auto"/>
        <w:ind w:left="0" w:right="0"/>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5062DD93" w:rsidP="3B09BF86" w:rsidRDefault="5062DD93" w14:paraId="51636AE7" w14:textId="08A24083">
      <w:pPr>
        <w:bidi w:val="0"/>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3B09BF86" w:rsidR="5062DD93">
        <w:rPr>
          <w:rFonts w:ascii="Aptos Display" w:hAnsi="Aptos Display" w:eastAsia="Aptos Display" w:cs="Aptos Display"/>
          <w:b w:val="1"/>
          <w:bCs w:val="1"/>
          <w:i w:val="0"/>
          <w:iCs w:val="0"/>
          <w:caps w:val="0"/>
          <w:smallCaps w:val="0"/>
          <w:strike w:val="0"/>
          <w:dstrike w:val="0"/>
          <w:noProof w:val="0"/>
          <w:color w:val="000000" w:themeColor="text1" w:themeTint="FF" w:themeShade="FF"/>
          <w:sz w:val="24"/>
          <w:szCs w:val="24"/>
          <w:u w:val="single"/>
          <w:lang w:val="en-US"/>
        </w:rPr>
        <w:t>Appendix D</w:t>
      </w:r>
    </w:p>
    <w:p w:rsidR="6EC5371F" w:rsidRDefault="6EC5371F" w14:paraId="6030B2F6" w14:textId="52ACACF5">
      <w:r w:rsidR="6EC5371F">
        <w:rPr/>
        <w:t xml:space="preserve">Attendees </w:t>
      </w:r>
      <w:r w:rsidR="6EC5371F">
        <w:rPr/>
        <w:t>Satisfaction</w:t>
      </w:r>
      <w:r w:rsidR="6EC5371F">
        <w:rPr/>
        <w:t xml:space="preserve"> and value </w:t>
      </w:r>
    </w:p>
    <w:p w:rsidR="15CA60E5" w:rsidP="3B09BF86" w:rsidRDefault="15CA60E5" w14:paraId="7086D3DF" w14:textId="6BCD4E3A">
      <w:pPr>
        <w:pStyle w:val="Normal"/>
        <w:spacing w:before="580" w:beforeAutospacing="off" w:after="580" w:afterAutospacing="off"/>
        <w:jc w:val="both"/>
      </w:pPr>
      <w:r w:rsidR="15CA60E5">
        <w:drawing>
          <wp:inline wp14:editId="4533A197" wp14:anchorId="1D9B32D7">
            <wp:extent cx="5943600" cy="828675"/>
            <wp:effectExtent l="0" t="0" r="0" b="0"/>
            <wp:docPr id="11781202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2836956" name="Picture 2112836956"/>
                    <pic:cNvPicPr/>
                  </pic:nvPicPr>
                  <pic:blipFill>
                    <a:blip xmlns:r="http://schemas.openxmlformats.org/officeDocument/2006/relationships" r:embed="rId812103960">
                      <a:extLst>
                        <a:ext uri="{28A0092B-C50C-407E-A947-70E740481C1C}">
                          <a14:useLocalDpi xmlns:a14="http://schemas.microsoft.com/office/drawing/2010/main"/>
                        </a:ext>
                      </a:extLst>
                    </a:blip>
                    <a:stretch>
                      <a:fillRect/>
                    </a:stretch>
                  </pic:blipFill>
                  <pic:spPr>
                    <a:xfrm>
                      <a:off x="0" y="0"/>
                      <a:ext cx="5943600" cy="828675"/>
                    </a:xfrm>
                    <a:prstGeom prst="rect">
                      <a:avLst/>
                    </a:prstGeom>
                  </pic:spPr>
                </pic:pic>
              </a:graphicData>
            </a:graphic>
          </wp:inline>
        </w:drawing>
      </w:r>
      <w:r w:rsidR="15CA60E5">
        <w:drawing>
          <wp:inline wp14:editId="02C0D04B" wp14:anchorId="760D82F3">
            <wp:extent cx="5943600" cy="514350"/>
            <wp:effectExtent l="0" t="0" r="0" b="0"/>
            <wp:docPr id="155576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9055592" name="Picture 2079055592"/>
                    <pic:cNvPicPr/>
                  </pic:nvPicPr>
                  <pic:blipFill>
                    <a:blip xmlns:r="http://schemas.openxmlformats.org/officeDocument/2006/relationships" r:embed="rId583683730">
                      <a:extLst>
                        <a:ext uri="{28A0092B-C50C-407E-A947-70E740481C1C}">
                          <a14:useLocalDpi xmlns:a14="http://schemas.microsoft.com/office/drawing/2010/main"/>
                        </a:ext>
                      </a:extLst>
                    </a:blip>
                    <a:stretch>
                      <a:fillRect/>
                    </a:stretch>
                  </pic:blipFill>
                  <pic:spPr>
                    <a:xfrm>
                      <a:off x="0" y="0"/>
                      <a:ext cx="5943600" cy="514350"/>
                    </a:xfrm>
                    <a:prstGeom prst="rect">
                      <a:avLst/>
                    </a:prstGeom>
                  </pic:spPr>
                </pic:pic>
              </a:graphicData>
            </a:graphic>
          </wp:inline>
        </w:drawing>
      </w:r>
      <w:r w:rsidR="15CA60E5">
        <w:drawing>
          <wp:inline wp14:editId="1A6E47B1" wp14:anchorId="15287DBF">
            <wp:extent cx="5943600" cy="809625"/>
            <wp:effectExtent l="0" t="0" r="0" b="0"/>
            <wp:docPr id="1912170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1410191" name="Picture 1631410191"/>
                    <pic:cNvPicPr/>
                  </pic:nvPicPr>
                  <pic:blipFill>
                    <a:blip xmlns:r="http://schemas.openxmlformats.org/officeDocument/2006/relationships" r:embed="rId1092143481">
                      <a:extLst>
                        <a:ext uri="{28A0092B-C50C-407E-A947-70E740481C1C}">
                          <a14:useLocalDpi xmlns:a14="http://schemas.microsoft.com/office/drawing/2010/main"/>
                        </a:ext>
                      </a:extLst>
                    </a:blip>
                    <a:stretch>
                      <a:fillRect/>
                    </a:stretch>
                  </pic:blipFill>
                  <pic:spPr>
                    <a:xfrm>
                      <a:off x="0" y="0"/>
                      <a:ext cx="5943600" cy="809625"/>
                    </a:xfrm>
                    <a:prstGeom prst="rect">
                      <a:avLst/>
                    </a:prstGeom>
                  </pic:spPr>
                </pic:pic>
              </a:graphicData>
            </a:graphic>
          </wp:inline>
        </w:drawing>
      </w:r>
      <w:r w:rsidR="15CA60E5">
        <w:drawing>
          <wp:inline wp14:editId="52D7CED6" wp14:anchorId="323EAC67">
            <wp:extent cx="3435579" cy="3876675"/>
            <wp:effectExtent l="0" t="0" r="0" b="0"/>
            <wp:docPr id="17234872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0827310" name="Picture 970827310"/>
                    <pic:cNvPicPr/>
                  </pic:nvPicPr>
                  <pic:blipFill>
                    <a:blip xmlns:r="http://schemas.openxmlformats.org/officeDocument/2006/relationships" r:embed="rId779447689">
                      <a:extLst>
                        <a:ext uri="{28A0092B-C50C-407E-A947-70E740481C1C}">
                          <a14:useLocalDpi xmlns:a14="http://schemas.microsoft.com/office/drawing/2010/main"/>
                        </a:ext>
                      </a:extLst>
                    </a:blip>
                    <a:stretch>
                      <a:fillRect/>
                    </a:stretch>
                  </pic:blipFill>
                  <pic:spPr>
                    <a:xfrm rot="0">
                      <a:off x="0" y="0"/>
                      <a:ext cx="3435579" cy="3876675"/>
                    </a:xfrm>
                    <a:prstGeom prst="rect">
                      <a:avLst/>
                    </a:prstGeom>
                  </pic:spPr>
                </pic:pic>
              </a:graphicData>
            </a:graphic>
          </wp:inline>
        </w:drawing>
      </w:r>
    </w:p>
    <w:p w:rsidR="15CA60E5" w:rsidP="3B09BF86" w:rsidRDefault="15CA60E5" w14:paraId="31691F53" w14:textId="074B4DBD">
      <w:pPr>
        <w:pStyle w:val="Normal"/>
        <w:spacing w:before="580" w:beforeAutospacing="off" w:after="580" w:afterAutospacing="off"/>
        <w:jc w:val="both"/>
      </w:pPr>
      <w:r w:rsidR="15CA60E5">
        <w:drawing>
          <wp:inline wp14:editId="5D02762E" wp14:anchorId="37055A33">
            <wp:extent cx="1905990" cy="2022683"/>
            <wp:effectExtent l="0" t="0" r="0" b="0"/>
            <wp:docPr id="4747053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2538688" name="Picture 1112538688"/>
                    <pic:cNvPicPr/>
                  </pic:nvPicPr>
                  <pic:blipFill>
                    <a:blip xmlns:r="http://schemas.openxmlformats.org/officeDocument/2006/relationships" r:embed="rId1516383238">
                      <a:extLst>
                        <a:ext uri="{28A0092B-C50C-407E-A947-70E740481C1C}">
                          <a14:useLocalDpi xmlns:a14="http://schemas.microsoft.com/office/drawing/2010/main"/>
                        </a:ext>
                      </a:extLst>
                    </a:blip>
                    <a:stretch>
                      <a:fillRect/>
                    </a:stretch>
                  </pic:blipFill>
                  <pic:spPr>
                    <a:xfrm rot="0">
                      <a:off x="0" y="0"/>
                      <a:ext cx="1905990" cy="2022683"/>
                    </a:xfrm>
                    <a:prstGeom prst="rect">
                      <a:avLst/>
                    </a:prstGeom>
                  </pic:spPr>
                </pic:pic>
              </a:graphicData>
            </a:graphic>
          </wp:inline>
        </w:drawing>
      </w:r>
      <w:r w:rsidR="15CA60E5">
        <w:drawing>
          <wp:inline wp14:editId="52C36308" wp14:anchorId="29CD98C5">
            <wp:extent cx="2032672" cy="2314575"/>
            <wp:effectExtent l="0" t="0" r="0" b="0"/>
            <wp:docPr id="12349961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6528339" name="Picture 1846528339"/>
                    <pic:cNvPicPr/>
                  </pic:nvPicPr>
                  <pic:blipFill>
                    <a:blip xmlns:r="http://schemas.openxmlformats.org/officeDocument/2006/relationships" r:embed="rId528816357">
                      <a:extLst>
                        <a:ext uri="{28A0092B-C50C-407E-A947-70E740481C1C}">
                          <a14:useLocalDpi xmlns:a14="http://schemas.microsoft.com/office/drawing/2010/main"/>
                        </a:ext>
                      </a:extLst>
                    </a:blip>
                    <a:stretch>
                      <a:fillRect/>
                    </a:stretch>
                  </pic:blipFill>
                  <pic:spPr>
                    <a:xfrm rot="0">
                      <a:off x="0" y="0"/>
                      <a:ext cx="2032672" cy="2314575"/>
                    </a:xfrm>
                    <a:prstGeom prst="rect">
                      <a:avLst/>
                    </a:prstGeom>
                  </pic:spPr>
                </pic:pic>
              </a:graphicData>
            </a:graphic>
          </wp:inline>
        </w:drawing>
      </w:r>
      <w:r w:rsidR="15CA60E5">
        <w:drawing>
          <wp:inline wp14:editId="6A03B9E6" wp14:anchorId="09F7FC7F">
            <wp:extent cx="2204134" cy="2055779"/>
            <wp:effectExtent l="0" t="0" r="0" b="0"/>
            <wp:docPr id="13501152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411251" name="Picture 75411251"/>
                    <pic:cNvPicPr/>
                  </pic:nvPicPr>
                  <pic:blipFill>
                    <a:blip xmlns:r="http://schemas.openxmlformats.org/officeDocument/2006/relationships" r:embed="rId476888672">
                      <a:extLst>
                        <a:ext uri="{28A0092B-C50C-407E-A947-70E740481C1C}">
                          <a14:useLocalDpi xmlns:a14="http://schemas.microsoft.com/office/drawing/2010/main"/>
                        </a:ext>
                      </a:extLst>
                    </a:blip>
                    <a:stretch>
                      <a:fillRect/>
                    </a:stretch>
                  </pic:blipFill>
                  <pic:spPr>
                    <a:xfrm rot="0">
                      <a:off x="0" y="0"/>
                      <a:ext cx="2204134" cy="2055779"/>
                    </a:xfrm>
                    <a:prstGeom prst="rect">
                      <a:avLst/>
                    </a:prstGeom>
                  </pic:spPr>
                </pic:pic>
              </a:graphicData>
            </a:graphic>
          </wp:inline>
        </w:drawing>
      </w:r>
      <w:r w:rsidR="15CA60E5">
        <w:drawing>
          <wp:inline wp14:editId="5D5BF8EB" wp14:anchorId="0E74DE3F">
            <wp:extent cx="1812921" cy="1933783"/>
            <wp:effectExtent l="0" t="0" r="0" b="0"/>
            <wp:docPr id="15048335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5017759" name="Picture 1335017759"/>
                    <pic:cNvPicPr/>
                  </pic:nvPicPr>
                  <pic:blipFill>
                    <a:blip xmlns:r="http://schemas.openxmlformats.org/officeDocument/2006/relationships" r:embed="rId293402840">
                      <a:extLst>
                        <a:ext uri="{28A0092B-C50C-407E-A947-70E740481C1C}">
                          <a14:useLocalDpi xmlns:a14="http://schemas.microsoft.com/office/drawing/2010/main"/>
                        </a:ext>
                      </a:extLst>
                    </a:blip>
                    <a:stretch>
                      <a:fillRect/>
                    </a:stretch>
                  </pic:blipFill>
                  <pic:spPr>
                    <a:xfrm rot="0">
                      <a:off x="0" y="0"/>
                      <a:ext cx="1812921" cy="1933783"/>
                    </a:xfrm>
                    <a:prstGeom prst="rect">
                      <a:avLst/>
                    </a:prstGeom>
                  </pic:spPr>
                </pic:pic>
              </a:graphicData>
            </a:graphic>
          </wp:inline>
        </w:drawing>
      </w:r>
    </w:p>
    <w:p w:rsidR="15CA60E5" w:rsidP="3B09BF86" w:rsidRDefault="15CA60E5" w14:paraId="393AA9E6" w14:textId="5F6735FE">
      <w:pPr>
        <w:pStyle w:val="Normal"/>
        <w:spacing w:before="580" w:beforeAutospacing="off" w:after="580" w:afterAutospacing="off"/>
        <w:jc w:val="both"/>
      </w:pPr>
      <w:r w:rsidR="15CA60E5">
        <w:drawing>
          <wp:inline wp14:editId="020A9B64" wp14:anchorId="36FA5AC1">
            <wp:extent cx="1888069" cy="1691395"/>
            <wp:effectExtent l="0" t="0" r="0" b="0"/>
            <wp:docPr id="13089957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4749711" name="Picture 654749711"/>
                    <pic:cNvPicPr/>
                  </pic:nvPicPr>
                  <pic:blipFill>
                    <a:blip xmlns:r="http://schemas.openxmlformats.org/officeDocument/2006/relationships" r:embed="rId1228682965">
                      <a:extLst>
                        <a:ext uri="{28A0092B-C50C-407E-A947-70E740481C1C}">
                          <a14:useLocalDpi xmlns:a14="http://schemas.microsoft.com/office/drawing/2010/main"/>
                        </a:ext>
                      </a:extLst>
                    </a:blip>
                    <a:stretch>
                      <a:fillRect/>
                    </a:stretch>
                  </pic:blipFill>
                  <pic:spPr>
                    <a:xfrm rot="0">
                      <a:off x="0" y="0"/>
                      <a:ext cx="1888069" cy="1691395"/>
                    </a:xfrm>
                    <a:prstGeom prst="rect">
                      <a:avLst/>
                    </a:prstGeom>
                  </pic:spPr>
                </pic:pic>
              </a:graphicData>
            </a:graphic>
          </wp:inline>
        </w:drawing>
      </w:r>
    </w:p>
    <w:p w:rsidR="3B09BF86" w:rsidP="3B09BF86" w:rsidRDefault="3B09BF86" w14:paraId="45062952" w14:textId="3001C5B7">
      <w:pPr>
        <w:pStyle w:val="Normal"/>
        <w:spacing w:before="580" w:beforeAutospacing="off" w:after="580" w:afterAutospacing="off"/>
        <w:jc w:val="both"/>
      </w:pPr>
    </w:p>
    <w:p w:rsidR="3B09BF86" w:rsidP="3B09BF86" w:rsidRDefault="3B09BF86" w14:paraId="48B30A72" w14:textId="38E30DEA">
      <w:pPr>
        <w:pStyle w:val="Normal"/>
        <w:spacing w:before="580" w:beforeAutospacing="off" w:after="580" w:afterAutospacing="off"/>
        <w:jc w:val="both"/>
        <w:rPr>
          <w:rFonts w:ascii="Aptos Display" w:hAnsi="Aptos Display" w:eastAsia="Aptos Display" w:cs="Aptos Display"/>
          <w:b w:val="1"/>
          <w:bCs w:val="1"/>
          <w:i w:val="0"/>
          <w:iCs w:val="0"/>
          <w:caps w:val="0"/>
          <w:smallCaps w:val="0"/>
          <w:strike w:val="0"/>
          <w:dstrike w:val="0"/>
          <w:noProof w:val="0"/>
          <w:color w:val="000000" w:themeColor="text1" w:themeTint="FF" w:themeShade="FF"/>
          <w:sz w:val="24"/>
          <w:szCs w:val="24"/>
          <w:u w:val="single"/>
          <w:lang w:val="en-US"/>
        </w:rPr>
      </w:pPr>
    </w:p>
    <w:p w:rsidR="5062DD93" w:rsidP="3B09BF86" w:rsidRDefault="5062DD93" w14:paraId="5A56BFE9" w14:textId="2D44C661">
      <w:pPr>
        <w:pStyle w:val="Normal"/>
        <w:spacing w:before="580" w:beforeAutospacing="off" w:after="580" w:afterAutospacing="off"/>
        <w:jc w:val="both"/>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3B09BF86" w:rsidR="5062DD93">
        <w:rPr>
          <w:rFonts w:ascii="Aptos Display" w:hAnsi="Aptos Display" w:eastAsia="Aptos Display" w:cs="Aptos Display"/>
          <w:b w:val="1"/>
          <w:bCs w:val="1"/>
          <w:i w:val="0"/>
          <w:iCs w:val="0"/>
          <w:caps w:val="0"/>
          <w:smallCaps w:val="0"/>
          <w:strike w:val="0"/>
          <w:dstrike w:val="0"/>
          <w:noProof w:val="0"/>
          <w:color w:val="000000" w:themeColor="text1" w:themeTint="FF" w:themeShade="FF"/>
          <w:sz w:val="24"/>
          <w:szCs w:val="24"/>
          <w:u w:val="single"/>
          <w:lang w:val="en-US"/>
        </w:rPr>
        <w:t>Appendix E</w:t>
      </w:r>
    </w:p>
    <w:p w:rsidR="66D8A509" w:rsidRDefault="66D8A509" w14:paraId="0BA3F265" w14:textId="36E35B9C">
      <w:r w:rsidR="66D8A509">
        <w:rPr/>
        <w:t xml:space="preserve">Budget </w:t>
      </w:r>
    </w:p>
    <w:p w:rsidR="3B09BF86" w:rsidP="3B09BF86" w:rsidRDefault="3B09BF86" w14:paraId="3526D62C" w14:textId="773382BA">
      <w:pPr>
        <w:pStyle w:val="Normal"/>
        <w:bidi w:val="0"/>
        <w:spacing w:before="0" w:beforeAutospacing="off" w:after="160" w:afterAutospacing="off" w:line="279" w:lineRule="auto"/>
        <w:ind w:left="0" w:right="0"/>
        <w:jc w:val="left"/>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340"/>
        <w:gridCol w:w="2340"/>
        <w:gridCol w:w="2340"/>
        <w:gridCol w:w="2340"/>
      </w:tblGrid>
      <w:tr w:rsidR="3B09BF86" w:rsidTr="3B09BF86" w14:paraId="36B147A1">
        <w:trPr>
          <w:trHeight w:val="495"/>
        </w:trPr>
        <w:tc>
          <w:tcPr>
            <w:tcW w:w="2340" w:type="dxa"/>
            <w:tcBorders>
              <w:top w:val="single" w:sz="6"/>
              <w:left w:val="single" w:sz="6"/>
            </w:tcBorders>
            <w:tcMar>
              <w:left w:w="105" w:type="dxa"/>
              <w:right w:w="105" w:type="dxa"/>
            </w:tcMar>
            <w:vAlign w:val="top"/>
          </w:tcPr>
          <w:p w:rsidR="3B09BF86" w:rsidP="3B09BF86" w:rsidRDefault="3B09BF86" w14:paraId="12E89187" w14:textId="53C86577">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trike w:val="0"/>
                <w:dstrike w:val="0"/>
                <w:sz w:val="24"/>
                <w:szCs w:val="24"/>
                <w:u w:val="single"/>
                <w:lang w:val="en-US"/>
              </w:rPr>
              <w:t>Item</w:t>
            </w:r>
          </w:p>
        </w:tc>
        <w:tc>
          <w:tcPr>
            <w:tcW w:w="2340" w:type="dxa"/>
            <w:tcBorders>
              <w:top w:val="single" w:sz="6"/>
            </w:tcBorders>
            <w:tcMar>
              <w:left w:w="105" w:type="dxa"/>
              <w:right w:w="105" w:type="dxa"/>
            </w:tcMar>
            <w:vAlign w:val="top"/>
          </w:tcPr>
          <w:p w:rsidR="3B09BF86" w:rsidP="3B09BF86" w:rsidRDefault="3B09BF86" w14:paraId="5382CA84" w14:textId="3AED9B96">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trike w:val="0"/>
                <w:dstrike w:val="0"/>
                <w:sz w:val="24"/>
                <w:szCs w:val="24"/>
                <w:u w:val="single"/>
                <w:lang w:val="en-US"/>
              </w:rPr>
              <w:t xml:space="preserve">Estimated cost </w:t>
            </w:r>
          </w:p>
        </w:tc>
        <w:tc>
          <w:tcPr>
            <w:tcW w:w="2340" w:type="dxa"/>
            <w:tcBorders>
              <w:top w:val="single" w:sz="6"/>
            </w:tcBorders>
            <w:tcMar>
              <w:left w:w="105" w:type="dxa"/>
              <w:right w:w="105" w:type="dxa"/>
            </w:tcMar>
            <w:vAlign w:val="top"/>
          </w:tcPr>
          <w:p w:rsidR="3B09BF86" w:rsidP="3B09BF86" w:rsidRDefault="3B09BF86" w14:paraId="1DF6D170" w14:textId="30A05AC1">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trike w:val="0"/>
                <w:dstrike w:val="0"/>
                <w:sz w:val="24"/>
                <w:szCs w:val="24"/>
                <w:u w:val="single"/>
                <w:lang w:val="en-US"/>
              </w:rPr>
              <w:t>Actual Cost</w:t>
            </w:r>
          </w:p>
        </w:tc>
        <w:tc>
          <w:tcPr>
            <w:tcW w:w="2340" w:type="dxa"/>
            <w:tcBorders>
              <w:top w:val="single" w:sz="6"/>
              <w:right w:val="single" w:sz="6"/>
            </w:tcBorders>
            <w:tcMar>
              <w:left w:w="105" w:type="dxa"/>
              <w:right w:w="105" w:type="dxa"/>
            </w:tcMar>
            <w:vAlign w:val="top"/>
          </w:tcPr>
          <w:p w:rsidR="3B09BF86" w:rsidP="3B09BF86" w:rsidRDefault="3B09BF86" w14:paraId="0EA529F6" w14:textId="5ADC1FB8">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trike w:val="0"/>
                <w:dstrike w:val="0"/>
                <w:sz w:val="24"/>
                <w:szCs w:val="24"/>
                <w:u w:val="single"/>
                <w:lang w:val="en-US"/>
              </w:rPr>
              <w:t xml:space="preserve">Notes </w:t>
            </w:r>
          </w:p>
        </w:tc>
      </w:tr>
      <w:tr w:rsidR="3B09BF86" w:rsidTr="3B09BF86" w14:paraId="73035ECF">
        <w:trPr>
          <w:trHeight w:val="285"/>
        </w:trPr>
        <w:tc>
          <w:tcPr>
            <w:tcW w:w="2340" w:type="dxa"/>
            <w:tcBorders>
              <w:left w:val="single" w:sz="6"/>
            </w:tcBorders>
            <w:tcMar>
              <w:left w:w="105" w:type="dxa"/>
              <w:right w:w="105" w:type="dxa"/>
            </w:tcMar>
            <w:vAlign w:val="top"/>
          </w:tcPr>
          <w:p w:rsidR="3B09BF86" w:rsidP="3B09BF86" w:rsidRDefault="3B09BF86" w14:paraId="62689D7D" w14:textId="2387EDF2">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 xml:space="preserve">Venue Hire </w:t>
            </w:r>
          </w:p>
        </w:tc>
        <w:tc>
          <w:tcPr>
            <w:tcW w:w="2340" w:type="dxa"/>
            <w:tcMar>
              <w:left w:w="105" w:type="dxa"/>
              <w:right w:w="105" w:type="dxa"/>
            </w:tcMar>
            <w:vAlign w:val="top"/>
          </w:tcPr>
          <w:p w:rsidR="3B09BF86" w:rsidP="3B09BF86" w:rsidRDefault="3B09BF86" w14:paraId="37B9F764" w14:textId="529DB246">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£0</w:t>
            </w:r>
          </w:p>
        </w:tc>
        <w:tc>
          <w:tcPr>
            <w:tcW w:w="2340" w:type="dxa"/>
            <w:tcMar>
              <w:left w:w="105" w:type="dxa"/>
              <w:right w:w="105" w:type="dxa"/>
            </w:tcMar>
            <w:vAlign w:val="top"/>
          </w:tcPr>
          <w:p w:rsidR="3B09BF86" w:rsidP="3B09BF86" w:rsidRDefault="3B09BF86" w14:paraId="0D156FA7" w14:textId="34F9B478">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£0</w:t>
            </w:r>
          </w:p>
        </w:tc>
        <w:tc>
          <w:tcPr>
            <w:tcW w:w="2340" w:type="dxa"/>
            <w:tcBorders>
              <w:right w:val="single" w:sz="6"/>
            </w:tcBorders>
            <w:tcMar>
              <w:left w:w="105" w:type="dxa"/>
              <w:right w:w="105" w:type="dxa"/>
            </w:tcMar>
            <w:vAlign w:val="top"/>
          </w:tcPr>
          <w:p w:rsidR="3B09BF86" w:rsidP="3B09BF86" w:rsidRDefault="3B09BF86" w14:paraId="4E21BC59" w14:textId="2C5556F9">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 xml:space="preserve">Covered by UWTSD </w:t>
            </w:r>
          </w:p>
        </w:tc>
      </w:tr>
      <w:tr w:rsidR="3B09BF86" w:rsidTr="3B09BF86" w14:paraId="474CE641">
        <w:trPr>
          <w:trHeight w:val="285"/>
        </w:trPr>
        <w:tc>
          <w:tcPr>
            <w:tcW w:w="2340" w:type="dxa"/>
            <w:tcBorders>
              <w:left w:val="single" w:sz="6"/>
            </w:tcBorders>
            <w:tcMar>
              <w:left w:w="105" w:type="dxa"/>
              <w:right w:w="105" w:type="dxa"/>
            </w:tcMar>
            <w:vAlign w:val="top"/>
          </w:tcPr>
          <w:p w:rsidR="3B09BF86" w:rsidP="3B09BF86" w:rsidRDefault="3B09BF86" w14:paraId="299444A4" w14:textId="3F360277">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Marketing Materials</w:t>
            </w:r>
          </w:p>
        </w:tc>
        <w:tc>
          <w:tcPr>
            <w:tcW w:w="2340" w:type="dxa"/>
            <w:tcMar>
              <w:left w:w="105" w:type="dxa"/>
              <w:right w:w="105" w:type="dxa"/>
            </w:tcMar>
            <w:vAlign w:val="top"/>
          </w:tcPr>
          <w:p w:rsidR="3B09BF86" w:rsidP="3B09BF86" w:rsidRDefault="3B09BF86" w14:paraId="792C55F8" w14:textId="71E04969">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£0</w:t>
            </w:r>
          </w:p>
        </w:tc>
        <w:tc>
          <w:tcPr>
            <w:tcW w:w="2340" w:type="dxa"/>
            <w:tcMar>
              <w:left w:w="105" w:type="dxa"/>
              <w:right w:w="105" w:type="dxa"/>
            </w:tcMar>
            <w:vAlign w:val="top"/>
          </w:tcPr>
          <w:p w:rsidR="3B09BF86" w:rsidP="3B09BF86" w:rsidRDefault="3B09BF86" w14:paraId="1D5CB558" w14:textId="08F672DF">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£0</w:t>
            </w:r>
          </w:p>
        </w:tc>
        <w:tc>
          <w:tcPr>
            <w:tcW w:w="2340" w:type="dxa"/>
            <w:tcBorders>
              <w:right w:val="single" w:sz="6"/>
            </w:tcBorders>
            <w:tcMar>
              <w:left w:w="105" w:type="dxa"/>
              <w:right w:w="105" w:type="dxa"/>
            </w:tcMar>
            <w:vAlign w:val="top"/>
          </w:tcPr>
          <w:p w:rsidR="3B09BF86" w:rsidP="3B09BF86" w:rsidRDefault="3B09BF86" w14:paraId="6BA4BA25" w14:textId="3996673B">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 xml:space="preserve">Covered by UWTSD </w:t>
            </w:r>
          </w:p>
        </w:tc>
      </w:tr>
      <w:tr w:rsidR="3B09BF86" w:rsidTr="3B09BF86" w14:paraId="246E5CF5">
        <w:trPr>
          <w:trHeight w:val="285"/>
        </w:trPr>
        <w:tc>
          <w:tcPr>
            <w:tcW w:w="2340" w:type="dxa"/>
            <w:tcBorders>
              <w:left w:val="single" w:sz="6"/>
            </w:tcBorders>
            <w:tcMar>
              <w:left w:w="105" w:type="dxa"/>
              <w:right w:w="105" w:type="dxa"/>
            </w:tcMar>
            <w:vAlign w:val="top"/>
          </w:tcPr>
          <w:p w:rsidR="3B09BF86" w:rsidP="3B09BF86" w:rsidRDefault="3B09BF86" w14:paraId="5BD60257" w14:textId="448DB05B">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 xml:space="preserve">Mocktails Supplies </w:t>
            </w:r>
          </w:p>
        </w:tc>
        <w:tc>
          <w:tcPr>
            <w:tcW w:w="2340" w:type="dxa"/>
            <w:tcMar>
              <w:left w:w="105" w:type="dxa"/>
              <w:right w:w="105" w:type="dxa"/>
            </w:tcMar>
            <w:vAlign w:val="top"/>
          </w:tcPr>
          <w:p w:rsidR="3B09BF86" w:rsidP="3B09BF86" w:rsidRDefault="3B09BF86" w14:paraId="7608075B" w14:textId="1E2F83E9">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£50</w:t>
            </w:r>
          </w:p>
        </w:tc>
        <w:tc>
          <w:tcPr>
            <w:tcW w:w="2340" w:type="dxa"/>
            <w:tcMar>
              <w:left w:w="105" w:type="dxa"/>
              <w:right w:w="105" w:type="dxa"/>
            </w:tcMar>
            <w:vAlign w:val="top"/>
          </w:tcPr>
          <w:p w:rsidR="3B09BF86" w:rsidP="3B09BF86" w:rsidRDefault="3B09BF86" w14:paraId="22882E57" w14:textId="3BC89D5D">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£100</w:t>
            </w:r>
          </w:p>
        </w:tc>
        <w:tc>
          <w:tcPr>
            <w:tcW w:w="2340" w:type="dxa"/>
            <w:tcBorders>
              <w:right w:val="single" w:sz="6"/>
            </w:tcBorders>
            <w:tcMar>
              <w:left w:w="105" w:type="dxa"/>
              <w:right w:w="105" w:type="dxa"/>
            </w:tcMar>
            <w:vAlign w:val="top"/>
          </w:tcPr>
          <w:p w:rsidR="3B09BF86" w:rsidP="3B09BF86" w:rsidRDefault="3B09BF86" w14:paraId="22FC98E0" w14:textId="530AF65D">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Paid by Organizers/ UWTSD</w:t>
            </w:r>
          </w:p>
        </w:tc>
      </w:tr>
      <w:tr w:rsidR="3B09BF86" w:rsidTr="3B09BF86" w14:paraId="4F89DAD5">
        <w:trPr>
          <w:trHeight w:val="285"/>
        </w:trPr>
        <w:tc>
          <w:tcPr>
            <w:tcW w:w="2340" w:type="dxa"/>
            <w:tcBorders>
              <w:left w:val="single" w:sz="6"/>
            </w:tcBorders>
            <w:tcMar>
              <w:left w:w="105" w:type="dxa"/>
              <w:right w:w="105" w:type="dxa"/>
            </w:tcMar>
            <w:vAlign w:val="top"/>
          </w:tcPr>
          <w:p w:rsidR="3B09BF86" w:rsidP="3B09BF86" w:rsidRDefault="3B09BF86" w14:paraId="5AE5E0A4" w14:textId="45C45E67">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 xml:space="preserve">Prizes </w:t>
            </w:r>
          </w:p>
        </w:tc>
        <w:tc>
          <w:tcPr>
            <w:tcW w:w="2340" w:type="dxa"/>
            <w:tcMar>
              <w:left w:w="105" w:type="dxa"/>
              <w:right w:w="105" w:type="dxa"/>
            </w:tcMar>
            <w:vAlign w:val="top"/>
          </w:tcPr>
          <w:p w:rsidR="3B09BF86" w:rsidP="3B09BF86" w:rsidRDefault="3B09BF86" w14:paraId="5E8C65A8" w14:textId="431EE9F2">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£50</w:t>
            </w:r>
          </w:p>
        </w:tc>
        <w:tc>
          <w:tcPr>
            <w:tcW w:w="2340" w:type="dxa"/>
            <w:tcMar>
              <w:left w:w="105" w:type="dxa"/>
              <w:right w:w="105" w:type="dxa"/>
            </w:tcMar>
            <w:vAlign w:val="top"/>
          </w:tcPr>
          <w:p w:rsidR="3B09BF86" w:rsidP="3B09BF86" w:rsidRDefault="3B09BF86" w14:paraId="14333631" w14:textId="4DA23919">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£0</w:t>
            </w:r>
          </w:p>
        </w:tc>
        <w:tc>
          <w:tcPr>
            <w:tcW w:w="2340" w:type="dxa"/>
            <w:tcBorders>
              <w:right w:val="single" w:sz="6"/>
            </w:tcBorders>
            <w:tcMar>
              <w:left w:w="105" w:type="dxa"/>
              <w:right w:w="105" w:type="dxa"/>
            </w:tcMar>
            <w:vAlign w:val="top"/>
          </w:tcPr>
          <w:p w:rsidR="3B09BF86" w:rsidP="3B09BF86" w:rsidRDefault="3B09BF86" w14:paraId="26583F53" w14:textId="13851EB0">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 xml:space="preserve">Covered by sponsors </w:t>
            </w:r>
          </w:p>
        </w:tc>
      </w:tr>
      <w:tr w:rsidR="3B09BF86" w:rsidTr="3B09BF86" w14:paraId="51619B3A">
        <w:trPr>
          <w:trHeight w:val="285"/>
        </w:trPr>
        <w:tc>
          <w:tcPr>
            <w:tcW w:w="2340" w:type="dxa"/>
            <w:tcBorders>
              <w:left w:val="single" w:sz="6"/>
            </w:tcBorders>
            <w:tcMar>
              <w:left w:w="105" w:type="dxa"/>
              <w:right w:w="105" w:type="dxa"/>
            </w:tcMar>
            <w:vAlign w:val="top"/>
          </w:tcPr>
          <w:p w:rsidR="3B09BF86" w:rsidP="3B09BF86" w:rsidRDefault="3B09BF86" w14:paraId="40EF1A8F" w14:textId="6234FA25">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 xml:space="preserve">Vip Area </w:t>
            </w:r>
          </w:p>
        </w:tc>
        <w:tc>
          <w:tcPr>
            <w:tcW w:w="2340" w:type="dxa"/>
            <w:tcMar>
              <w:left w:w="105" w:type="dxa"/>
              <w:right w:w="105" w:type="dxa"/>
            </w:tcMar>
            <w:vAlign w:val="top"/>
          </w:tcPr>
          <w:p w:rsidR="3B09BF86" w:rsidP="3B09BF86" w:rsidRDefault="3B09BF86" w14:paraId="70D08DC2" w14:textId="4043AADC">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£800</w:t>
            </w:r>
          </w:p>
        </w:tc>
        <w:tc>
          <w:tcPr>
            <w:tcW w:w="2340" w:type="dxa"/>
            <w:tcMar>
              <w:left w:w="105" w:type="dxa"/>
              <w:right w:w="105" w:type="dxa"/>
            </w:tcMar>
            <w:vAlign w:val="top"/>
          </w:tcPr>
          <w:p w:rsidR="3B09BF86" w:rsidP="3B09BF86" w:rsidRDefault="3B09BF86" w14:paraId="696BD363" w14:textId="4DF25AC9">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£0</w:t>
            </w:r>
          </w:p>
        </w:tc>
        <w:tc>
          <w:tcPr>
            <w:tcW w:w="2340" w:type="dxa"/>
            <w:tcBorders>
              <w:right w:val="single" w:sz="6"/>
            </w:tcBorders>
            <w:tcMar>
              <w:left w:w="105" w:type="dxa"/>
              <w:right w:w="105" w:type="dxa"/>
            </w:tcMar>
            <w:vAlign w:val="top"/>
          </w:tcPr>
          <w:p w:rsidR="3B09BF86" w:rsidP="3B09BF86" w:rsidRDefault="3B09BF86" w14:paraId="3A7243D8" w14:textId="212DC060">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Covered by UWTSD</w:t>
            </w:r>
          </w:p>
        </w:tc>
      </w:tr>
      <w:tr w:rsidR="3B09BF86" w:rsidTr="3B09BF86" w14:paraId="7E3FB493">
        <w:trPr>
          <w:trHeight w:val="285"/>
        </w:trPr>
        <w:tc>
          <w:tcPr>
            <w:tcW w:w="2340" w:type="dxa"/>
            <w:tcBorders>
              <w:left w:val="single" w:sz="6"/>
            </w:tcBorders>
            <w:tcMar>
              <w:left w:w="105" w:type="dxa"/>
              <w:right w:w="105" w:type="dxa"/>
            </w:tcMar>
            <w:vAlign w:val="top"/>
          </w:tcPr>
          <w:p w:rsidR="3B09BF86" w:rsidP="3B09BF86" w:rsidRDefault="3B09BF86" w14:paraId="51F679C1" w14:textId="0E728CA4">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 xml:space="preserve">Mascots </w:t>
            </w:r>
          </w:p>
        </w:tc>
        <w:tc>
          <w:tcPr>
            <w:tcW w:w="2340" w:type="dxa"/>
            <w:tcMar>
              <w:left w:w="105" w:type="dxa"/>
              <w:right w:w="105" w:type="dxa"/>
            </w:tcMar>
            <w:vAlign w:val="top"/>
          </w:tcPr>
          <w:p w:rsidR="3B09BF86" w:rsidP="3B09BF86" w:rsidRDefault="3B09BF86" w14:paraId="2AC4051D" w14:textId="76ECE572">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£300</w:t>
            </w:r>
          </w:p>
        </w:tc>
        <w:tc>
          <w:tcPr>
            <w:tcW w:w="2340" w:type="dxa"/>
            <w:tcMar>
              <w:left w:w="105" w:type="dxa"/>
              <w:right w:w="105" w:type="dxa"/>
            </w:tcMar>
            <w:vAlign w:val="top"/>
          </w:tcPr>
          <w:p w:rsidR="3B09BF86" w:rsidP="3B09BF86" w:rsidRDefault="3B09BF86" w14:paraId="3C71D136" w14:textId="6AD382AC">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£200</w:t>
            </w:r>
          </w:p>
        </w:tc>
        <w:tc>
          <w:tcPr>
            <w:tcW w:w="2340" w:type="dxa"/>
            <w:tcBorders>
              <w:right w:val="single" w:sz="6"/>
            </w:tcBorders>
            <w:tcMar>
              <w:left w:w="105" w:type="dxa"/>
              <w:right w:w="105" w:type="dxa"/>
            </w:tcMar>
            <w:vAlign w:val="top"/>
          </w:tcPr>
          <w:p w:rsidR="3B09BF86" w:rsidP="3B09BF86" w:rsidRDefault="3B09BF86" w14:paraId="3769156F" w14:textId="63020FE7">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 xml:space="preserve">Covered by UWTSD &amp; Sponsors </w:t>
            </w:r>
          </w:p>
        </w:tc>
      </w:tr>
      <w:tr w:rsidR="3B09BF86" w:rsidTr="3B09BF86" w14:paraId="225065B5">
        <w:trPr>
          <w:trHeight w:val="330"/>
        </w:trPr>
        <w:tc>
          <w:tcPr>
            <w:tcW w:w="2340" w:type="dxa"/>
            <w:tcBorders>
              <w:left w:val="single" w:sz="6"/>
            </w:tcBorders>
            <w:tcMar>
              <w:left w:w="105" w:type="dxa"/>
              <w:right w:w="105" w:type="dxa"/>
            </w:tcMar>
            <w:vAlign w:val="top"/>
          </w:tcPr>
          <w:p w:rsidR="3B09BF86" w:rsidP="3B09BF86" w:rsidRDefault="3B09BF86" w14:paraId="341FAC0F" w14:textId="3443A13F">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 xml:space="preserve">Decorations </w:t>
            </w:r>
          </w:p>
        </w:tc>
        <w:tc>
          <w:tcPr>
            <w:tcW w:w="2340" w:type="dxa"/>
            <w:tcMar>
              <w:left w:w="105" w:type="dxa"/>
              <w:right w:w="105" w:type="dxa"/>
            </w:tcMar>
            <w:vAlign w:val="top"/>
          </w:tcPr>
          <w:p w:rsidR="3B09BF86" w:rsidP="3B09BF86" w:rsidRDefault="3B09BF86" w14:paraId="1F1E4B07" w14:textId="4F84AF28">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£100</w:t>
            </w:r>
          </w:p>
        </w:tc>
        <w:tc>
          <w:tcPr>
            <w:tcW w:w="2340" w:type="dxa"/>
            <w:tcMar>
              <w:left w:w="105" w:type="dxa"/>
              <w:right w:w="105" w:type="dxa"/>
            </w:tcMar>
            <w:vAlign w:val="top"/>
          </w:tcPr>
          <w:p w:rsidR="3B09BF86" w:rsidP="3B09BF86" w:rsidRDefault="3B09BF86" w14:paraId="0C62CEB1" w14:textId="34A2A10F">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£250</w:t>
            </w:r>
          </w:p>
        </w:tc>
        <w:tc>
          <w:tcPr>
            <w:tcW w:w="2340" w:type="dxa"/>
            <w:tcBorders>
              <w:right w:val="single" w:sz="6"/>
            </w:tcBorders>
            <w:tcMar>
              <w:left w:w="105" w:type="dxa"/>
              <w:right w:w="105" w:type="dxa"/>
            </w:tcMar>
            <w:vAlign w:val="top"/>
          </w:tcPr>
          <w:p w:rsidR="3B09BF86" w:rsidP="3B09BF86" w:rsidRDefault="3B09BF86" w14:paraId="5BF78E0E" w14:textId="567DE1D9">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Paid buy Organizers</w:t>
            </w:r>
          </w:p>
        </w:tc>
      </w:tr>
      <w:tr w:rsidR="3B09BF86" w:rsidTr="3B09BF86" w14:paraId="4963BE82">
        <w:trPr>
          <w:trHeight w:val="285"/>
        </w:trPr>
        <w:tc>
          <w:tcPr>
            <w:tcW w:w="2340" w:type="dxa"/>
            <w:tcBorders>
              <w:left w:val="single" w:sz="6"/>
              <w:bottom w:val="single" w:sz="6"/>
            </w:tcBorders>
            <w:tcMar>
              <w:left w:w="105" w:type="dxa"/>
              <w:right w:w="105" w:type="dxa"/>
            </w:tcMar>
            <w:vAlign w:val="top"/>
          </w:tcPr>
          <w:p w:rsidR="3B09BF86" w:rsidP="3B09BF86" w:rsidRDefault="3B09BF86" w14:paraId="071EB3BD" w14:textId="0830FC16">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 xml:space="preserve">Total </w:t>
            </w:r>
          </w:p>
        </w:tc>
        <w:tc>
          <w:tcPr>
            <w:tcW w:w="2340" w:type="dxa"/>
            <w:tcBorders>
              <w:bottom w:val="single" w:sz="6"/>
            </w:tcBorders>
            <w:tcMar>
              <w:left w:w="105" w:type="dxa"/>
              <w:right w:w="105" w:type="dxa"/>
            </w:tcMar>
            <w:vAlign w:val="top"/>
          </w:tcPr>
          <w:p w:rsidR="3B09BF86" w:rsidP="3B09BF86" w:rsidRDefault="3B09BF86" w14:paraId="678941DE" w14:textId="111DC65F">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£1300</w:t>
            </w:r>
          </w:p>
        </w:tc>
        <w:tc>
          <w:tcPr>
            <w:tcW w:w="2340" w:type="dxa"/>
            <w:tcBorders>
              <w:bottom w:val="single" w:sz="6"/>
            </w:tcBorders>
            <w:tcMar>
              <w:left w:w="105" w:type="dxa"/>
              <w:right w:w="105" w:type="dxa"/>
            </w:tcMar>
            <w:vAlign w:val="top"/>
          </w:tcPr>
          <w:p w:rsidR="3B09BF86" w:rsidP="3B09BF86" w:rsidRDefault="3B09BF86" w14:paraId="542D888B" w14:textId="2D753A29">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£550</w:t>
            </w:r>
          </w:p>
        </w:tc>
        <w:tc>
          <w:tcPr>
            <w:tcW w:w="2340" w:type="dxa"/>
            <w:tcBorders>
              <w:bottom w:val="single" w:sz="6"/>
              <w:right w:val="single" w:sz="6"/>
            </w:tcBorders>
            <w:tcMar>
              <w:left w:w="105" w:type="dxa"/>
              <w:right w:w="105" w:type="dxa"/>
            </w:tcMar>
            <w:vAlign w:val="top"/>
          </w:tcPr>
          <w:p w:rsidR="3B09BF86" w:rsidP="3B09BF86" w:rsidRDefault="3B09BF86" w14:paraId="04F22CC9" w14:textId="505E80E2">
            <w:pPr>
              <w:bidi w:val="0"/>
              <w:jc w:val="center"/>
              <w:rPr>
                <w:rFonts w:ascii="Aptos Display" w:hAnsi="Aptos Display" w:eastAsia="Aptos Display" w:cs="Aptos Display"/>
                <w:b w:val="0"/>
                <w:bCs w:val="0"/>
                <w:i w:val="0"/>
                <w:iCs w:val="0"/>
                <w:sz w:val="24"/>
                <w:szCs w:val="24"/>
                <w:lang w:val="en-US"/>
              </w:rPr>
            </w:pPr>
            <w:r w:rsidRPr="3B09BF86" w:rsidR="3B09BF86">
              <w:rPr>
                <w:rFonts w:ascii="Aptos Display" w:hAnsi="Aptos Display" w:eastAsia="Aptos Display" w:cs="Aptos Display"/>
                <w:b w:val="1"/>
                <w:bCs w:val="1"/>
                <w:i w:val="0"/>
                <w:iCs w:val="0"/>
                <w:sz w:val="24"/>
                <w:szCs w:val="24"/>
                <w:lang w:val="en-US"/>
              </w:rPr>
              <w:t>Under budget due to UWTSD and sponsors</w:t>
            </w:r>
          </w:p>
        </w:tc>
      </w:tr>
    </w:tbl>
    <w:p w:rsidR="3B09BF86" w:rsidRDefault="3B09BF86" w14:paraId="4014A3B4" w14:textId="454A3762"/>
    <w:p w:rsidR="322D8565" w:rsidP="3B09BF86" w:rsidRDefault="322D8565" w14:paraId="7DFABA20" w14:textId="67181B4F">
      <w:pPr>
        <w:pStyle w:val="Normal"/>
        <w:spacing w:before="580" w:beforeAutospacing="off" w:after="580" w:afterAutospacing="off"/>
        <w:jc w:val="both"/>
      </w:pPr>
      <w:r w:rsidR="322D8565">
        <w:drawing>
          <wp:inline wp14:editId="53B5BC33" wp14:anchorId="205FAEBC">
            <wp:extent cx="3844916" cy="2286000"/>
            <wp:effectExtent l="0" t="0" r="0" b="0"/>
            <wp:docPr id="6451679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5167989" name="Picture 645167989"/>
                    <pic:cNvPicPr/>
                  </pic:nvPicPr>
                  <pic:blipFill>
                    <a:blip xmlns:r="http://schemas.openxmlformats.org/officeDocument/2006/relationships" r:embed="rId1675769366">
                      <a:extLst>
                        <a:ext uri="{28A0092B-C50C-407E-A947-70E740481C1C}">
                          <a14:useLocalDpi xmlns:a14="http://schemas.microsoft.com/office/drawing/2010/main"/>
                        </a:ext>
                      </a:extLst>
                    </a:blip>
                    <a:stretch>
                      <a:fillRect/>
                    </a:stretch>
                  </pic:blipFill>
                  <pic:spPr>
                    <a:xfrm rot="0">
                      <a:off x="0" y="0"/>
                      <a:ext cx="3844916" cy="2286000"/>
                    </a:xfrm>
                    <a:prstGeom prst="rect">
                      <a:avLst/>
                    </a:prstGeom>
                  </pic:spPr>
                </pic:pic>
              </a:graphicData>
            </a:graphic>
          </wp:inline>
        </w:drawing>
      </w:r>
    </w:p>
    <w:p w:rsidR="3B09BF86" w:rsidP="3B09BF86" w:rsidRDefault="3B09BF86" w14:paraId="0B599DD4" w14:textId="3D744A84">
      <w:pPr>
        <w:pStyle w:val="Normal"/>
        <w:spacing w:before="580" w:beforeAutospacing="off" w:after="580" w:afterAutospacing="off"/>
        <w:jc w:val="both"/>
      </w:pPr>
    </w:p>
    <w:p w:rsidR="3821E212" w:rsidP="1B6E5744" w:rsidRDefault="3821E212" w14:paraId="7DC821F1" w14:textId="5146BB6D">
      <w:pPr>
        <w:pStyle w:val="Normal"/>
        <w:rPr>
          <w:rFonts w:ascii="Aptos Display" w:hAnsi="Aptos Display" w:eastAsia="Aptos Display" w:cs="Aptos Display" w:asciiTheme="majorAscii" w:hAnsiTheme="majorAscii" w:eastAsiaTheme="majorAscii" w:cstheme="majorAscii"/>
          <w:b w:val="1"/>
          <w:bCs w:val="1"/>
          <w:noProof w:val="0"/>
          <w:sz w:val="56"/>
          <w:szCs w:val="56"/>
          <w:u w:val="single"/>
          <w:lang w:val="en-US"/>
        </w:rPr>
      </w:pPr>
      <w:r w:rsidRPr="1B6E5744" w:rsidR="3821E212">
        <w:rPr>
          <w:b w:val="1"/>
          <w:bCs w:val="1"/>
          <w:noProof w:val="0"/>
          <w:sz w:val="44"/>
          <w:szCs w:val="44"/>
          <w:u w:val="single"/>
          <w:lang w:val="en-US"/>
        </w:rPr>
        <w:t>Reference list</w:t>
      </w:r>
    </w:p>
    <w:p w:rsidR="1B6E5744" w:rsidP="1B6E5744" w:rsidRDefault="1B6E5744" w14:paraId="6002C8AF" w14:textId="664D8412">
      <w:pPr>
        <w:pStyle w:val="Normal"/>
        <w:rPr>
          <w:b w:val="1"/>
          <w:bCs w:val="1"/>
          <w:noProof w:val="0"/>
          <w:sz w:val="44"/>
          <w:szCs w:val="44"/>
          <w:u w:val="single"/>
          <w:lang w:val="en-US"/>
        </w:rPr>
      </w:pPr>
    </w:p>
    <w:p w:rsidR="3821E212" w:rsidP="1B6E5744" w:rsidRDefault="3821E212" w14:paraId="34237279" w14:textId="60AB3207">
      <w:pPr>
        <w:pStyle w:val="Normal"/>
      </w:pPr>
      <w:r w:rsidRPr="1B6E5744" w:rsidR="3821E212">
        <w:rPr>
          <w:noProof w:val="0"/>
          <w:lang w:val="en-US"/>
        </w:rPr>
        <w:t>Alex (</w:t>
      </w:r>
      <w:r w:rsidRPr="1B6E5744" w:rsidR="3821E212">
        <w:rPr>
          <w:noProof w:val="0"/>
          <w:lang w:val="en-US"/>
        </w:rPr>
        <w:t>2021).</w:t>
      </w:r>
      <w:r w:rsidRPr="1B6E5744" w:rsidR="3821E212">
        <w:rPr>
          <w:noProof w:val="0"/>
          <w:lang w:val="en-US"/>
        </w:rPr>
        <w:t xml:space="preserve"> </w:t>
      </w:r>
      <w:r w:rsidRPr="1B6E5744" w:rsidR="3821E212">
        <w:rPr>
          <w:noProof w:val="0"/>
          <w:lang w:val="en-US"/>
        </w:rPr>
        <w:t xml:space="preserve">What Key Skills Does </w:t>
      </w:r>
      <w:r w:rsidRPr="1B6E5744" w:rsidR="3821E212">
        <w:rPr>
          <w:noProof w:val="0"/>
          <w:lang w:val="en-US"/>
        </w:rPr>
        <w:t>An</w:t>
      </w:r>
      <w:r w:rsidRPr="1B6E5744" w:rsidR="3821E212">
        <w:rPr>
          <w:noProof w:val="0"/>
          <w:lang w:val="en-US"/>
        </w:rPr>
        <w:t xml:space="preserve"> Event Manager Need?</w:t>
      </w:r>
      <w:r w:rsidRPr="1B6E5744" w:rsidR="3821E212">
        <w:rPr>
          <w:noProof w:val="0"/>
          <w:lang w:val="en-US"/>
        </w:rPr>
        <w:t xml:space="preserve"> [online] Event Academy. Available at: </w:t>
      </w:r>
      <w:hyperlink r:id="Rf5a104a2c17846ba">
        <w:r w:rsidRPr="1B6E5744" w:rsidR="3821E212">
          <w:rPr>
            <w:rStyle w:val="Hyperlink"/>
            <w:noProof w:val="0"/>
            <w:lang w:val="en-US"/>
          </w:rPr>
          <w:t>https://eventacademy.com/information/event-manager-skills/</w:t>
        </w:r>
      </w:hyperlink>
      <w:r w:rsidRPr="1B6E5744" w:rsidR="3821E212">
        <w:rPr>
          <w:noProof w:val="0"/>
          <w:lang w:val="en-US"/>
        </w:rPr>
        <w:t>.</w:t>
      </w:r>
    </w:p>
    <w:p w:rsidR="3821E212" w:rsidP="1B6E5744" w:rsidRDefault="3821E212" w14:paraId="2325CE56" w14:textId="0B551535">
      <w:pPr>
        <w:pStyle w:val="Normal"/>
      </w:pPr>
      <w:r w:rsidRPr="1B6E5744" w:rsidR="3821E212">
        <w:rPr>
          <w:noProof w:val="0"/>
          <w:lang w:val="en-US"/>
        </w:rPr>
        <w:t xml:space="preserve">Baume, D. (2024). </w:t>
      </w:r>
      <w:r w:rsidRPr="1B6E5744" w:rsidR="3821E212">
        <w:rPr>
          <w:noProof w:val="0"/>
          <w:lang w:val="en-US"/>
        </w:rPr>
        <w:t>3 Planning and Evaluating Events -Reference Version 3 Planning and Evaluating Events -Reference Version</w:t>
      </w:r>
      <w:r w:rsidRPr="1B6E5744" w:rsidR="3821E212">
        <w:rPr>
          <w:noProof w:val="0"/>
          <w:lang w:val="en-US"/>
        </w:rPr>
        <w:t xml:space="preserve">. [online] Available at: </w:t>
      </w:r>
      <w:hyperlink r:id="R2590cd6d104d4bb6">
        <w:r w:rsidRPr="1B6E5744" w:rsidR="3821E212">
          <w:rPr>
            <w:rStyle w:val="Hyperlink"/>
            <w:noProof w:val="0"/>
            <w:lang w:val="en-US"/>
          </w:rPr>
          <w:t>https://teachinghub.bath.ac.uk/wp-content/uploads/2024/04/3-Planning-and-Evaluating-Events-Reference-Version.pdf</w:t>
        </w:r>
      </w:hyperlink>
      <w:r w:rsidRPr="1B6E5744" w:rsidR="3821E212">
        <w:rPr>
          <w:noProof w:val="0"/>
          <w:lang w:val="en-US"/>
        </w:rPr>
        <w:t>.</w:t>
      </w:r>
    </w:p>
    <w:p w:rsidR="3821E212" w:rsidP="1B6E5744" w:rsidRDefault="3821E212" w14:paraId="734D5C3A" w14:textId="7FC8A50C">
      <w:pPr>
        <w:pStyle w:val="Normal"/>
      </w:pPr>
      <w:r w:rsidRPr="1B6E5744" w:rsidR="3821E212">
        <w:rPr>
          <w:noProof w:val="0"/>
          <w:lang w:val="en-US"/>
        </w:rPr>
        <w:t xml:space="preserve">Belbin (2025). </w:t>
      </w:r>
      <w:r w:rsidRPr="1B6E5744" w:rsidR="3821E212">
        <w:rPr>
          <w:noProof w:val="0"/>
          <w:lang w:val="en-US"/>
        </w:rPr>
        <w:t>The nine Belbin team roles</w:t>
      </w:r>
      <w:r w:rsidRPr="1B6E5744" w:rsidR="3821E212">
        <w:rPr>
          <w:noProof w:val="0"/>
          <w:lang w:val="en-US"/>
        </w:rPr>
        <w:t xml:space="preserve">. [online] Belbin. Available at: </w:t>
      </w:r>
      <w:hyperlink r:id="R93a6d2599bda4d39">
        <w:r w:rsidRPr="1B6E5744" w:rsidR="3821E212">
          <w:rPr>
            <w:rStyle w:val="Hyperlink"/>
            <w:noProof w:val="0"/>
            <w:lang w:val="en-US"/>
          </w:rPr>
          <w:t>https://www.belbin.com/about/belbin-team-roles</w:t>
        </w:r>
      </w:hyperlink>
      <w:r w:rsidRPr="1B6E5744" w:rsidR="3821E212">
        <w:rPr>
          <w:noProof w:val="0"/>
          <w:lang w:val="en-US"/>
        </w:rPr>
        <w:t>.</w:t>
      </w:r>
    </w:p>
    <w:p w:rsidR="3821E212" w:rsidP="1B6E5744" w:rsidRDefault="3821E212" w14:paraId="5CB9974E" w14:textId="2A761AB9">
      <w:pPr>
        <w:pStyle w:val="Normal"/>
      </w:pPr>
      <w:r w:rsidRPr="1B6E5744" w:rsidR="3821E212">
        <w:rPr>
          <w:noProof w:val="0"/>
          <w:lang w:val="en-US"/>
        </w:rPr>
        <w:t xml:space="preserve">Brewster, M. (2009) “D. Getz Event Studies: Theory, Research and Policy for Planned Events 2007 Butterworth-Heinemann Oxford 978-0-7506-6959-7 442 pp,” </w:t>
      </w:r>
      <w:r w:rsidRPr="1B6E5744" w:rsidR="3821E212">
        <w:rPr>
          <w:noProof w:val="0"/>
          <w:lang w:val="en-US"/>
        </w:rPr>
        <w:t>Tourism Management</w:t>
      </w:r>
      <w:r w:rsidRPr="1B6E5744" w:rsidR="3821E212">
        <w:rPr>
          <w:noProof w:val="0"/>
          <w:lang w:val="en-US"/>
        </w:rPr>
        <w:t xml:space="preserve">. Elsevier Ltd, pp. 611–612. Available at: </w:t>
      </w:r>
      <w:hyperlink r:id="R300a91919b7d4b6b">
        <w:r w:rsidRPr="1B6E5744" w:rsidR="3821E212">
          <w:rPr>
            <w:rStyle w:val="Hyperlink"/>
            <w:noProof w:val="0"/>
            <w:lang w:val="en-US"/>
          </w:rPr>
          <w:t>https://doi.org/10.1016/j.tourman.2008.09.004</w:t>
        </w:r>
      </w:hyperlink>
      <w:r w:rsidRPr="1B6E5744" w:rsidR="3821E212">
        <w:rPr>
          <w:noProof w:val="0"/>
          <w:lang w:val="en-US"/>
        </w:rPr>
        <w:t>.</w:t>
      </w:r>
    </w:p>
    <w:p w:rsidR="1B6E5744" w:rsidP="1B6E5744" w:rsidRDefault="1B6E5744" w14:paraId="2DA164CB" w14:textId="58D79120">
      <w:pPr>
        <w:pStyle w:val="Normal"/>
        <w:rPr>
          <w:noProof w:val="0"/>
          <w:lang w:val="en-US"/>
        </w:rPr>
      </w:pPr>
    </w:p>
    <w:p w:rsidR="3821E212" w:rsidP="1B6E5744" w:rsidRDefault="3821E212" w14:paraId="51CDC231" w14:textId="3639DFBC">
      <w:pPr>
        <w:pStyle w:val="Normal"/>
      </w:pPr>
      <w:r w:rsidRPr="1B6E5744" w:rsidR="3821E212">
        <w:rPr>
          <w:noProof w:val="0"/>
          <w:lang w:val="en-US"/>
        </w:rPr>
        <w:t xml:space="preserve">Biggs, J. (1996). Enhancing Teaching through Constructive Alignment. </w:t>
      </w:r>
      <w:r w:rsidRPr="1B6E5744" w:rsidR="3821E212">
        <w:rPr>
          <w:noProof w:val="0"/>
          <w:lang w:val="en-US"/>
        </w:rPr>
        <w:t>Higher Education</w:t>
      </w:r>
      <w:r w:rsidRPr="1B6E5744" w:rsidR="3821E212">
        <w:rPr>
          <w:noProof w:val="0"/>
          <w:lang w:val="en-US"/>
        </w:rPr>
        <w:t xml:space="preserve">, [online] 32(3), pp.347–364. Available at: </w:t>
      </w:r>
      <w:hyperlink r:id="R418f307863d84e9c">
        <w:r w:rsidRPr="1B6E5744" w:rsidR="3821E212">
          <w:rPr>
            <w:rStyle w:val="Hyperlink"/>
            <w:noProof w:val="0"/>
            <w:lang w:val="en-US"/>
          </w:rPr>
          <w:t>https://www.jstor.org/stable/3448076</w:t>
        </w:r>
      </w:hyperlink>
      <w:r w:rsidRPr="1B6E5744" w:rsidR="3821E212">
        <w:rPr>
          <w:noProof w:val="0"/>
          <w:lang w:val="en-US"/>
        </w:rPr>
        <w:t>.</w:t>
      </w:r>
    </w:p>
    <w:p w:rsidR="3821E212" w:rsidP="1B6E5744" w:rsidRDefault="3821E212" w14:paraId="51F23875" w14:textId="23465ADE">
      <w:pPr>
        <w:pStyle w:val="Normal"/>
      </w:pPr>
      <w:r w:rsidRPr="1B6E5744" w:rsidR="3821E212">
        <w:rPr>
          <w:noProof w:val="0"/>
          <w:lang w:val="en-US"/>
        </w:rPr>
        <w:t>Castro ,</w:t>
      </w:r>
      <w:r w:rsidRPr="1B6E5744" w:rsidR="3821E212">
        <w:rPr>
          <w:noProof w:val="0"/>
          <w:lang w:val="en-US"/>
        </w:rPr>
        <w:t xml:space="preserve"> </w:t>
      </w:r>
      <w:r w:rsidRPr="1B6E5744" w:rsidR="3821E212">
        <w:rPr>
          <w:noProof w:val="0"/>
          <w:lang w:val="en-US"/>
        </w:rPr>
        <w:t>J.</w:t>
      </w:r>
      <w:r w:rsidRPr="1B6E5744" w:rsidR="3821E212">
        <w:rPr>
          <w:noProof w:val="0"/>
          <w:lang w:val="en-US"/>
        </w:rPr>
        <w:t xml:space="preserve"> and Foxall, G. (2011). </w:t>
      </w:r>
      <w:r w:rsidRPr="1B6E5744" w:rsidR="3821E212">
        <w:rPr>
          <w:noProof w:val="0"/>
          <w:lang w:val="en-US"/>
        </w:rPr>
        <w:t xml:space="preserve">(PDF) Consumer </w:t>
      </w:r>
      <w:r w:rsidRPr="1B6E5744" w:rsidR="3821E212">
        <w:rPr>
          <w:noProof w:val="0"/>
          <w:lang w:val="en-US"/>
        </w:rPr>
        <w:t>behaviour</w:t>
      </w:r>
      <w:r w:rsidRPr="1B6E5744" w:rsidR="3821E212">
        <w:rPr>
          <w:noProof w:val="0"/>
          <w:lang w:val="en-US"/>
        </w:rPr>
        <w:t xml:space="preserve"> analysis and the </w:t>
      </w:r>
      <w:r w:rsidRPr="1B6E5744" w:rsidR="3821E212">
        <w:rPr>
          <w:noProof w:val="0"/>
          <w:lang w:val="en-US"/>
        </w:rPr>
        <w:t>behavioural</w:t>
      </w:r>
      <w:r w:rsidRPr="1B6E5744" w:rsidR="3821E212">
        <w:rPr>
          <w:noProof w:val="0"/>
          <w:lang w:val="en-US"/>
        </w:rPr>
        <w:t xml:space="preserve"> perspective model.</w:t>
      </w:r>
      <w:r w:rsidRPr="1B6E5744" w:rsidR="3821E212">
        <w:rPr>
          <w:noProof w:val="0"/>
          <w:lang w:val="en-US"/>
        </w:rPr>
        <w:t xml:space="preserve"> [online] ResearchGate. Available at: </w:t>
      </w:r>
      <w:hyperlink r:id="R9c1d069822894432">
        <w:r w:rsidRPr="1B6E5744" w:rsidR="3821E212">
          <w:rPr>
            <w:rStyle w:val="Hyperlink"/>
            <w:noProof w:val="0"/>
            <w:lang w:val="en-US"/>
          </w:rPr>
          <w:t>https://www.researchgate.net/publication/48776764_Consumer_behaviour_analysis_and_the_behavioural_perspective_model</w:t>
        </w:r>
      </w:hyperlink>
      <w:r w:rsidRPr="1B6E5744" w:rsidR="3821E212">
        <w:rPr>
          <w:noProof w:val="0"/>
          <w:lang w:val="en-US"/>
        </w:rPr>
        <w:t>.</w:t>
      </w:r>
    </w:p>
    <w:p w:rsidR="3821E212" w:rsidP="1B6E5744" w:rsidRDefault="3821E212" w14:paraId="5987C1C3" w14:textId="7C5EBEE2">
      <w:pPr>
        <w:pStyle w:val="Normal"/>
      </w:pPr>
      <w:r w:rsidRPr="1B6E5744" w:rsidR="3821E212">
        <w:rPr>
          <w:noProof w:val="0"/>
          <w:lang w:val="en-US"/>
        </w:rPr>
        <w:t xml:space="preserve">Emerald Publishing (2026). </w:t>
      </w:r>
      <w:r w:rsidRPr="1B6E5744" w:rsidR="3821E212">
        <w:rPr>
          <w:noProof w:val="0"/>
          <w:lang w:val="en-US"/>
        </w:rPr>
        <w:t>International Journal of Event and Festival Management | Emerald Publishing</w:t>
      </w:r>
      <w:r w:rsidRPr="1B6E5744" w:rsidR="3821E212">
        <w:rPr>
          <w:noProof w:val="0"/>
          <w:lang w:val="en-US"/>
        </w:rPr>
        <w:t xml:space="preserve">. [online] </w:t>
      </w:r>
      <w:hyperlink r:id="Rb1e48e5a39694617">
        <w:r w:rsidRPr="1B6E5744" w:rsidR="3821E212">
          <w:rPr>
            <w:rStyle w:val="Hyperlink"/>
            <w:noProof w:val="0"/>
            <w:lang w:val="en-US"/>
          </w:rPr>
          <w:t>www.emeraldgrouppublishing.com</w:t>
        </w:r>
      </w:hyperlink>
      <w:r w:rsidRPr="1B6E5744" w:rsidR="3821E212">
        <w:rPr>
          <w:noProof w:val="0"/>
          <w:lang w:val="en-US"/>
        </w:rPr>
        <w:t xml:space="preserve">. Available at: </w:t>
      </w:r>
      <w:hyperlink r:id="R017cba778c154969">
        <w:r w:rsidRPr="1B6E5744" w:rsidR="3821E212">
          <w:rPr>
            <w:rStyle w:val="Hyperlink"/>
            <w:noProof w:val="0"/>
            <w:lang w:val="en-US"/>
          </w:rPr>
          <w:t>https://www.emeraldgrouppublishing.com/journal/ijefm</w:t>
        </w:r>
      </w:hyperlink>
      <w:r w:rsidRPr="1B6E5744" w:rsidR="3821E212">
        <w:rPr>
          <w:noProof w:val="0"/>
          <w:lang w:val="en-US"/>
        </w:rPr>
        <w:t>.</w:t>
      </w:r>
    </w:p>
    <w:p w:rsidR="3821E212" w:rsidP="1B6E5744" w:rsidRDefault="3821E212" w14:paraId="52099FF4" w14:textId="5DCCEFDE">
      <w:pPr>
        <w:pStyle w:val="Normal"/>
      </w:pPr>
      <w:r w:rsidRPr="1B6E5744" w:rsidR="3821E212">
        <w:rPr>
          <w:noProof w:val="0"/>
          <w:lang w:val="en-US"/>
        </w:rPr>
        <w:t xml:space="preserve">Event Academy (2019). </w:t>
      </w:r>
      <w:r w:rsidRPr="1B6E5744" w:rsidR="3821E212">
        <w:rPr>
          <w:noProof w:val="0"/>
          <w:lang w:val="en-US"/>
        </w:rPr>
        <w:t>What is Event Management? | Event Academy</w:t>
      </w:r>
      <w:r w:rsidRPr="1B6E5744" w:rsidR="3821E212">
        <w:rPr>
          <w:noProof w:val="0"/>
          <w:lang w:val="en-US"/>
        </w:rPr>
        <w:t xml:space="preserve">. [online] Event Academy. Available at: </w:t>
      </w:r>
      <w:hyperlink r:id="R1d7bfb766284466e">
        <w:r w:rsidRPr="1B6E5744" w:rsidR="3821E212">
          <w:rPr>
            <w:rStyle w:val="Hyperlink"/>
            <w:noProof w:val="0"/>
            <w:lang w:val="en-US"/>
          </w:rPr>
          <w:t>https://eventacademy.com/news/what-is-event-management/</w:t>
        </w:r>
      </w:hyperlink>
      <w:r w:rsidRPr="1B6E5744" w:rsidR="3821E212">
        <w:rPr>
          <w:noProof w:val="0"/>
          <w:lang w:val="en-US"/>
        </w:rPr>
        <w:t>.</w:t>
      </w:r>
    </w:p>
    <w:p w:rsidR="3821E212" w:rsidP="1B6E5744" w:rsidRDefault="3821E212" w14:paraId="679979AC" w14:textId="27AD9719">
      <w:pPr>
        <w:pStyle w:val="Normal"/>
      </w:pPr>
      <w:r w:rsidRPr="1B6E5744" w:rsidR="3821E212">
        <w:rPr>
          <w:noProof w:val="0"/>
          <w:lang w:val="en-US"/>
        </w:rPr>
        <w:t xml:space="preserve">Guidebook (2026). </w:t>
      </w:r>
      <w:r w:rsidRPr="1B6E5744" w:rsidR="3821E212">
        <w:rPr>
          <w:noProof w:val="0"/>
          <w:lang w:val="en-US"/>
        </w:rPr>
        <w:t xml:space="preserve">What is </w:t>
      </w:r>
      <w:r w:rsidRPr="1B6E5744" w:rsidR="3821E212">
        <w:rPr>
          <w:noProof w:val="0"/>
          <w:lang w:val="en-US"/>
        </w:rPr>
        <w:t>Event</w:t>
      </w:r>
      <w:r w:rsidRPr="1B6E5744" w:rsidR="3821E212">
        <w:rPr>
          <w:noProof w:val="0"/>
          <w:lang w:val="en-US"/>
        </w:rPr>
        <w:t xml:space="preserve"> Sponsorship?</w:t>
      </w:r>
      <w:r w:rsidRPr="1B6E5744" w:rsidR="3821E212">
        <w:rPr>
          <w:noProof w:val="0"/>
          <w:lang w:val="en-US"/>
        </w:rPr>
        <w:t xml:space="preserve"> [online] Guidebook.com. Available at: </w:t>
      </w:r>
      <w:hyperlink r:id="R53e49ac3c55a4be7">
        <w:r w:rsidRPr="1B6E5744" w:rsidR="3821E212">
          <w:rPr>
            <w:rStyle w:val="Hyperlink"/>
            <w:noProof w:val="0"/>
            <w:lang w:val="en-US"/>
          </w:rPr>
          <w:t>https://www.guidebook.com/glossary/what-is-event-sponsorship</w:t>
        </w:r>
      </w:hyperlink>
      <w:r w:rsidRPr="1B6E5744" w:rsidR="3821E212">
        <w:rPr>
          <w:noProof w:val="0"/>
          <w:lang w:val="en-US"/>
        </w:rPr>
        <w:t>.</w:t>
      </w:r>
    </w:p>
    <w:p w:rsidR="3821E212" w:rsidP="1B6E5744" w:rsidRDefault="3821E212" w14:paraId="69240CE2" w14:textId="33C48B66">
      <w:pPr>
        <w:pStyle w:val="Normal"/>
      </w:pPr>
      <w:r w:rsidRPr="1B6E5744" w:rsidR="3821E212">
        <w:rPr>
          <w:noProof w:val="0"/>
          <w:lang w:val="en-US"/>
        </w:rPr>
        <w:t>Indeed</w:t>
      </w:r>
      <w:r w:rsidRPr="1B6E5744" w:rsidR="3821E212">
        <w:rPr>
          <w:noProof w:val="0"/>
          <w:lang w:val="en-US"/>
        </w:rPr>
        <w:t xml:space="preserve"> (2021). </w:t>
      </w:r>
      <w:r w:rsidRPr="1B6E5744" w:rsidR="3821E212">
        <w:rPr>
          <w:noProof w:val="0"/>
          <w:lang w:val="en-US"/>
        </w:rPr>
        <w:t xml:space="preserve">Service Quality: Definition, </w:t>
      </w:r>
      <w:r w:rsidRPr="1B6E5744" w:rsidR="3821E212">
        <w:rPr>
          <w:noProof w:val="0"/>
          <w:lang w:val="en-US"/>
        </w:rPr>
        <w:t>Importance</w:t>
      </w:r>
      <w:r w:rsidRPr="1B6E5744" w:rsidR="3821E212">
        <w:rPr>
          <w:noProof w:val="0"/>
          <w:lang w:val="en-US"/>
        </w:rPr>
        <w:t xml:space="preserve"> and Implementation</w:t>
      </w:r>
      <w:r w:rsidRPr="1B6E5744" w:rsidR="3821E212">
        <w:rPr>
          <w:noProof w:val="0"/>
          <w:lang w:val="en-US"/>
        </w:rPr>
        <w:t xml:space="preserve">. [online] Indeed Career Guide. Available at: </w:t>
      </w:r>
      <w:hyperlink r:id="R2789c5c0721b442e">
        <w:r w:rsidRPr="1B6E5744" w:rsidR="3821E212">
          <w:rPr>
            <w:rStyle w:val="Hyperlink"/>
            <w:noProof w:val="0"/>
            <w:lang w:val="en-US"/>
          </w:rPr>
          <w:t>https://www.indeed.com/career-advice/career-development/service-quality</w:t>
        </w:r>
      </w:hyperlink>
      <w:r w:rsidRPr="1B6E5744" w:rsidR="3821E212">
        <w:rPr>
          <w:noProof w:val="0"/>
          <w:lang w:val="en-US"/>
        </w:rPr>
        <w:t>.</w:t>
      </w:r>
    </w:p>
    <w:p w:rsidR="3821E212" w:rsidP="1B6E5744" w:rsidRDefault="3821E212" w14:paraId="5259CF44" w14:textId="462D5DB3">
      <w:pPr>
        <w:pStyle w:val="Normal"/>
      </w:pPr>
      <w:r w:rsidRPr="1B6E5744" w:rsidR="3821E212">
        <w:rPr>
          <w:noProof w:val="0"/>
          <w:lang w:val="en-US"/>
        </w:rPr>
        <w:t xml:space="preserve">Kerzner, H. (2009). </w:t>
      </w:r>
      <w:r w:rsidRPr="1B6E5744" w:rsidR="3821E212">
        <w:rPr>
          <w:noProof w:val="0"/>
          <w:lang w:val="en-US"/>
        </w:rPr>
        <w:t>Project Management: A Systems Approach to Planning, Scheduling, and Controlling</w:t>
      </w:r>
      <w:r w:rsidRPr="1B6E5744" w:rsidR="3821E212">
        <w:rPr>
          <w:noProof w:val="0"/>
          <w:lang w:val="en-US"/>
        </w:rPr>
        <w:t xml:space="preserve">. [online] Available at: </w:t>
      </w:r>
      <w:hyperlink r:id="Rcade2ba86e0845c2">
        <w:r w:rsidRPr="1B6E5744" w:rsidR="3821E212">
          <w:rPr>
            <w:rStyle w:val="Hyperlink"/>
            <w:noProof w:val="0"/>
            <w:lang w:val="en-US"/>
          </w:rPr>
          <w:t>https://ftp.idu.ac.id/wp-content/uploads/ebook/ip/BUKU%20MANAJEMEN%20PROYEK/project-management-harold-kerzner1.pdf</w:t>
        </w:r>
      </w:hyperlink>
      <w:r w:rsidRPr="1B6E5744" w:rsidR="3821E212">
        <w:rPr>
          <w:noProof w:val="0"/>
          <w:lang w:val="en-US"/>
        </w:rPr>
        <w:t>.</w:t>
      </w:r>
    </w:p>
    <w:p w:rsidR="3821E212" w:rsidP="1B6E5744" w:rsidRDefault="3821E212" w14:paraId="33A35A3C" w14:textId="522AE6F3">
      <w:pPr>
        <w:pStyle w:val="Normal"/>
      </w:pPr>
      <w:r w:rsidRPr="1B6E5744" w:rsidR="3821E212">
        <w:rPr>
          <w:noProof w:val="0"/>
          <w:lang w:val="en-US"/>
        </w:rPr>
        <w:t xml:space="preserve">McLeod, S. (2024). </w:t>
      </w:r>
      <w:r w:rsidRPr="1B6E5744" w:rsidR="3821E212">
        <w:rPr>
          <w:noProof w:val="0"/>
          <w:lang w:val="en-US"/>
        </w:rPr>
        <w:t>Kolb’s Learning Styles &amp; Experiential Learning Cycle</w:t>
      </w:r>
      <w:r w:rsidRPr="1B6E5744" w:rsidR="3821E212">
        <w:rPr>
          <w:noProof w:val="0"/>
          <w:lang w:val="en-US"/>
        </w:rPr>
        <w:t xml:space="preserve">. [online] Simply Psychology. Available at: </w:t>
      </w:r>
      <w:hyperlink r:id="R63a66f4badfc460e">
        <w:r w:rsidRPr="1B6E5744" w:rsidR="3821E212">
          <w:rPr>
            <w:rStyle w:val="Hyperlink"/>
            <w:noProof w:val="0"/>
            <w:lang w:val="en-US"/>
          </w:rPr>
          <w:t>https://www.simplypsychology.org/learning-kolb.html</w:t>
        </w:r>
      </w:hyperlink>
      <w:r w:rsidRPr="1B6E5744" w:rsidR="3821E212">
        <w:rPr>
          <w:noProof w:val="0"/>
          <w:lang w:val="en-US"/>
        </w:rPr>
        <w:t>?.</w:t>
      </w:r>
    </w:p>
    <w:p w:rsidR="3821E212" w:rsidP="1B6E5744" w:rsidRDefault="3821E212" w14:paraId="6E47DD9A" w14:textId="779333C1">
      <w:pPr>
        <w:pStyle w:val="Normal"/>
      </w:pPr>
      <w:r w:rsidRPr="1B6E5744" w:rsidR="3821E212">
        <w:rPr>
          <w:noProof w:val="0"/>
          <w:lang w:val="en-US"/>
        </w:rPr>
        <w:t xml:space="preserve">Morgan, M. (2006). Making space for experiences. </w:t>
      </w:r>
      <w:r w:rsidRPr="1B6E5744" w:rsidR="3821E212">
        <w:rPr>
          <w:noProof w:val="0"/>
          <w:lang w:val="en-US"/>
        </w:rPr>
        <w:t>Journal of Retail &amp; Leisure Property</w:t>
      </w:r>
      <w:r w:rsidRPr="1B6E5744" w:rsidR="3821E212">
        <w:rPr>
          <w:noProof w:val="0"/>
          <w:lang w:val="en-US"/>
        </w:rPr>
        <w:t>, 5(4), pp</w:t>
      </w:r>
      <w:r w:rsidRPr="1B6E5744" w:rsidR="3821E212">
        <w:rPr>
          <w:noProof w:val="0"/>
          <w:lang w:val="en-US"/>
        </w:rPr>
        <w:t>.305</w:t>
      </w:r>
      <w:r w:rsidRPr="1B6E5744" w:rsidR="3821E212">
        <w:rPr>
          <w:noProof w:val="0"/>
          <w:lang w:val="en-US"/>
        </w:rPr>
        <w:t xml:space="preserve">–313. </w:t>
      </w:r>
      <w:r w:rsidRPr="1B6E5744" w:rsidR="3821E212">
        <w:rPr>
          <w:noProof w:val="0"/>
          <w:lang w:val="en-US"/>
        </w:rPr>
        <w:t>doi:https</w:t>
      </w:r>
      <w:r w:rsidRPr="1B6E5744" w:rsidR="3821E212">
        <w:rPr>
          <w:noProof w:val="0"/>
          <w:lang w:val="en-US"/>
        </w:rPr>
        <w:t>://doi.org/10.1057/palgrave.rlp.5100034.</w:t>
      </w:r>
    </w:p>
    <w:p w:rsidR="3821E212" w:rsidP="1B6E5744" w:rsidRDefault="3821E212" w14:paraId="2B169DD9" w14:textId="5D931BC5">
      <w:pPr>
        <w:pStyle w:val="Normal"/>
      </w:pPr>
      <w:r w:rsidRPr="1B6E5744" w:rsidR="3821E212">
        <w:rPr>
          <w:noProof w:val="0"/>
          <w:lang w:val="en-US"/>
        </w:rPr>
        <w:t xml:space="preserve">Nathan, D. (2025). </w:t>
      </w:r>
      <w:r w:rsidRPr="1B6E5744" w:rsidR="3821E212">
        <w:rPr>
          <w:noProof w:val="0"/>
          <w:lang w:val="en-US"/>
        </w:rPr>
        <w:t>7 ways to improve graduate employability</w:t>
      </w:r>
      <w:r w:rsidRPr="1B6E5744" w:rsidR="3821E212">
        <w:rPr>
          <w:noProof w:val="0"/>
          <w:lang w:val="en-US"/>
        </w:rPr>
        <w:t xml:space="preserve">. [online] Prospects.ac.uk. Available at: </w:t>
      </w:r>
      <w:hyperlink r:id="R8a2a0d1b20ad4e26">
        <w:r w:rsidRPr="1B6E5744" w:rsidR="3821E212">
          <w:rPr>
            <w:rStyle w:val="Hyperlink"/>
            <w:noProof w:val="0"/>
            <w:lang w:val="en-US"/>
          </w:rPr>
          <w:t>https://www.prospects.ac.uk/careers-advice/getting-a-job/7-ways-to-improve-graduate-employability/</w:t>
        </w:r>
      </w:hyperlink>
      <w:r w:rsidRPr="1B6E5744" w:rsidR="3821E212">
        <w:rPr>
          <w:noProof w:val="0"/>
          <w:lang w:val="en-US"/>
        </w:rPr>
        <w:t>.</w:t>
      </w:r>
    </w:p>
    <w:p w:rsidR="3821E212" w:rsidP="1B6E5744" w:rsidRDefault="3821E212" w14:paraId="57C622AF" w14:textId="12900CC4">
      <w:pPr>
        <w:pStyle w:val="Normal"/>
      </w:pPr>
      <w:r w:rsidRPr="1B6E5744" w:rsidR="3821E212">
        <w:rPr>
          <w:noProof w:val="0"/>
          <w:lang w:val="en-US"/>
        </w:rPr>
        <w:t xml:space="preserve">Polak, J. (2025). </w:t>
      </w:r>
      <w:r w:rsidRPr="1B6E5744" w:rsidR="3821E212">
        <w:rPr>
          <w:noProof w:val="0"/>
          <w:lang w:val="en-US"/>
        </w:rPr>
        <w:t>AVAYA HIGHLIGHT FILM_Edit_V8 NO DATE</w:t>
      </w:r>
      <w:r w:rsidRPr="1B6E5744" w:rsidR="3821E212">
        <w:rPr>
          <w:noProof w:val="0"/>
          <w:lang w:val="en-US"/>
        </w:rPr>
        <w:t xml:space="preserve">. [online] Drpgroup.com. Available at: </w:t>
      </w:r>
      <w:hyperlink r:id="Rac325fbed67f4d34">
        <w:r w:rsidRPr="1B6E5744" w:rsidR="3821E212">
          <w:rPr>
            <w:rStyle w:val="Hyperlink"/>
            <w:noProof w:val="0"/>
            <w:lang w:val="en-US"/>
          </w:rPr>
          <w:t>https://www.drpgroup.com/en/news-blog/what-are-the-benefits-of-sponsorship</w:t>
        </w:r>
      </w:hyperlink>
      <w:r w:rsidRPr="1B6E5744" w:rsidR="3821E212">
        <w:rPr>
          <w:noProof w:val="0"/>
          <w:lang w:val="en-US"/>
        </w:rPr>
        <w:t>.</w:t>
      </w:r>
    </w:p>
    <w:p w:rsidR="3821E212" w:rsidP="1B6E5744" w:rsidRDefault="3821E212" w14:paraId="35A3F11A" w14:textId="2CDF9604">
      <w:pPr>
        <w:pStyle w:val="Normal"/>
      </w:pPr>
      <w:r w:rsidRPr="1B6E5744" w:rsidR="3821E212">
        <w:rPr>
          <w:noProof w:val="0"/>
          <w:lang w:val="en-US"/>
        </w:rPr>
        <w:t xml:space="preserve">Project Management Institute (2017). </w:t>
      </w:r>
      <w:r w:rsidRPr="1B6E5744" w:rsidR="3821E212">
        <w:rPr>
          <w:noProof w:val="0"/>
          <w:lang w:val="en-US"/>
        </w:rPr>
        <w:t>A Guide to the PROJECT MANAGEMENT BODY OF KNOWLEDGE (PMBOK® GUIDE)</w:t>
      </w:r>
      <w:r w:rsidRPr="1B6E5744" w:rsidR="3821E212">
        <w:rPr>
          <w:noProof w:val="0"/>
          <w:lang w:val="en-US"/>
        </w:rPr>
        <w:t xml:space="preserve">. [online] Available at: </w:t>
      </w:r>
      <w:hyperlink r:id="Reb65f7bb37374797">
        <w:r w:rsidRPr="1B6E5744" w:rsidR="3821E212">
          <w:rPr>
            <w:rStyle w:val="Hyperlink"/>
            <w:noProof w:val="0"/>
            <w:lang w:val="en-US"/>
          </w:rPr>
          <w:t>https://trainupinstitute.com/wp-content/uploads/2022/03/Project-Management-Institute-A-Guide-to-the-Project-Management-Body-of-Knowledge-PMBOK%C2%AE-Guide%E2%80%93Sixth-Edition-Project-Management-Institute-2017.pdf</w:t>
        </w:r>
      </w:hyperlink>
      <w:r w:rsidRPr="1B6E5744" w:rsidR="3821E212">
        <w:rPr>
          <w:noProof w:val="0"/>
          <w:lang w:val="en-US"/>
        </w:rPr>
        <w:t>.</w:t>
      </w:r>
    </w:p>
    <w:p w:rsidR="3821E212" w:rsidP="1B6E5744" w:rsidRDefault="3821E212" w14:paraId="557DA84B" w14:textId="3D1BBB6A">
      <w:pPr>
        <w:pStyle w:val="Normal"/>
      </w:pPr>
      <w:r w:rsidRPr="1B6E5744" w:rsidR="3821E212">
        <w:rPr>
          <w:noProof w:val="0"/>
          <w:lang w:val="en-US"/>
        </w:rPr>
        <w:t xml:space="preserve">Rodgers, A. (2025). </w:t>
      </w:r>
      <w:r w:rsidRPr="1B6E5744" w:rsidR="3821E212">
        <w:rPr>
          <w:noProof w:val="0"/>
          <w:lang w:val="en-US"/>
        </w:rPr>
        <w:t>Stakeholder Communication: Benefits, Best Practices, and Management</w:t>
      </w:r>
      <w:r w:rsidRPr="1B6E5744" w:rsidR="3821E212">
        <w:rPr>
          <w:noProof w:val="0"/>
          <w:lang w:val="en-US"/>
        </w:rPr>
        <w:t xml:space="preserve">. [online] Simply Stakeholders. Available at: </w:t>
      </w:r>
      <w:hyperlink r:id="Rbf45dd4864e3484f">
        <w:r w:rsidRPr="1B6E5744" w:rsidR="3821E212">
          <w:rPr>
            <w:rStyle w:val="Hyperlink"/>
            <w:noProof w:val="0"/>
            <w:lang w:val="en-US"/>
          </w:rPr>
          <w:t>https://simplystakeholders.com/stakeholder-communication/</w:t>
        </w:r>
      </w:hyperlink>
      <w:r w:rsidRPr="1B6E5744" w:rsidR="3821E212">
        <w:rPr>
          <w:noProof w:val="0"/>
          <w:lang w:val="en-US"/>
        </w:rPr>
        <w:t>.</w:t>
      </w:r>
    </w:p>
    <w:p w:rsidR="3821E212" w:rsidP="1B6E5744" w:rsidRDefault="3821E212" w14:paraId="6FC308C1" w14:textId="1158DDD1">
      <w:pPr>
        <w:pStyle w:val="Normal"/>
      </w:pPr>
      <w:r w:rsidRPr="1B6E5744" w:rsidR="3821E212">
        <w:rPr>
          <w:noProof w:val="0"/>
          <w:lang w:val="en-US"/>
        </w:rPr>
        <w:t xml:space="preserve">Ryan, R.M. and Deci, E.L. (2000). Self-determination theory and </w:t>
      </w:r>
      <w:r w:rsidRPr="1B6E5744" w:rsidR="3821E212">
        <w:rPr>
          <w:noProof w:val="0"/>
          <w:lang w:val="en-US"/>
        </w:rPr>
        <w:t>the facilitation</w:t>
      </w:r>
      <w:r w:rsidRPr="1B6E5744" w:rsidR="3821E212">
        <w:rPr>
          <w:noProof w:val="0"/>
          <w:lang w:val="en-US"/>
        </w:rPr>
        <w:t xml:space="preserve"> of intrinsic motivation, social development, and well-being. </w:t>
      </w:r>
      <w:r w:rsidRPr="1B6E5744" w:rsidR="3821E212">
        <w:rPr>
          <w:noProof w:val="0"/>
          <w:lang w:val="en-US"/>
        </w:rPr>
        <w:t>American Psychologist</w:t>
      </w:r>
      <w:r w:rsidRPr="1B6E5744" w:rsidR="3821E212">
        <w:rPr>
          <w:noProof w:val="0"/>
          <w:lang w:val="en-US"/>
        </w:rPr>
        <w:t xml:space="preserve">, [online] 55(1), pp.68–78. Available at: </w:t>
      </w:r>
      <w:hyperlink r:id="R2378e6de19e94f0c">
        <w:r w:rsidRPr="1B6E5744" w:rsidR="3821E212">
          <w:rPr>
            <w:rStyle w:val="Hyperlink"/>
            <w:noProof w:val="0"/>
            <w:lang w:val="en-US"/>
          </w:rPr>
          <w:t>https://selfdeterminationtheory.org/SDT/documents/2000_RyanDeci_SDT.pdf</w:t>
        </w:r>
      </w:hyperlink>
      <w:r w:rsidRPr="1B6E5744" w:rsidR="3821E212">
        <w:rPr>
          <w:noProof w:val="0"/>
          <w:lang w:val="en-US"/>
        </w:rPr>
        <w:t>.</w:t>
      </w:r>
    </w:p>
    <w:p w:rsidR="3821E212" w:rsidP="1B6E5744" w:rsidRDefault="3821E212" w14:paraId="0DEA5493" w14:textId="36F14336">
      <w:pPr>
        <w:pStyle w:val="Normal"/>
      </w:pPr>
      <w:r w:rsidRPr="1B6E5744" w:rsidR="3821E212">
        <w:rPr>
          <w:noProof w:val="0"/>
          <w:lang w:val="en-US"/>
        </w:rPr>
        <w:t xml:space="preserve">The Events Company (2023). </w:t>
      </w:r>
      <w:r w:rsidRPr="1B6E5744" w:rsidR="3821E212">
        <w:rPr>
          <w:noProof w:val="0"/>
          <w:lang w:val="en-US"/>
        </w:rPr>
        <w:t>The Introductory Guide to Event Management | Event Blog</w:t>
      </w:r>
      <w:r w:rsidRPr="1B6E5744" w:rsidR="3821E212">
        <w:rPr>
          <w:noProof w:val="0"/>
          <w:lang w:val="en-US"/>
        </w:rPr>
        <w:t xml:space="preserve">. [online] </w:t>
      </w:r>
      <w:hyperlink r:id="R29df8102211c4e0e">
        <w:r w:rsidRPr="1B6E5744" w:rsidR="3821E212">
          <w:rPr>
            <w:rStyle w:val="Hyperlink"/>
            <w:noProof w:val="0"/>
            <w:lang w:val="en-US"/>
          </w:rPr>
          <w:t>www.theeventscompany.co.uk</w:t>
        </w:r>
      </w:hyperlink>
      <w:r w:rsidRPr="1B6E5744" w:rsidR="3821E212">
        <w:rPr>
          <w:noProof w:val="0"/>
          <w:lang w:val="en-US"/>
        </w:rPr>
        <w:t xml:space="preserve">. Available at: </w:t>
      </w:r>
      <w:hyperlink r:id="Rc4300f52be494058">
        <w:r w:rsidRPr="1B6E5744" w:rsidR="3821E212">
          <w:rPr>
            <w:rStyle w:val="Hyperlink"/>
            <w:noProof w:val="0"/>
            <w:lang w:val="en-US"/>
          </w:rPr>
          <w:t>https://www.theeventscompany.co.uk/the-introductory-guide-to-event-management/</w:t>
        </w:r>
      </w:hyperlink>
      <w:r w:rsidRPr="1B6E5744" w:rsidR="3821E212">
        <w:rPr>
          <w:noProof w:val="0"/>
          <w:lang w:val="en-US"/>
        </w:rPr>
        <w:t>.</w:t>
      </w:r>
    </w:p>
    <w:p w:rsidR="3821E212" w:rsidP="1B6E5744" w:rsidRDefault="3821E212" w14:paraId="265D3A9E" w14:textId="607E76F3">
      <w:pPr>
        <w:pStyle w:val="Normal"/>
      </w:pPr>
      <w:r w:rsidRPr="1B6E5744" w:rsidR="3821E212">
        <w:rPr>
          <w:noProof w:val="0"/>
          <w:lang w:val="en-US"/>
        </w:rPr>
        <w:t xml:space="preserve">The Experience Economy (2023). </w:t>
      </w:r>
      <w:r w:rsidRPr="1B6E5744" w:rsidR="3821E212">
        <w:rPr>
          <w:noProof w:val="0"/>
          <w:lang w:val="en-US"/>
        </w:rPr>
        <w:t>The Experience Economy – The CX Academy</w:t>
      </w:r>
      <w:r w:rsidRPr="1B6E5744" w:rsidR="3821E212">
        <w:rPr>
          <w:noProof w:val="0"/>
          <w:lang w:val="en-US"/>
        </w:rPr>
        <w:t xml:space="preserve">. [online] Thecxacademy.org. Available at: </w:t>
      </w:r>
      <w:hyperlink r:id="R2afc3ffbcdac47a6">
        <w:r w:rsidRPr="1B6E5744" w:rsidR="3821E212">
          <w:rPr>
            <w:rStyle w:val="Hyperlink"/>
            <w:noProof w:val="0"/>
            <w:lang w:val="en-US"/>
          </w:rPr>
          <w:t>https://thecxacademy.org/the-experience-economy/</w:t>
        </w:r>
      </w:hyperlink>
      <w:r w:rsidRPr="1B6E5744" w:rsidR="3821E212">
        <w:rPr>
          <w:noProof w:val="0"/>
          <w:lang w:val="en-US"/>
        </w:rPr>
        <w:t>.</w:t>
      </w:r>
    </w:p>
    <w:p w:rsidR="3821E212" w:rsidP="1B6E5744" w:rsidRDefault="3821E212" w14:paraId="4BDF9F08" w14:textId="2981614A">
      <w:pPr>
        <w:pStyle w:val="Normal"/>
        <w:rPr>
          <w:noProof w:val="0"/>
          <w:lang w:val="en-US"/>
        </w:rPr>
      </w:pPr>
      <w:r w:rsidRPr="1B6E5744" w:rsidR="3821E212">
        <w:rPr>
          <w:noProof w:val="0"/>
          <w:lang w:val="en-US"/>
        </w:rPr>
        <w:t>Weezevent</w:t>
      </w:r>
      <w:r w:rsidRPr="1B6E5744" w:rsidR="3821E212">
        <w:rPr>
          <w:noProof w:val="0"/>
          <w:lang w:val="en-US"/>
        </w:rPr>
        <w:t xml:space="preserve"> (2025). </w:t>
      </w:r>
      <w:r w:rsidRPr="1B6E5744" w:rsidR="3821E212">
        <w:rPr>
          <w:noProof w:val="0"/>
          <w:lang w:val="en-US"/>
        </w:rPr>
        <w:t>The importance of volunteers at an event: keys to collective success</w:t>
      </w:r>
      <w:r w:rsidRPr="1B6E5744" w:rsidR="3821E212">
        <w:rPr>
          <w:noProof w:val="0"/>
          <w:lang w:val="en-US"/>
        </w:rPr>
        <w:t xml:space="preserve">. [online] </w:t>
      </w:r>
      <w:r w:rsidRPr="1B6E5744" w:rsidR="3821E212">
        <w:rPr>
          <w:noProof w:val="0"/>
          <w:lang w:val="en-US"/>
        </w:rPr>
        <w:t>Weezevent</w:t>
      </w:r>
      <w:r w:rsidRPr="1B6E5744" w:rsidR="3821E212">
        <w:rPr>
          <w:noProof w:val="0"/>
          <w:lang w:val="en-US"/>
        </w:rPr>
        <w:t xml:space="preserve">. Available at: </w:t>
      </w:r>
      <w:hyperlink r:id="R6869324f65344b5a">
        <w:r w:rsidRPr="1B6E5744" w:rsidR="3821E212">
          <w:rPr>
            <w:rStyle w:val="Hyperlink"/>
            <w:noProof w:val="0"/>
            <w:lang w:val="en-US"/>
          </w:rPr>
          <w:t>https://weezevent.com/en-gb/blog/the-importance-of-volunteers-at-an-event-keys-to-collective-success/</w:t>
        </w:r>
      </w:hyperlink>
      <w:r w:rsidRPr="1B6E5744" w:rsidR="3821E212">
        <w:rPr>
          <w:noProof w:val="0"/>
          <w:lang w:val="en-US"/>
        </w:rPr>
        <w:t>.</w:t>
      </w:r>
    </w:p>
    <w:p w:rsidR="1B6E5744" w:rsidP="1B6E5744" w:rsidRDefault="1B6E5744" w14:paraId="0D6D5F8E" w14:textId="75CFA1DA">
      <w:pPr>
        <w:spacing w:before="580" w:beforeAutospacing="off" w:after="580" w:afterAutospacing="off"/>
        <w:jc w:val="both"/>
        <w:rPr>
          <w:rFonts w:ascii="Aptos Display" w:hAnsi="Aptos Display" w:eastAsia="Aptos Display" w:cs="Aptos Display"/>
          <w:b w:val="1"/>
          <w:bCs w:val="1"/>
          <w:i w:val="0"/>
          <w:iCs w:val="0"/>
          <w:caps w:val="0"/>
          <w:smallCaps w:val="0"/>
          <w:noProof w:val="0"/>
          <w:color w:val="000000" w:themeColor="text1" w:themeTint="FF" w:themeShade="FF"/>
          <w:sz w:val="24"/>
          <w:szCs w:val="24"/>
          <w:lang w:val="en-US"/>
        </w:rPr>
      </w:pPr>
    </w:p>
    <w:p w:rsidR="1B6E5744" w:rsidP="1B6E5744" w:rsidRDefault="1B6E5744" w14:paraId="21FA88B5" w14:textId="38B77817">
      <w:pPr>
        <w:spacing w:before="580" w:beforeAutospacing="off" w:after="580" w:afterAutospacing="off"/>
        <w:jc w:val="both"/>
        <w:rPr>
          <w:rFonts w:ascii="Aptos Display" w:hAnsi="Aptos Display" w:eastAsia="Aptos Display" w:cs="Aptos Display"/>
          <w:b w:val="1"/>
          <w:bCs w:val="1"/>
          <w:i w:val="0"/>
          <w:iCs w:val="0"/>
          <w:caps w:val="0"/>
          <w:smallCaps w:val="0"/>
          <w:noProof w:val="0"/>
          <w:color w:val="000000" w:themeColor="text1" w:themeTint="FF" w:themeShade="FF"/>
          <w:sz w:val="24"/>
          <w:szCs w:val="24"/>
          <w:lang w:val="en-US"/>
        </w:rPr>
      </w:pPr>
    </w:p>
    <w:p w:rsidR="1B6E5744" w:rsidP="1B6E5744" w:rsidRDefault="1B6E5744" w14:paraId="2ABDD0F0" w14:textId="3C4A0B23">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i8UUdXdlt6RIo" int2:id="TkwmCpYX">
      <int2:state int2:type="spell" int2:value="Rejected"/>
    </int2:textHash>
    <int2:bookmark int2:bookmarkName="_Int_EHbFo4YJ" int2:invalidationBookmarkName="" int2:hashCode="fAolwG6jC65Q45" int2:id="QsFvnOAt">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1b163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8E106C"/>
    <w:rsid w:val="00BAB8B7"/>
    <w:rsid w:val="00DEBB6B"/>
    <w:rsid w:val="0253E159"/>
    <w:rsid w:val="03D29589"/>
    <w:rsid w:val="045B1545"/>
    <w:rsid w:val="04CEA623"/>
    <w:rsid w:val="0505C735"/>
    <w:rsid w:val="062D4FC9"/>
    <w:rsid w:val="06B7A9AA"/>
    <w:rsid w:val="06BB72E8"/>
    <w:rsid w:val="07041F22"/>
    <w:rsid w:val="07095F80"/>
    <w:rsid w:val="080FA251"/>
    <w:rsid w:val="087FA917"/>
    <w:rsid w:val="08ED285A"/>
    <w:rsid w:val="0966BD55"/>
    <w:rsid w:val="0AE164C3"/>
    <w:rsid w:val="0AF18851"/>
    <w:rsid w:val="0B6BCA8E"/>
    <w:rsid w:val="0BA8B398"/>
    <w:rsid w:val="0BB83BB5"/>
    <w:rsid w:val="0C2B95D6"/>
    <w:rsid w:val="0C8BFACA"/>
    <w:rsid w:val="0D1A437C"/>
    <w:rsid w:val="0E3A7779"/>
    <w:rsid w:val="0E76181F"/>
    <w:rsid w:val="0E7C343E"/>
    <w:rsid w:val="0EBE720B"/>
    <w:rsid w:val="0F541D7A"/>
    <w:rsid w:val="0F7D8666"/>
    <w:rsid w:val="0FE090EF"/>
    <w:rsid w:val="10E2CF11"/>
    <w:rsid w:val="1110EB1A"/>
    <w:rsid w:val="11254E3A"/>
    <w:rsid w:val="1174F682"/>
    <w:rsid w:val="121B8BAB"/>
    <w:rsid w:val="12CD1AE7"/>
    <w:rsid w:val="132AD744"/>
    <w:rsid w:val="135EBD66"/>
    <w:rsid w:val="137B4423"/>
    <w:rsid w:val="13BDBE90"/>
    <w:rsid w:val="14009770"/>
    <w:rsid w:val="14BC9DF1"/>
    <w:rsid w:val="14C8CC47"/>
    <w:rsid w:val="14E5A79C"/>
    <w:rsid w:val="15CA60E5"/>
    <w:rsid w:val="15F78C25"/>
    <w:rsid w:val="16543F76"/>
    <w:rsid w:val="165CBB3F"/>
    <w:rsid w:val="16E4FBA8"/>
    <w:rsid w:val="171B814E"/>
    <w:rsid w:val="1A12C0A6"/>
    <w:rsid w:val="1B17946C"/>
    <w:rsid w:val="1B6E5744"/>
    <w:rsid w:val="1BAD7896"/>
    <w:rsid w:val="1BF2E5F5"/>
    <w:rsid w:val="1BF6D463"/>
    <w:rsid w:val="1C09FAEC"/>
    <w:rsid w:val="1C348189"/>
    <w:rsid w:val="1C4A26FF"/>
    <w:rsid w:val="1C849003"/>
    <w:rsid w:val="1D159F3F"/>
    <w:rsid w:val="1D1AC1A8"/>
    <w:rsid w:val="1EA85A2B"/>
    <w:rsid w:val="1EF466EB"/>
    <w:rsid w:val="1F039CAE"/>
    <w:rsid w:val="1F1DD3BC"/>
    <w:rsid w:val="20862628"/>
    <w:rsid w:val="2090E462"/>
    <w:rsid w:val="20B5C131"/>
    <w:rsid w:val="212E88C7"/>
    <w:rsid w:val="21EADA19"/>
    <w:rsid w:val="224C4DBE"/>
    <w:rsid w:val="22C97D00"/>
    <w:rsid w:val="22EC0367"/>
    <w:rsid w:val="237EA923"/>
    <w:rsid w:val="239DBC79"/>
    <w:rsid w:val="23D4AC39"/>
    <w:rsid w:val="23EC11DF"/>
    <w:rsid w:val="24A83233"/>
    <w:rsid w:val="256CF51B"/>
    <w:rsid w:val="25727E24"/>
    <w:rsid w:val="258F415F"/>
    <w:rsid w:val="25B49D92"/>
    <w:rsid w:val="266B81DE"/>
    <w:rsid w:val="268796F0"/>
    <w:rsid w:val="26C2997E"/>
    <w:rsid w:val="26DC1B41"/>
    <w:rsid w:val="26EA3632"/>
    <w:rsid w:val="26ED8921"/>
    <w:rsid w:val="272E2DE8"/>
    <w:rsid w:val="27F20298"/>
    <w:rsid w:val="2890C746"/>
    <w:rsid w:val="29B197CA"/>
    <w:rsid w:val="2A209142"/>
    <w:rsid w:val="2A350663"/>
    <w:rsid w:val="2A40C802"/>
    <w:rsid w:val="2B70D329"/>
    <w:rsid w:val="2B977B6B"/>
    <w:rsid w:val="2BE5F661"/>
    <w:rsid w:val="2CA17490"/>
    <w:rsid w:val="2CE801B4"/>
    <w:rsid w:val="2D997FD1"/>
    <w:rsid w:val="2E03B877"/>
    <w:rsid w:val="2E5F919E"/>
    <w:rsid w:val="2E769110"/>
    <w:rsid w:val="2EB3F3F4"/>
    <w:rsid w:val="2EDC194E"/>
    <w:rsid w:val="2F3CC359"/>
    <w:rsid w:val="2FDE446F"/>
    <w:rsid w:val="302591C0"/>
    <w:rsid w:val="3150CFC6"/>
    <w:rsid w:val="3190D4A6"/>
    <w:rsid w:val="31A61230"/>
    <w:rsid w:val="31B418EC"/>
    <w:rsid w:val="31D75CD0"/>
    <w:rsid w:val="322D8565"/>
    <w:rsid w:val="32585B98"/>
    <w:rsid w:val="32FB2BE6"/>
    <w:rsid w:val="33070E72"/>
    <w:rsid w:val="333AA761"/>
    <w:rsid w:val="335337CB"/>
    <w:rsid w:val="346F0251"/>
    <w:rsid w:val="3500C9F5"/>
    <w:rsid w:val="359E97FA"/>
    <w:rsid w:val="35D9639E"/>
    <w:rsid w:val="35E8F25F"/>
    <w:rsid w:val="367B5F7D"/>
    <w:rsid w:val="371270E6"/>
    <w:rsid w:val="376341AB"/>
    <w:rsid w:val="37BC5365"/>
    <w:rsid w:val="37EA91FE"/>
    <w:rsid w:val="3821E212"/>
    <w:rsid w:val="387AC853"/>
    <w:rsid w:val="38D1F34D"/>
    <w:rsid w:val="392C7F73"/>
    <w:rsid w:val="3A502467"/>
    <w:rsid w:val="3AB39F3F"/>
    <w:rsid w:val="3B09BF86"/>
    <w:rsid w:val="3BA21853"/>
    <w:rsid w:val="3BE3DBA8"/>
    <w:rsid w:val="3BFED6EC"/>
    <w:rsid w:val="3C055549"/>
    <w:rsid w:val="3C38D652"/>
    <w:rsid w:val="3C4C0F88"/>
    <w:rsid w:val="3C5A3156"/>
    <w:rsid w:val="3C5EBF8C"/>
    <w:rsid w:val="3C7FAB33"/>
    <w:rsid w:val="3C81D05D"/>
    <w:rsid w:val="3CDD132E"/>
    <w:rsid w:val="3D40F52C"/>
    <w:rsid w:val="3DD9B681"/>
    <w:rsid w:val="3E665186"/>
    <w:rsid w:val="3EA0DEEE"/>
    <w:rsid w:val="3ED843C9"/>
    <w:rsid w:val="3F145072"/>
    <w:rsid w:val="3F90EEE5"/>
    <w:rsid w:val="401D9E49"/>
    <w:rsid w:val="403792A2"/>
    <w:rsid w:val="4078E082"/>
    <w:rsid w:val="40972D3A"/>
    <w:rsid w:val="40D1D163"/>
    <w:rsid w:val="41185E33"/>
    <w:rsid w:val="417EE911"/>
    <w:rsid w:val="41D786BE"/>
    <w:rsid w:val="42484D53"/>
    <w:rsid w:val="4291CDA8"/>
    <w:rsid w:val="42DFD184"/>
    <w:rsid w:val="43438AC7"/>
    <w:rsid w:val="43F45FA6"/>
    <w:rsid w:val="4422FF83"/>
    <w:rsid w:val="44A129DA"/>
    <w:rsid w:val="44C04751"/>
    <w:rsid w:val="45F884DF"/>
    <w:rsid w:val="47126394"/>
    <w:rsid w:val="4771B288"/>
    <w:rsid w:val="4781C211"/>
    <w:rsid w:val="47EC1910"/>
    <w:rsid w:val="4835C885"/>
    <w:rsid w:val="488555C4"/>
    <w:rsid w:val="493BA0C8"/>
    <w:rsid w:val="4A20E84F"/>
    <w:rsid w:val="4A25C6B7"/>
    <w:rsid w:val="4A752C54"/>
    <w:rsid w:val="4B413CE9"/>
    <w:rsid w:val="4BE28449"/>
    <w:rsid w:val="4BE5A339"/>
    <w:rsid w:val="4C554291"/>
    <w:rsid w:val="4C719F1F"/>
    <w:rsid w:val="4CA21E3F"/>
    <w:rsid w:val="4EE5A2BF"/>
    <w:rsid w:val="4F001B71"/>
    <w:rsid w:val="4F535B04"/>
    <w:rsid w:val="4FD6D7E8"/>
    <w:rsid w:val="4FDD251B"/>
    <w:rsid w:val="4FEC4077"/>
    <w:rsid w:val="5062DD93"/>
    <w:rsid w:val="50C73CDE"/>
    <w:rsid w:val="50D21B5E"/>
    <w:rsid w:val="517C220C"/>
    <w:rsid w:val="5275021D"/>
    <w:rsid w:val="52AFA818"/>
    <w:rsid w:val="52BBD8F5"/>
    <w:rsid w:val="52BCE00A"/>
    <w:rsid w:val="52CC83AF"/>
    <w:rsid w:val="5380AE0F"/>
    <w:rsid w:val="53D8DE82"/>
    <w:rsid w:val="540F90EF"/>
    <w:rsid w:val="542817C5"/>
    <w:rsid w:val="557AC249"/>
    <w:rsid w:val="55DDE47E"/>
    <w:rsid w:val="578C8589"/>
    <w:rsid w:val="57A989DB"/>
    <w:rsid w:val="583CEEA6"/>
    <w:rsid w:val="588E106C"/>
    <w:rsid w:val="596A5219"/>
    <w:rsid w:val="5985B445"/>
    <w:rsid w:val="5987EEDD"/>
    <w:rsid w:val="5AC3E47C"/>
    <w:rsid w:val="5B0DF225"/>
    <w:rsid w:val="5B618747"/>
    <w:rsid w:val="5B945685"/>
    <w:rsid w:val="5BB692FC"/>
    <w:rsid w:val="5BCE5D35"/>
    <w:rsid w:val="5C646F2F"/>
    <w:rsid w:val="5D162E28"/>
    <w:rsid w:val="5D6A3747"/>
    <w:rsid w:val="5D73E61A"/>
    <w:rsid w:val="5D7A1D37"/>
    <w:rsid w:val="5DF86095"/>
    <w:rsid w:val="5F5A58F1"/>
    <w:rsid w:val="60298DCA"/>
    <w:rsid w:val="6089BB85"/>
    <w:rsid w:val="60B1C33A"/>
    <w:rsid w:val="60B1C8F7"/>
    <w:rsid w:val="6119C00E"/>
    <w:rsid w:val="611DB0C7"/>
    <w:rsid w:val="6122CD9D"/>
    <w:rsid w:val="61237B2C"/>
    <w:rsid w:val="61520A7E"/>
    <w:rsid w:val="61CDB53A"/>
    <w:rsid w:val="62CC0896"/>
    <w:rsid w:val="62D689C3"/>
    <w:rsid w:val="633B44EF"/>
    <w:rsid w:val="640853C5"/>
    <w:rsid w:val="6414B39A"/>
    <w:rsid w:val="647A2D28"/>
    <w:rsid w:val="64A59B81"/>
    <w:rsid w:val="64C0DC26"/>
    <w:rsid w:val="64E4F0D3"/>
    <w:rsid w:val="653838B8"/>
    <w:rsid w:val="66087DA3"/>
    <w:rsid w:val="661B0AEF"/>
    <w:rsid w:val="661C6EDB"/>
    <w:rsid w:val="666FAE8E"/>
    <w:rsid w:val="66D8A509"/>
    <w:rsid w:val="67DB6F24"/>
    <w:rsid w:val="68732D38"/>
    <w:rsid w:val="68E11E90"/>
    <w:rsid w:val="69B44184"/>
    <w:rsid w:val="69EF5648"/>
    <w:rsid w:val="6A386DC3"/>
    <w:rsid w:val="6A3EC31E"/>
    <w:rsid w:val="6A634C38"/>
    <w:rsid w:val="6A83A5A5"/>
    <w:rsid w:val="6AF31DB5"/>
    <w:rsid w:val="6B2B40DD"/>
    <w:rsid w:val="6B3DE93C"/>
    <w:rsid w:val="6B9877F2"/>
    <w:rsid w:val="6D2EC36C"/>
    <w:rsid w:val="6DFB2B60"/>
    <w:rsid w:val="6E3AB284"/>
    <w:rsid w:val="6E89C8DD"/>
    <w:rsid w:val="6EC5371F"/>
    <w:rsid w:val="6F0BD7A7"/>
    <w:rsid w:val="6F5BAAA8"/>
    <w:rsid w:val="6F7A1C1B"/>
    <w:rsid w:val="6FBDD56E"/>
    <w:rsid w:val="6FECEF51"/>
    <w:rsid w:val="6FFD2409"/>
    <w:rsid w:val="70BD4780"/>
    <w:rsid w:val="710CB8B8"/>
    <w:rsid w:val="71996562"/>
    <w:rsid w:val="72481634"/>
    <w:rsid w:val="727BD894"/>
    <w:rsid w:val="72F4A890"/>
    <w:rsid w:val="72FD7739"/>
    <w:rsid w:val="7353FB43"/>
    <w:rsid w:val="74C6F164"/>
    <w:rsid w:val="75349745"/>
    <w:rsid w:val="75F25A1B"/>
    <w:rsid w:val="7625E04F"/>
    <w:rsid w:val="768CC533"/>
    <w:rsid w:val="77228447"/>
    <w:rsid w:val="7853313B"/>
    <w:rsid w:val="78AEE993"/>
    <w:rsid w:val="78BFF94A"/>
    <w:rsid w:val="792580F4"/>
    <w:rsid w:val="79C8607B"/>
    <w:rsid w:val="7AE6F06B"/>
    <w:rsid w:val="7B430E83"/>
    <w:rsid w:val="7B9045DF"/>
    <w:rsid w:val="7B9B5545"/>
    <w:rsid w:val="7C097683"/>
    <w:rsid w:val="7C121341"/>
    <w:rsid w:val="7C1E5156"/>
    <w:rsid w:val="7C8CEDEA"/>
    <w:rsid w:val="7CA3FFD5"/>
    <w:rsid w:val="7D1C6F30"/>
    <w:rsid w:val="7D358B04"/>
    <w:rsid w:val="7DB25673"/>
    <w:rsid w:val="7F2042F6"/>
    <w:rsid w:val="7F55C912"/>
    <w:rsid w:val="7F96E9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E106C"/>
  <w15:chartTrackingRefBased/>
  <w15:docId w15:val="{22CA474C-E62A-4711-86EB-1992363225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B6E5744"/>
    <w:rPr>
      <w:color w:val="467886"/>
      <w:u w:val="single"/>
    </w:rPr>
  </w:style>
  <w:style w:type="paragraph" w:styleId="Heading1">
    <w:uiPriority w:val="9"/>
    <w:name w:val="heading 1"/>
    <w:basedOn w:val="Normal"/>
    <w:next w:val="Normal"/>
    <w:qFormat/>
    <w:rsid w:val="1B6E574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1B6E5744"/>
    <w:pPr>
      <w:spacing/>
      <w:ind w:left="720"/>
      <w:contextualSpacing/>
    </w:pPr>
  </w:style>
  <w:style w:type="paragraph" w:styleId="NoSpacing">
    <w:uiPriority w:val="1"/>
    <w:name w:val="No Spacing"/>
    <w:qFormat/>
    <w:rsid w:val="1B6E5744"/>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ventacademy.com/information/event-manager-skills/" TargetMode="External" Id="Rf5a104a2c17846ba" /><Relationship Type="http://schemas.openxmlformats.org/officeDocument/2006/relationships/hyperlink" Target="https://teachinghub.bath.ac.uk/wp-content/uploads/2024/04/3-Planning-and-Evaluating-Events-Reference-Version.pdf" TargetMode="External" Id="R2590cd6d104d4bb6" /><Relationship Type="http://schemas.openxmlformats.org/officeDocument/2006/relationships/hyperlink" Target="https://www.belbin.com/about/belbin-team-roles" TargetMode="External" Id="R93a6d2599bda4d39" /><Relationship Type="http://schemas.openxmlformats.org/officeDocument/2006/relationships/hyperlink" Target="https://doi.org/10.1016/j.tourman.2008.09.004" TargetMode="External" Id="R300a91919b7d4b6b" /><Relationship Type="http://schemas.openxmlformats.org/officeDocument/2006/relationships/hyperlink" Target="https://www.jstor.org/stable/3448076" TargetMode="External" Id="R418f307863d84e9c" /><Relationship Type="http://schemas.openxmlformats.org/officeDocument/2006/relationships/hyperlink" Target="https://www.researchgate.net/publication/48776764_Consumer_behaviour_analysis_and_the_behavioural_perspective_model" TargetMode="External" Id="R9c1d069822894432" /><Relationship Type="http://schemas.openxmlformats.org/officeDocument/2006/relationships/hyperlink" Target="https://www.emeraldgrouppublishing.com" TargetMode="External" Id="Rb1e48e5a39694617" /><Relationship Type="http://schemas.openxmlformats.org/officeDocument/2006/relationships/hyperlink" Target="https://www.emeraldgrouppublishing.com/journal/ijefm" TargetMode="External" Id="R017cba778c154969" /><Relationship Type="http://schemas.openxmlformats.org/officeDocument/2006/relationships/hyperlink" Target="https://eventacademy.com/news/what-is-event-management/" TargetMode="External" Id="R1d7bfb766284466e" /><Relationship Type="http://schemas.openxmlformats.org/officeDocument/2006/relationships/hyperlink" Target="https://www.guidebook.com/glossary/what-is-event-sponsorship" TargetMode="External" Id="R53e49ac3c55a4be7" /><Relationship Type="http://schemas.openxmlformats.org/officeDocument/2006/relationships/hyperlink" Target="https://www.indeed.com/career-advice/career-development/service-quality" TargetMode="External" Id="R2789c5c0721b442e" /><Relationship Type="http://schemas.openxmlformats.org/officeDocument/2006/relationships/hyperlink" Target="https://ftp.idu.ac.id/wp-content/uploads/ebook/ip/BUKU%20MANAJEMEN%20PROYEK/project-management-harold-kerzner1.pdf" TargetMode="External" Id="Rcade2ba86e0845c2" /><Relationship Type="http://schemas.openxmlformats.org/officeDocument/2006/relationships/hyperlink" Target="https://www.simplypsychology.org/learning-kolb.html" TargetMode="External" Id="R63a66f4badfc460e" /><Relationship Type="http://schemas.openxmlformats.org/officeDocument/2006/relationships/hyperlink" Target="https://www.prospects.ac.uk/careers-advice/getting-a-job/7-ways-to-improve-graduate-employability/" TargetMode="External" Id="R8a2a0d1b20ad4e26" /><Relationship Type="http://schemas.openxmlformats.org/officeDocument/2006/relationships/hyperlink" Target="https://www.drpgroup.com/en/news-blog/what-are-the-benefits-of-sponsorship" TargetMode="External" Id="Rac325fbed67f4d34" /><Relationship Type="http://schemas.openxmlformats.org/officeDocument/2006/relationships/hyperlink" Target="https://trainupinstitute.com/wp-content/uploads/2022/03/Project-Management-Institute-A-Guide-to-the-Project-Management-Body-of-Knowledge-PMBOK%C2%AE-Guide%E2%80%93Sixth-Edition-Project-Management-Institute-2017.pdf" TargetMode="External" Id="Reb65f7bb37374797" /><Relationship Type="http://schemas.openxmlformats.org/officeDocument/2006/relationships/hyperlink" Target="https://simplystakeholders.com/stakeholder-communication/" TargetMode="External" Id="Rbf45dd4864e3484f" /><Relationship Type="http://schemas.openxmlformats.org/officeDocument/2006/relationships/hyperlink" Target="https://selfdeterminationtheory.org/SDT/documents/2000_RyanDeci_SDT.pdf" TargetMode="External" Id="R2378e6de19e94f0c" /><Relationship Type="http://schemas.openxmlformats.org/officeDocument/2006/relationships/hyperlink" Target="https://www.theeventscompany.co.uk" TargetMode="External" Id="R29df8102211c4e0e" /><Relationship Type="http://schemas.openxmlformats.org/officeDocument/2006/relationships/hyperlink" Target="https://www.theeventscompany.co.uk/the-introductory-guide-to-event-management/" TargetMode="External" Id="Rc4300f52be494058" /><Relationship Type="http://schemas.openxmlformats.org/officeDocument/2006/relationships/hyperlink" Target="https://thecxacademy.org/the-experience-economy/" TargetMode="External" Id="R2afc3ffbcdac47a6" /><Relationship Type="http://schemas.openxmlformats.org/officeDocument/2006/relationships/hyperlink" Target="https://weezevent.com/en-gb/blog/the-importance-of-volunteers-at-an-event-keys-to-collective-success/" TargetMode="External" Id="R6869324f65344b5a" /><Relationship Type="http://schemas.microsoft.com/office/2020/10/relationships/intelligence" Target="intelligence2.xml" Id="Rb33143a5c5a54041" /><Relationship Type="http://schemas.openxmlformats.org/officeDocument/2006/relationships/numbering" Target="numbering.xml" Id="Rd3b919cb4e324cc3" /><Relationship Type="http://schemas.openxmlformats.org/officeDocument/2006/relationships/image" Target="/media/image.png" Id="rId1952910324" /><Relationship Type="http://schemas.openxmlformats.org/officeDocument/2006/relationships/image" Target="/media/image2.png" Id="rId343260591" /><Relationship Type="http://schemas.openxmlformats.org/officeDocument/2006/relationships/image" Target="/media/image3.png" Id="rId630396623" /><Relationship Type="http://schemas.openxmlformats.org/officeDocument/2006/relationships/image" Target="/media/image4.png" Id="rId830564106" /><Relationship Type="http://schemas.openxmlformats.org/officeDocument/2006/relationships/image" Target="/media/image.jpg" Id="rId93352431" /><Relationship Type="http://schemas.openxmlformats.org/officeDocument/2006/relationships/image" Target="/media/image5.png" Id="rId920341744" /><Relationship Type="http://schemas.openxmlformats.org/officeDocument/2006/relationships/image" Target="/media/image6.png" Id="rId1332430074" /><Relationship Type="http://schemas.openxmlformats.org/officeDocument/2006/relationships/image" Target="/media/image7.png" Id="rId605409343" /><Relationship Type="http://schemas.openxmlformats.org/officeDocument/2006/relationships/image" Target="/media/image8.png" Id="rId542184412" /><Relationship Type="http://schemas.openxmlformats.org/officeDocument/2006/relationships/image" Target="/media/image9.png" Id="rId812103960" /><Relationship Type="http://schemas.openxmlformats.org/officeDocument/2006/relationships/image" Target="/media/imagea.png" Id="rId583683730" /><Relationship Type="http://schemas.openxmlformats.org/officeDocument/2006/relationships/image" Target="/media/imageb.png" Id="rId1092143481" /><Relationship Type="http://schemas.openxmlformats.org/officeDocument/2006/relationships/image" Target="/media/imagec.png" Id="rId779447689" /><Relationship Type="http://schemas.openxmlformats.org/officeDocument/2006/relationships/image" Target="/media/imaged.png" Id="rId1516383238" /><Relationship Type="http://schemas.openxmlformats.org/officeDocument/2006/relationships/image" Target="/media/imagee.png" Id="rId528816357" /><Relationship Type="http://schemas.openxmlformats.org/officeDocument/2006/relationships/image" Target="/media/imagef.png" Id="rId476888672" /><Relationship Type="http://schemas.openxmlformats.org/officeDocument/2006/relationships/image" Target="/media/image10.png" Id="rId293402840" /><Relationship Type="http://schemas.openxmlformats.org/officeDocument/2006/relationships/image" Target="/media/image11.png" Id="rId1228682965" /><Relationship Type="http://schemas.openxmlformats.org/officeDocument/2006/relationships/image" Target="/media/image12.png" Id="rId16757693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2026-03-23T10:49:28.4863404Z</dcterms:created>
  <dcterms:modified xsi:type="dcterms:W3CDTF">2026-03-29T21:10:58.5573702Z</dcterms:modified>
  <dc:creator>Simon Canby (2304206)</dc:creator>
  <lastModifiedBy>Simon Canby (2304206)</lastModifiedBy>
</coreProperties>
</file>