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F87C9" w14:textId="7925F70F" w:rsidR="008E4147" w:rsidRPr="003D5455" w:rsidRDefault="008E4147" w:rsidP="003D5455">
      <w:pPr>
        <w:pStyle w:val="Title"/>
        <w:rPr>
          <w:sz w:val="48"/>
          <w:szCs w:val="48"/>
        </w:rPr>
      </w:pPr>
      <w:r w:rsidRPr="003D5455">
        <w:rPr>
          <w:sz w:val="48"/>
          <w:szCs w:val="48"/>
        </w:rPr>
        <w:t>Compare and Contrast Different Conceptions of the Environment</w:t>
      </w:r>
    </w:p>
    <w:p w14:paraId="4D847168" w14:textId="1820006E" w:rsidR="0099702D" w:rsidRPr="009544B9" w:rsidRDefault="00477AA3" w:rsidP="008D2E34">
      <w:pPr>
        <w:jc w:val="both"/>
        <w:rPr>
          <w:sz w:val="24"/>
          <w:szCs w:val="24"/>
        </w:rPr>
      </w:pPr>
      <w:r w:rsidRPr="009544B9">
        <w:rPr>
          <w:sz w:val="24"/>
          <w:szCs w:val="24"/>
        </w:rPr>
        <w:t>The environment will always play a crucial role in any person’s life regardless of where they live. This omnipresent thing that is environment will also be interpreted and understood in different ways depending on what group you look at. I will examine the environmental perceptions of the Mbuti, Ju’/</w:t>
      </w:r>
      <w:r w:rsidR="003B1576" w:rsidRPr="009544B9">
        <w:rPr>
          <w:sz w:val="24"/>
          <w:szCs w:val="24"/>
        </w:rPr>
        <w:t>h</w:t>
      </w:r>
      <w:r w:rsidRPr="009544B9">
        <w:rPr>
          <w:sz w:val="24"/>
          <w:szCs w:val="24"/>
        </w:rPr>
        <w:t>oansi</w:t>
      </w:r>
      <w:r w:rsidR="00DF7AE7" w:rsidRPr="009544B9">
        <w:rPr>
          <w:sz w:val="24"/>
          <w:szCs w:val="24"/>
        </w:rPr>
        <w:t xml:space="preserve"> </w:t>
      </w:r>
      <w:r w:rsidR="002B0D35" w:rsidRPr="009544B9">
        <w:rPr>
          <w:sz w:val="24"/>
          <w:szCs w:val="24"/>
        </w:rPr>
        <w:t>and Trobriand</w:t>
      </w:r>
      <w:r w:rsidR="00DA3349" w:rsidRPr="009544B9">
        <w:rPr>
          <w:sz w:val="24"/>
          <w:szCs w:val="24"/>
        </w:rPr>
        <w:t xml:space="preserve"> Islanders</w:t>
      </w:r>
      <w:r w:rsidR="0099702D" w:rsidRPr="009544B9">
        <w:rPr>
          <w:sz w:val="24"/>
          <w:szCs w:val="24"/>
        </w:rPr>
        <w:t>.</w:t>
      </w:r>
    </w:p>
    <w:p w14:paraId="71510971" w14:textId="687353FC" w:rsidR="00C1603E" w:rsidRPr="009544B9" w:rsidRDefault="00C1603E" w:rsidP="008D2E34">
      <w:pPr>
        <w:jc w:val="both"/>
        <w:rPr>
          <w:sz w:val="24"/>
          <w:szCs w:val="24"/>
        </w:rPr>
      </w:pPr>
      <w:r w:rsidRPr="009544B9">
        <w:rPr>
          <w:sz w:val="24"/>
          <w:szCs w:val="24"/>
        </w:rPr>
        <w:t xml:space="preserve">The Ju/’hoansi of the Dobe region in the Kalahari Desert live a life of hunting and gathering, moving with the seasonal rains to different water holes. The Ju/’hoansi have an extensive knowledge on the biota that surrounds them, </w:t>
      </w:r>
      <w:r w:rsidR="00A13ED1">
        <w:rPr>
          <w:sz w:val="24"/>
          <w:szCs w:val="24"/>
        </w:rPr>
        <w:t>cataloguing</w:t>
      </w:r>
      <w:r w:rsidRPr="009544B9">
        <w:rPr>
          <w:sz w:val="24"/>
          <w:szCs w:val="24"/>
        </w:rPr>
        <w:t xml:space="preserve"> 250 animal species and over 100 plant species in their minds, allowing them to collect as much as 50 pounds worth of food from a single good trip </w:t>
      </w:r>
      <w:sdt>
        <w:sdtPr>
          <w:rPr>
            <w:sz w:val="24"/>
            <w:szCs w:val="24"/>
          </w:rPr>
          <w:id w:val="785618327"/>
          <w:citation/>
        </w:sdtPr>
        <w:sdtEndPr/>
        <w:sdtContent>
          <w:r w:rsidRPr="009544B9">
            <w:rPr>
              <w:sz w:val="24"/>
              <w:szCs w:val="24"/>
            </w:rPr>
            <w:fldChar w:fldCharType="begin"/>
          </w:r>
          <w:r w:rsidRPr="009544B9">
            <w:rPr>
              <w:sz w:val="24"/>
              <w:szCs w:val="24"/>
            </w:rPr>
            <w:instrText xml:space="preserve">CITATION Hol94 \p 99-100 \l 2057 </w:instrText>
          </w:r>
          <w:r w:rsidRPr="009544B9">
            <w:rPr>
              <w:sz w:val="24"/>
              <w:szCs w:val="24"/>
            </w:rPr>
            <w:fldChar w:fldCharType="separate"/>
          </w:r>
          <w:r w:rsidR="006B07D0" w:rsidRPr="009544B9">
            <w:rPr>
              <w:noProof/>
              <w:sz w:val="24"/>
              <w:szCs w:val="24"/>
            </w:rPr>
            <w:t>(Peters-Golden, 1994, pp. 99-100)</w:t>
          </w:r>
          <w:r w:rsidRPr="009544B9">
            <w:rPr>
              <w:sz w:val="24"/>
              <w:szCs w:val="24"/>
            </w:rPr>
            <w:fldChar w:fldCharType="end"/>
          </w:r>
        </w:sdtContent>
      </w:sdt>
      <w:r w:rsidRPr="009544B9">
        <w:rPr>
          <w:sz w:val="24"/>
          <w:szCs w:val="24"/>
        </w:rPr>
        <w:t xml:space="preserve">. This extensive knowledge allows them to have a varied diet in all seasons of the year and wherever they may be residing. It may not be a familial connection like the Mbuti to their forest home, which will be described later, the Ju/’hoansi are connected to their environment through their extensive knowledge of its weather patterns, game, plants and geography. The Ju/’hoansi have a loose concept of ownership, with little attachment to material culture, and the attachment they do have is divided up through the elders. </w:t>
      </w:r>
      <w:r w:rsidR="00D14198" w:rsidRPr="009544B9">
        <w:rPr>
          <w:sz w:val="24"/>
          <w:szCs w:val="24"/>
        </w:rPr>
        <w:t xml:space="preserve">What </w:t>
      </w:r>
      <w:r w:rsidR="00A13ED1">
        <w:rPr>
          <w:sz w:val="24"/>
          <w:szCs w:val="24"/>
        </w:rPr>
        <w:t>need and understanding of</w:t>
      </w:r>
      <w:r w:rsidR="00D14198" w:rsidRPr="009544B9">
        <w:rPr>
          <w:sz w:val="24"/>
          <w:szCs w:val="24"/>
        </w:rPr>
        <w:t xml:space="preserve"> material culture</w:t>
      </w:r>
      <w:r w:rsidR="00A13ED1">
        <w:rPr>
          <w:sz w:val="24"/>
          <w:szCs w:val="24"/>
        </w:rPr>
        <w:t xml:space="preserve"> </w:t>
      </w:r>
      <w:r w:rsidR="00D14198" w:rsidRPr="009544B9">
        <w:rPr>
          <w:sz w:val="24"/>
          <w:szCs w:val="24"/>
        </w:rPr>
        <w:t xml:space="preserve">is outlined </w:t>
      </w:r>
      <w:r w:rsidR="006C30A9" w:rsidRPr="009544B9">
        <w:rPr>
          <w:sz w:val="24"/>
          <w:szCs w:val="24"/>
        </w:rPr>
        <w:t>when Peters-Golden</w:t>
      </w:r>
      <w:sdt>
        <w:sdtPr>
          <w:rPr>
            <w:sz w:val="24"/>
            <w:szCs w:val="24"/>
          </w:rPr>
          <w:id w:val="220728775"/>
          <w:citation/>
        </w:sdtPr>
        <w:sdtEndPr/>
        <w:sdtContent>
          <w:r w:rsidR="006C30A9" w:rsidRPr="009544B9">
            <w:rPr>
              <w:sz w:val="24"/>
              <w:szCs w:val="24"/>
            </w:rPr>
            <w:fldChar w:fldCharType="begin"/>
          </w:r>
          <w:r w:rsidR="006C30A9" w:rsidRPr="009544B9">
            <w:rPr>
              <w:sz w:val="24"/>
              <w:szCs w:val="24"/>
            </w:rPr>
            <w:instrText xml:space="preserve">CITATION Hol94 \n  \l 2057 </w:instrText>
          </w:r>
          <w:r w:rsidR="006C30A9" w:rsidRPr="009544B9">
            <w:rPr>
              <w:sz w:val="24"/>
              <w:szCs w:val="24"/>
            </w:rPr>
            <w:fldChar w:fldCharType="separate"/>
          </w:r>
          <w:r w:rsidR="006B07D0" w:rsidRPr="009544B9">
            <w:rPr>
              <w:noProof/>
              <w:sz w:val="24"/>
              <w:szCs w:val="24"/>
            </w:rPr>
            <w:t xml:space="preserve"> (1994)</w:t>
          </w:r>
          <w:r w:rsidR="006C30A9" w:rsidRPr="009544B9">
            <w:rPr>
              <w:sz w:val="24"/>
              <w:szCs w:val="24"/>
            </w:rPr>
            <w:fldChar w:fldCharType="end"/>
          </w:r>
        </w:sdtContent>
      </w:sdt>
      <w:r w:rsidR="006C30A9" w:rsidRPr="009544B9">
        <w:rPr>
          <w:sz w:val="24"/>
          <w:szCs w:val="24"/>
        </w:rPr>
        <w:t xml:space="preserve"> explains that the elders are seen as the ones who have who have ownership over the worlds natural resources</w:t>
      </w:r>
      <w:r w:rsidR="00BF74D8" w:rsidRPr="009544B9">
        <w:rPr>
          <w:sz w:val="24"/>
          <w:szCs w:val="24"/>
        </w:rPr>
        <w:t xml:space="preserve">; she goes on to say how the elders aren’t so much owners as they are stewards of the land with the band as a whole living without the need for personal ownership. </w:t>
      </w:r>
      <w:r w:rsidR="009B4519" w:rsidRPr="009544B9">
        <w:rPr>
          <w:sz w:val="24"/>
          <w:szCs w:val="24"/>
        </w:rPr>
        <w:t>This lack of personal ownership and great understanding of the species around them show a close connection with the land, with a respect for its abundance as to not take too much.</w:t>
      </w:r>
    </w:p>
    <w:p w14:paraId="3601AF36" w14:textId="3F267712" w:rsidR="00250765" w:rsidRPr="009544B9" w:rsidRDefault="009B4519" w:rsidP="008D2E34">
      <w:pPr>
        <w:jc w:val="both"/>
        <w:rPr>
          <w:sz w:val="24"/>
          <w:szCs w:val="24"/>
        </w:rPr>
      </w:pPr>
      <w:r w:rsidRPr="009544B9">
        <w:rPr>
          <w:sz w:val="24"/>
          <w:szCs w:val="24"/>
        </w:rPr>
        <w:t xml:space="preserve">The </w:t>
      </w:r>
      <w:r w:rsidR="00B649E7" w:rsidRPr="009544B9">
        <w:rPr>
          <w:sz w:val="24"/>
          <w:szCs w:val="24"/>
        </w:rPr>
        <w:t>Mbut</w:t>
      </w:r>
      <w:r w:rsidRPr="009544B9">
        <w:rPr>
          <w:sz w:val="24"/>
          <w:szCs w:val="24"/>
        </w:rPr>
        <w:t>i are a wider group of hunter-gatherers</w:t>
      </w:r>
      <w:r w:rsidR="003B1576" w:rsidRPr="009544B9">
        <w:rPr>
          <w:sz w:val="24"/>
          <w:szCs w:val="24"/>
        </w:rPr>
        <w:t xml:space="preserve"> </w:t>
      </w:r>
      <w:r w:rsidRPr="009544B9">
        <w:rPr>
          <w:sz w:val="24"/>
          <w:szCs w:val="24"/>
        </w:rPr>
        <w:t>who</w:t>
      </w:r>
      <w:r w:rsidR="003B1576" w:rsidRPr="009544B9">
        <w:rPr>
          <w:sz w:val="24"/>
          <w:szCs w:val="24"/>
        </w:rPr>
        <w:t xml:space="preserve"> live in the jungles of the Congo. </w:t>
      </w:r>
      <w:r w:rsidR="00802887" w:rsidRPr="009544B9">
        <w:rPr>
          <w:sz w:val="24"/>
          <w:szCs w:val="24"/>
        </w:rPr>
        <w:t xml:space="preserve">A very intimate relationship has been formed between the Mbuti inhabitants and the environment they live in; a quote from the Forest People, by Colin Turnbull, describes the intimacy perfectly “The forest is our home; when we leave the forest, or the forest dies, we shall die. We are the people of the forest” </w:t>
      </w:r>
      <w:sdt>
        <w:sdtPr>
          <w:rPr>
            <w:sz w:val="24"/>
            <w:szCs w:val="24"/>
          </w:rPr>
          <w:id w:val="1664358780"/>
          <w:citation/>
        </w:sdtPr>
        <w:sdtEndPr/>
        <w:sdtContent>
          <w:r w:rsidR="00802887" w:rsidRPr="009544B9">
            <w:rPr>
              <w:sz w:val="24"/>
              <w:szCs w:val="24"/>
            </w:rPr>
            <w:fldChar w:fldCharType="begin"/>
          </w:r>
          <w:r w:rsidR="00802887" w:rsidRPr="009544B9">
            <w:rPr>
              <w:sz w:val="24"/>
              <w:szCs w:val="24"/>
            </w:rPr>
            <w:instrText xml:space="preserve">CITATION Col61 \p 260 \l 2057 </w:instrText>
          </w:r>
          <w:r w:rsidR="00802887" w:rsidRPr="009544B9">
            <w:rPr>
              <w:sz w:val="24"/>
              <w:szCs w:val="24"/>
            </w:rPr>
            <w:fldChar w:fldCharType="separate"/>
          </w:r>
          <w:r w:rsidR="006B07D0" w:rsidRPr="009544B9">
            <w:rPr>
              <w:noProof/>
              <w:sz w:val="24"/>
              <w:szCs w:val="24"/>
            </w:rPr>
            <w:t>(Turnbull, 1961, p. 260)</w:t>
          </w:r>
          <w:r w:rsidR="00802887" w:rsidRPr="009544B9">
            <w:rPr>
              <w:sz w:val="24"/>
              <w:szCs w:val="24"/>
            </w:rPr>
            <w:fldChar w:fldCharType="end"/>
          </w:r>
        </w:sdtContent>
      </w:sdt>
      <w:r w:rsidR="00802887" w:rsidRPr="009544B9">
        <w:rPr>
          <w:sz w:val="24"/>
          <w:szCs w:val="24"/>
        </w:rPr>
        <w:t>. Evidently from those words, spoken by one of the Pygmies he was staying with, the connection the Mbuti have to the forest is made clear</w:t>
      </w:r>
      <w:r w:rsidR="007D411D" w:rsidRPr="009544B9">
        <w:rPr>
          <w:sz w:val="24"/>
          <w:szCs w:val="24"/>
        </w:rPr>
        <w:t>: without the forest and the protection, resources and shelter it provides, they</w:t>
      </w:r>
      <w:r w:rsidR="00A13ED1">
        <w:rPr>
          <w:sz w:val="24"/>
          <w:szCs w:val="24"/>
        </w:rPr>
        <w:t xml:space="preserve"> would</w:t>
      </w:r>
      <w:r w:rsidR="007D411D" w:rsidRPr="009544B9">
        <w:rPr>
          <w:sz w:val="24"/>
          <w:szCs w:val="24"/>
        </w:rPr>
        <w:t xml:space="preserve"> die. </w:t>
      </w:r>
      <w:r w:rsidR="00947051" w:rsidRPr="009544B9">
        <w:rPr>
          <w:sz w:val="24"/>
          <w:szCs w:val="24"/>
        </w:rPr>
        <w:t>Even when one of their own kin dies, as Turnbull explains they see “the death as a ‘big thing’ and that it was a ‘matter for the forest’”</w:t>
      </w:r>
      <w:sdt>
        <w:sdtPr>
          <w:rPr>
            <w:sz w:val="24"/>
            <w:szCs w:val="24"/>
          </w:rPr>
          <w:id w:val="1636449428"/>
          <w:citation/>
        </w:sdtPr>
        <w:sdtEndPr/>
        <w:sdtContent>
          <w:r w:rsidR="00947051" w:rsidRPr="009544B9">
            <w:rPr>
              <w:sz w:val="24"/>
              <w:szCs w:val="24"/>
            </w:rPr>
            <w:fldChar w:fldCharType="begin"/>
          </w:r>
          <w:r w:rsidR="00947051" w:rsidRPr="009544B9">
            <w:rPr>
              <w:sz w:val="24"/>
              <w:szCs w:val="24"/>
            </w:rPr>
            <w:instrText xml:space="preserve">CITATION Col61 \p 50 \l 2057 </w:instrText>
          </w:r>
          <w:r w:rsidR="00947051" w:rsidRPr="009544B9">
            <w:rPr>
              <w:sz w:val="24"/>
              <w:szCs w:val="24"/>
            </w:rPr>
            <w:fldChar w:fldCharType="separate"/>
          </w:r>
          <w:r w:rsidR="006B07D0" w:rsidRPr="009544B9">
            <w:rPr>
              <w:noProof/>
              <w:sz w:val="24"/>
              <w:szCs w:val="24"/>
            </w:rPr>
            <w:t xml:space="preserve"> (Turnbull, 1961, p. 50)</w:t>
          </w:r>
          <w:r w:rsidR="00947051" w:rsidRPr="009544B9">
            <w:rPr>
              <w:sz w:val="24"/>
              <w:szCs w:val="24"/>
            </w:rPr>
            <w:fldChar w:fldCharType="end"/>
          </w:r>
        </w:sdtContent>
      </w:sdt>
      <w:r w:rsidR="00947051" w:rsidRPr="009544B9">
        <w:rPr>
          <w:sz w:val="24"/>
          <w:szCs w:val="24"/>
        </w:rPr>
        <w:t>. Even in death of neighbours, family or friends they see that their life is a part of the forest</w:t>
      </w:r>
      <w:r w:rsidR="00D77A80" w:rsidRPr="009544B9">
        <w:rPr>
          <w:sz w:val="24"/>
          <w:szCs w:val="24"/>
        </w:rPr>
        <w:t xml:space="preserve">, much more bound to nature and the environment than most Euro-American viewpoint. </w:t>
      </w:r>
      <w:r w:rsidR="001740B9" w:rsidRPr="009544B9">
        <w:rPr>
          <w:sz w:val="24"/>
          <w:szCs w:val="24"/>
        </w:rPr>
        <w:t xml:space="preserve">The Mbuti can be considered hunter-gatherers for the most part, although modernity is catching up </w:t>
      </w:r>
      <w:sdt>
        <w:sdtPr>
          <w:rPr>
            <w:sz w:val="24"/>
            <w:szCs w:val="24"/>
          </w:rPr>
          <w:id w:val="938719655"/>
          <w:citation/>
        </w:sdtPr>
        <w:sdtEndPr/>
        <w:sdtContent>
          <w:r w:rsidR="001740B9" w:rsidRPr="009544B9">
            <w:rPr>
              <w:sz w:val="24"/>
              <w:szCs w:val="24"/>
            </w:rPr>
            <w:fldChar w:fldCharType="begin"/>
          </w:r>
          <w:r w:rsidR="001740B9" w:rsidRPr="009544B9">
            <w:rPr>
              <w:sz w:val="24"/>
              <w:szCs w:val="24"/>
            </w:rPr>
            <w:instrText xml:space="preserve">CITATION Col61 \p 32 \l 2057 </w:instrText>
          </w:r>
          <w:r w:rsidR="001740B9" w:rsidRPr="009544B9">
            <w:rPr>
              <w:sz w:val="24"/>
              <w:szCs w:val="24"/>
            </w:rPr>
            <w:fldChar w:fldCharType="separate"/>
          </w:r>
          <w:r w:rsidR="006B07D0" w:rsidRPr="009544B9">
            <w:rPr>
              <w:noProof/>
              <w:sz w:val="24"/>
              <w:szCs w:val="24"/>
            </w:rPr>
            <w:t>(Turnbull, 1961, p. 32)</w:t>
          </w:r>
          <w:r w:rsidR="001740B9" w:rsidRPr="009544B9">
            <w:rPr>
              <w:sz w:val="24"/>
              <w:szCs w:val="24"/>
            </w:rPr>
            <w:fldChar w:fldCharType="end"/>
          </w:r>
        </w:sdtContent>
      </w:sdt>
      <w:r w:rsidR="001740B9" w:rsidRPr="009544B9">
        <w:rPr>
          <w:sz w:val="24"/>
          <w:szCs w:val="24"/>
        </w:rPr>
        <w:t xml:space="preserve">, some groups still stick to the traditional lifestyle and shun the negro village near the camp Turnbull stays at; </w:t>
      </w:r>
      <w:r w:rsidR="00250765" w:rsidRPr="009544B9">
        <w:rPr>
          <w:sz w:val="24"/>
          <w:szCs w:val="24"/>
        </w:rPr>
        <w:t xml:space="preserve">their reason for shunning modernity can be seen by their name for themselves “Children of the Forest” </w:t>
      </w:r>
      <w:sdt>
        <w:sdtPr>
          <w:rPr>
            <w:sz w:val="24"/>
            <w:szCs w:val="24"/>
          </w:rPr>
          <w:id w:val="-1381711037"/>
          <w:citation/>
        </w:sdtPr>
        <w:sdtEndPr/>
        <w:sdtContent>
          <w:r w:rsidR="00250765" w:rsidRPr="009544B9">
            <w:rPr>
              <w:sz w:val="24"/>
              <w:szCs w:val="24"/>
            </w:rPr>
            <w:fldChar w:fldCharType="begin"/>
          </w:r>
          <w:r w:rsidR="00250765" w:rsidRPr="009544B9">
            <w:rPr>
              <w:sz w:val="24"/>
              <w:szCs w:val="24"/>
            </w:rPr>
            <w:instrText xml:space="preserve">CITATION Col61 \p 128 \l 2057 </w:instrText>
          </w:r>
          <w:r w:rsidR="00250765" w:rsidRPr="009544B9">
            <w:rPr>
              <w:sz w:val="24"/>
              <w:szCs w:val="24"/>
            </w:rPr>
            <w:fldChar w:fldCharType="separate"/>
          </w:r>
          <w:r w:rsidR="006B07D0" w:rsidRPr="009544B9">
            <w:rPr>
              <w:noProof/>
              <w:sz w:val="24"/>
              <w:szCs w:val="24"/>
            </w:rPr>
            <w:t>(Turnbull, 1961, p. 128)</w:t>
          </w:r>
          <w:r w:rsidR="00250765" w:rsidRPr="009544B9">
            <w:rPr>
              <w:sz w:val="24"/>
              <w:szCs w:val="24"/>
            </w:rPr>
            <w:fldChar w:fldCharType="end"/>
          </w:r>
        </w:sdtContent>
      </w:sdt>
      <w:r w:rsidR="00A13ED1">
        <w:rPr>
          <w:sz w:val="24"/>
          <w:szCs w:val="24"/>
        </w:rPr>
        <w:t xml:space="preserve">. </w:t>
      </w:r>
      <w:r w:rsidR="00250765" w:rsidRPr="009544B9">
        <w:rPr>
          <w:sz w:val="24"/>
          <w:szCs w:val="24"/>
        </w:rPr>
        <w:t>All these points illustrate a great degree of intimacy with the forest the Mbuti inhabit, and it is an endearing closeness as well when compared to some other perspectives which can be considered cold or uncaring.</w:t>
      </w:r>
      <w:r w:rsidR="00DF7AE7" w:rsidRPr="009544B9">
        <w:rPr>
          <w:sz w:val="24"/>
          <w:szCs w:val="24"/>
        </w:rPr>
        <w:t xml:space="preserve"> A similarity between the Mbuti and the Jo/’hoansi is their concept of responsibility, which is </w:t>
      </w:r>
      <w:r w:rsidR="00EA7B2C" w:rsidRPr="009544B9">
        <w:rPr>
          <w:sz w:val="24"/>
          <w:szCs w:val="24"/>
        </w:rPr>
        <w:lastRenderedPageBreak/>
        <w:t xml:space="preserve">briefly </w:t>
      </w:r>
      <w:r w:rsidR="00DF7AE7" w:rsidRPr="009544B9">
        <w:rPr>
          <w:sz w:val="24"/>
          <w:szCs w:val="24"/>
        </w:rPr>
        <w:t xml:space="preserve">described as “Pygmies dislike and avoid personal authority, though they are by no means devoid of a sense of responsibility. It is rather that they think of responsibility as communal” </w:t>
      </w:r>
      <w:sdt>
        <w:sdtPr>
          <w:rPr>
            <w:sz w:val="24"/>
            <w:szCs w:val="24"/>
          </w:rPr>
          <w:id w:val="963775046"/>
          <w:citation/>
        </w:sdtPr>
        <w:sdtEndPr/>
        <w:sdtContent>
          <w:r w:rsidR="00DF7AE7" w:rsidRPr="009544B9">
            <w:rPr>
              <w:sz w:val="24"/>
              <w:szCs w:val="24"/>
            </w:rPr>
            <w:fldChar w:fldCharType="begin"/>
          </w:r>
          <w:r w:rsidR="00DF7AE7" w:rsidRPr="009544B9">
            <w:rPr>
              <w:sz w:val="24"/>
              <w:szCs w:val="24"/>
            </w:rPr>
            <w:instrText xml:space="preserve">CITATION Col61 \p 125 \l 2057 </w:instrText>
          </w:r>
          <w:r w:rsidR="00DF7AE7" w:rsidRPr="009544B9">
            <w:rPr>
              <w:sz w:val="24"/>
              <w:szCs w:val="24"/>
            </w:rPr>
            <w:fldChar w:fldCharType="separate"/>
          </w:r>
          <w:r w:rsidR="006B07D0" w:rsidRPr="009544B9">
            <w:rPr>
              <w:noProof/>
              <w:sz w:val="24"/>
              <w:szCs w:val="24"/>
            </w:rPr>
            <w:t>(Turnbull, 1961, p. 125)</w:t>
          </w:r>
          <w:r w:rsidR="00DF7AE7" w:rsidRPr="009544B9">
            <w:rPr>
              <w:sz w:val="24"/>
              <w:szCs w:val="24"/>
            </w:rPr>
            <w:fldChar w:fldCharType="end"/>
          </w:r>
        </w:sdtContent>
      </w:sdt>
      <w:r w:rsidR="00EA7B2C" w:rsidRPr="009544B9">
        <w:rPr>
          <w:sz w:val="24"/>
          <w:szCs w:val="24"/>
        </w:rPr>
        <w:t xml:space="preserve">. This idea of communal responsibility could be attributed to their conception of every Mbuti being a child of the forest, and as a result they are all in the same social standing with no one being higher than another through anything but demonstrated practical experience. </w:t>
      </w:r>
      <w:r w:rsidR="003B2163" w:rsidRPr="009544B9">
        <w:rPr>
          <w:sz w:val="24"/>
          <w:szCs w:val="24"/>
        </w:rPr>
        <w:t>The Mbuti may have a more intimate relationship with the land they live on than the Ju/’hoansi, but they both have similar conceptions of ownership of land and the diffusion of responsibility to elders and the wider group.</w:t>
      </w:r>
    </w:p>
    <w:p w14:paraId="45C96E7D" w14:textId="33F53911" w:rsidR="003B2163" w:rsidRDefault="003B2163" w:rsidP="008D2E34">
      <w:pPr>
        <w:jc w:val="both"/>
        <w:rPr>
          <w:sz w:val="24"/>
          <w:szCs w:val="24"/>
        </w:rPr>
      </w:pPr>
      <w:r w:rsidRPr="009544B9">
        <w:rPr>
          <w:sz w:val="24"/>
          <w:szCs w:val="24"/>
        </w:rPr>
        <w:t>The next group are the Trobriand Islanders of Papua New Guinea</w:t>
      </w:r>
      <w:r w:rsidR="002B5558" w:rsidRPr="009544B9">
        <w:rPr>
          <w:sz w:val="24"/>
          <w:szCs w:val="24"/>
        </w:rPr>
        <w:t xml:space="preserve">, who live a more horticultural life than the Mbuti and Ju/’hoansi. Bronislaw Malinowski studied the Islanders and noted on their horticultural practices that “In gardening, for instance, the natives produce much more than they actually require, and in any average year they harvest perhaps twice as much as they can eat” </w:t>
      </w:r>
      <w:sdt>
        <w:sdtPr>
          <w:rPr>
            <w:sz w:val="24"/>
            <w:szCs w:val="24"/>
          </w:rPr>
          <w:id w:val="1038555264"/>
          <w:citation/>
        </w:sdtPr>
        <w:sdtEndPr/>
        <w:sdtContent>
          <w:r w:rsidR="002B5558" w:rsidRPr="009544B9">
            <w:rPr>
              <w:sz w:val="24"/>
              <w:szCs w:val="24"/>
            </w:rPr>
            <w:fldChar w:fldCharType="begin"/>
          </w:r>
          <w:r w:rsidR="002B5558" w:rsidRPr="009544B9">
            <w:rPr>
              <w:sz w:val="24"/>
              <w:szCs w:val="24"/>
            </w:rPr>
            <w:instrText xml:space="preserve">CITATION Bro22 \p 45 \l 2057 </w:instrText>
          </w:r>
          <w:r w:rsidR="002B5558" w:rsidRPr="009544B9">
            <w:rPr>
              <w:sz w:val="24"/>
              <w:szCs w:val="24"/>
            </w:rPr>
            <w:fldChar w:fldCharType="separate"/>
          </w:r>
          <w:r w:rsidR="006B07D0" w:rsidRPr="009544B9">
            <w:rPr>
              <w:noProof/>
              <w:sz w:val="24"/>
              <w:szCs w:val="24"/>
            </w:rPr>
            <w:t>(Malinowski, 1922, p. 45)</w:t>
          </w:r>
          <w:r w:rsidR="002B5558" w:rsidRPr="009544B9">
            <w:rPr>
              <w:sz w:val="24"/>
              <w:szCs w:val="24"/>
            </w:rPr>
            <w:fldChar w:fldCharType="end"/>
          </w:r>
        </w:sdtContent>
      </w:sdt>
      <w:r w:rsidR="002B5558" w:rsidRPr="009544B9">
        <w:rPr>
          <w:sz w:val="24"/>
          <w:szCs w:val="24"/>
        </w:rPr>
        <w:t>. In comparison to the Mbuti and Ju/’hoansi who take more of a take only what they need mindset, the Islanders</w:t>
      </w:r>
      <w:r w:rsidR="003C5F60" w:rsidRPr="009544B9">
        <w:rPr>
          <w:sz w:val="24"/>
          <w:szCs w:val="24"/>
        </w:rPr>
        <w:t xml:space="preserve"> seem greedy and excessive in their production, but they might attribute the high yield to other factors than necessary production. Malinowski </w:t>
      </w:r>
      <w:sdt>
        <w:sdtPr>
          <w:rPr>
            <w:sz w:val="24"/>
            <w:szCs w:val="24"/>
          </w:rPr>
          <w:id w:val="-1251890699"/>
          <w:citation/>
        </w:sdtPr>
        <w:sdtEndPr/>
        <w:sdtContent>
          <w:r w:rsidR="003C5F60" w:rsidRPr="009544B9">
            <w:rPr>
              <w:sz w:val="24"/>
              <w:szCs w:val="24"/>
            </w:rPr>
            <w:fldChar w:fldCharType="begin"/>
          </w:r>
          <w:r w:rsidR="003C5F60" w:rsidRPr="009544B9">
            <w:rPr>
              <w:sz w:val="24"/>
              <w:szCs w:val="24"/>
            </w:rPr>
            <w:instrText xml:space="preserve">CITATION Bro22 \n  \l 2057 </w:instrText>
          </w:r>
          <w:r w:rsidR="003C5F60" w:rsidRPr="009544B9">
            <w:rPr>
              <w:sz w:val="24"/>
              <w:szCs w:val="24"/>
            </w:rPr>
            <w:fldChar w:fldCharType="separate"/>
          </w:r>
          <w:r w:rsidR="006B07D0" w:rsidRPr="009544B9">
            <w:rPr>
              <w:noProof/>
              <w:sz w:val="24"/>
              <w:szCs w:val="24"/>
            </w:rPr>
            <w:t>(1922)</w:t>
          </w:r>
          <w:r w:rsidR="003C5F60" w:rsidRPr="009544B9">
            <w:rPr>
              <w:sz w:val="24"/>
              <w:szCs w:val="24"/>
            </w:rPr>
            <w:fldChar w:fldCharType="end"/>
          </w:r>
        </w:sdtContent>
      </w:sdt>
      <w:r w:rsidR="003C5F60" w:rsidRPr="009544B9">
        <w:rPr>
          <w:sz w:val="24"/>
          <w:szCs w:val="24"/>
        </w:rPr>
        <w:t xml:space="preserve"> explains that the Islanders place a lot of importance on garden magicians, who are mostly women, whose job it is to make sure the manual labour is done at the correct times, pace and frequency whilst also entreating nature to grow bountiful through rites, spells and practices. </w:t>
      </w:r>
      <w:r w:rsidR="003D02A3" w:rsidRPr="009544B9">
        <w:rPr>
          <w:sz w:val="24"/>
          <w:szCs w:val="24"/>
        </w:rPr>
        <w:t xml:space="preserve">Both these practices differ greatly from the other two groups as they are more nomadic and </w:t>
      </w:r>
      <w:r w:rsidR="00A13ED1">
        <w:rPr>
          <w:sz w:val="24"/>
          <w:szCs w:val="24"/>
        </w:rPr>
        <w:t xml:space="preserve">have a </w:t>
      </w:r>
      <w:r w:rsidR="003D02A3" w:rsidRPr="009544B9">
        <w:rPr>
          <w:sz w:val="24"/>
          <w:szCs w:val="24"/>
        </w:rPr>
        <w:t>‘take-what-they-need’ approach to food. But the greatest aspect of difference comes in personal ownership, especially in relation to canoes</w:t>
      </w:r>
      <w:r w:rsidR="009544B9" w:rsidRPr="009544B9">
        <w:rPr>
          <w:sz w:val="24"/>
          <w:szCs w:val="24"/>
        </w:rPr>
        <w:t xml:space="preserve"> </w:t>
      </w:r>
      <w:r w:rsidR="000E0F38">
        <w:rPr>
          <w:sz w:val="24"/>
          <w:szCs w:val="24"/>
        </w:rPr>
        <w:t xml:space="preserve">with a focus on </w:t>
      </w:r>
      <w:r w:rsidR="009544B9" w:rsidRPr="009544B9">
        <w:rPr>
          <w:sz w:val="24"/>
          <w:szCs w:val="24"/>
        </w:rPr>
        <w:t>the headman of a fishing detachment</w:t>
      </w:r>
      <w:r w:rsidR="000E0F38">
        <w:rPr>
          <w:sz w:val="24"/>
          <w:szCs w:val="24"/>
        </w:rPr>
        <w:t xml:space="preserve"> as he</w:t>
      </w:r>
      <w:r w:rsidR="009544B9" w:rsidRPr="009544B9">
        <w:rPr>
          <w:sz w:val="24"/>
          <w:szCs w:val="24"/>
        </w:rPr>
        <w:t xml:space="preserve"> “is the owner of the canoe, he performs the fish magic, and among other privileges, obtains the main yield of fish.” </w:t>
      </w:r>
      <w:sdt>
        <w:sdtPr>
          <w:rPr>
            <w:sz w:val="24"/>
            <w:szCs w:val="24"/>
          </w:rPr>
          <w:id w:val="-1002349812"/>
          <w:citation/>
        </w:sdtPr>
        <w:sdtEndPr/>
        <w:sdtContent>
          <w:r w:rsidR="009544B9" w:rsidRPr="009544B9">
            <w:rPr>
              <w:sz w:val="24"/>
              <w:szCs w:val="24"/>
            </w:rPr>
            <w:fldChar w:fldCharType="begin"/>
          </w:r>
          <w:r w:rsidR="009544B9" w:rsidRPr="009544B9">
            <w:rPr>
              <w:sz w:val="24"/>
              <w:szCs w:val="24"/>
            </w:rPr>
            <w:instrText xml:space="preserve">CITATION Bro22 \p 86 \l 2057 </w:instrText>
          </w:r>
          <w:r w:rsidR="009544B9" w:rsidRPr="009544B9">
            <w:rPr>
              <w:sz w:val="24"/>
              <w:szCs w:val="24"/>
            </w:rPr>
            <w:fldChar w:fldCharType="separate"/>
          </w:r>
          <w:r w:rsidR="009544B9" w:rsidRPr="009544B9">
            <w:rPr>
              <w:noProof/>
              <w:sz w:val="24"/>
              <w:szCs w:val="24"/>
            </w:rPr>
            <w:t>(Malinowski, 1922, p. 86)</w:t>
          </w:r>
          <w:r w:rsidR="009544B9" w:rsidRPr="009544B9">
            <w:rPr>
              <w:sz w:val="24"/>
              <w:szCs w:val="24"/>
            </w:rPr>
            <w:fldChar w:fldCharType="end"/>
          </w:r>
        </w:sdtContent>
      </w:sdt>
      <w:r w:rsidR="009544B9" w:rsidRPr="009544B9">
        <w:rPr>
          <w:sz w:val="24"/>
          <w:szCs w:val="24"/>
        </w:rPr>
        <w:t xml:space="preserve"> and this version of ownership is closest out of the three groups to that of Europe and America. </w:t>
      </w:r>
      <w:r w:rsidR="003D5455">
        <w:rPr>
          <w:sz w:val="24"/>
          <w:szCs w:val="24"/>
        </w:rPr>
        <w:t xml:space="preserve">The Trobriand Islanders have a greater degree of variation in their perception of their environment, and how it is exploited, than the Mbuti and Ju/’hoansi but in a way they are similar ideas that stem from a simpler method of life. </w:t>
      </w:r>
    </w:p>
    <w:p w14:paraId="336F8DA0" w14:textId="0A1ECCB4" w:rsidR="003D5455" w:rsidRPr="009544B9" w:rsidRDefault="003D5455" w:rsidP="008D2E34">
      <w:pPr>
        <w:jc w:val="both"/>
        <w:rPr>
          <w:sz w:val="40"/>
          <w:szCs w:val="40"/>
        </w:rPr>
      </w:pPr>
      <w:r>
        <w:rPr>
          <w:sz w:val="24"/>
          <w:szCs w:val="24"/>
        </w:rPr>
        <w:t xml:space="preserve">Drawing conclusions from the groups shows that the two groups that show the greatest amount of similarity are the Ju/’Hoansi and the Mbuti; these two groups share ideas on a lack of personal ownership of items and areas of land as </w:t>
      </w:r>
      <w:r w:rsidR="00DE62A8">
        <w:rPr>
          <w:sz w:val="24"/>
          <w:szCs w:val="24"/>
        </w:rPr>
        <w:t xml:space="preserve">they </w:t>
      </w:r>
      <w:bookmarkStart w:id="0" w:name="_GoBack"/>
      <w:bookmarkEnd w:id="0"/>
      <w:r>
        <w:rPr>
          <w:sz w:val="24"/>
          <w:szCs w:val="24"/>
        </w:rPr>
        <w:t xml:space="preserve">all belong to the band. The Trobriand Islanders, however, have a more exploitative idea of the environment but not to the extent of the Euro-American Nature-Culture dichotomy; they also vary in their more ‘Western’ conception of ownership due to the greater value of the canoes and a more rigid social hierarchy. </w:t>
      </w:r>
    </w:p>
    <w:sdt>
      <w:sdtPr>
        <w:rPr>
          <w:rFonts w:asciiTheme="minorHAnsi" w:eastAsiaTheme="minorEastAsia" w:hAnsiTheme="minorHAnsi" w:cstheme="minorBidi"/>
          <w:color w:val="auto"/>
          <w:sz w:val="22"/>
          <w:szCs w:val="22"/>
          <w:lang w:val="en-GB" w:eastAsia="ja-JP"/>
        </w:rPr>
        <w:id w:val="-1056395639"/>
        <w:docPartObj>
          <w:docPartGallery w:val="Bibliographies"/>
          <w:docPartUnique/>
        </w:docPartObj>
      </w:sdtPr>
      <w:sdtEndPr/>
      <w:sdtContent>
        <w:p w14:paraId="6E4AF747" w14:textId="37B85FC8" w:rsidR="008E4147" w:rsidRPr="003D5455" w:rsidRDefault="008E4147" w:rsidP="008D2E34">
          <w:pPr>
            <w:pStyle w:val="Heading1"/>
            <w:jc w:val="both"/>
            <w:rPr>
              <w:sz w:val="24"/>
              <w:szCs w:val="24"/>
            </w:rPr>
          </w:pPr>
          <w:r w:rsidRPr="003D5455">
            <w:rPr>
              <w:sz w:val="24"/>
              <w:szCs w:val="24"/>
            </w:rPr>
            <w:t>References</w:t>
          </w:r>
        </w:p>
        <w:sdt>
          <w:sdtPr>
            <w:id w:val="-573587230"/>
            <w:bibliography/>
          </w:sdtPr>
          <w:sdtEndPr/>
          <w:sdtContent>
            <w:p w14:paraId="09464159" w14:textId="77777777" w:rsidR="006B07D0" w:rsidRDefault="008E4147" w:rsidP="006B07D0">
              <w:pPr>
                <w:pStyle w:val="Bibliography"/>
                <w:rPr>
                  <w:noProof/>
                  <w:sz w:val="24"/>
                  <w:szCs w:val="24"/>
                  <w:lang w:val="en-US"/>
                </w:rPr>
              </w:pPr>
              <w:r>
                <w:fldChar w:fldCharType="begin"/>
              </w:r>
              <w:r>
                <w:instrText xml:space="preserve"> BIBLIOGRAPHY </w:instrText>
              </w:r>
              <w:r>
                <w:fldChar w:fldCharType="separate"/>
              </w:r>
              <w:r w:rsidR="006B07D0">
                <w:rPr>
                  <w:noProof/>
                  <w:lang w:val="en-US"/>
                </w:rPr>
                <w:t xml:space="preserve">Malinowski, B., 1922. </w:t>
              </w:r>
              <w:r w:rsidR="006B07D0">
                <w:rPr>
                  <w:i/>
                  <w:iCs/>
                  <w:noProof/>
                  <w:lang w:val="en-US"/>
                </w:rPr>
                <w:t xml:space="preserve">Argonauts of the Western Pacific: An Account of Native Enterprise and Adventure in the Archipelagoes of Melanesian New Guinea. </w:t>
              </w:r>
              <w:r w:rsidR="006B07D0">
                <w:rPr>
                  <w:noProof/>
                  <w:lang w:val="en-US"/>
                </w:rPr>
                <w:t>London: Routledge &amp; Kegan Paul Ltd.</w:t>
              </w:r>
            </w:p>
            <w:p w14:paraId="6745B198" w14:textId="77777777" w:rsidR="006B07D0" w:rsidRDefault="006B07D0" w:rsidP="006B07D0">
              <w:pPr>
                <w:pStyle w:val="Bibliography"/>
                <w:rPr>
                  <w:noProof/>
                  <w:lang w:val="en-US"/>
                </w:rPr>
              </w:pPr>
              <w:r>
                <w:rPr>
                  <w:noProof/>
                  <w:lang w:val="en-US"/>
                </w:rPr>
                <w:t xml:space="preserve">Peters-Golden, H., 1994. The Ju/'hoansi: Reciprocity and Sharing. In: 4th, ed. </w:t>
              </w:r>
              <w:r>
                <w:rPr>
                  <w:i/>
                  <w:iCs/>
                  <w:noProof/>
                  <w:lang w:val="en-US"/>
                </w:rPr>
                <w:t xml:space="preserve">Culture Sketches: Case Studies in Anthropology. </w:t>
              </w:r>
              <w:r>
                <w:rPr>
                  <w:noProof/>
                  <w:lang w:val="en-US"/>
                </w:rPr>
                <w:t>New York: McGraw-Hill, pp. 97-117.</w:t>
              </w:r>
            </w:p>
            <w:p w14:paraId="77BB123F" w14:textId="77777777" w:rsidR="006B07D0" w:rsidRDefault="006B07D0" w:rsidP="006B07D0">
              <w:pPr>
                <w:pStyle w:val="Bibliography"/>
                <w:rPr>
                  <w:noProof/>
                  <w:lang w:val="en-US"/>
                </w:rPr>
              </w:pPr>
              <w:r>
                <w:rPr>
                  <w:noProof/>
                  <w:lang w:val="en-US"/>
                </w:rPr>
                <w:t xml:space="preserve">Turnbull, C. M., 1961. </w:t>
              </w:r>
              <w:r>
                <w:rPr>
                  <w:i/>
                  <w:iCs/>
                  <w:noProof/>
                  <w:lang w:val="en-US"/>
                </w:rPr>
                <w:t xml:space="preserve">The Forest People: A Study of the Pygmies of the Congo. </w:t>
              </w:r>
              <w:r>
                <w:rPr>
                  <w:noProof/>
                  <w:lang w:val="en-US"/>
                </w:rPr>
                <w:t>1st ed. New York: Simon &amp; Schuster Inc..</w:t>
              </w:r>
            </w:p>
            <w:p w14:paraId="2D81AAA2" w14:textId="59AAA270" w:rsidR="008E4147" w:rsidRPr="008E4147" w:rsidRDefault="008E4147" w:rsidP="006B07D0">
              <w:pPr>
                <w:jc w:val="both"/>
              </w:pPr>
              <w:r>
                <w:rPr>
                  <w:b/>
                  <w:bCs/>
                  <w:noProof/>
                </w:rPr>
                <w:lastRenderedPageBreak/>
                <w:fldChar w:fldCharType="end"/>
              </w:r>
            </w:p>
          </w:sdtContent>
        </w:sdt>
      </w:sdtContent>
    </w:sdt>
    <w:sectPr w:rsidR="008E4147" w:rsidRPr="008E41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EB74E" w14:textId="77777777" w:rsidR="007839F1" w:rsidRDefault="007839F1" w:rsidP="00A13ED1">
      <w:pPr>
        <w:spacing w:after="0" w:line="240" w:lineRule="auto"/>
      </w:pPr>
      <w:r>
        <w:separator/>
      </w:r>
    </w:p>
  </w:endnote>
  <w:endnote w:type="continuationSeparator" w:id="0">
    <w:p w14:paraId="78E42706" w14:textId="77777777" w:rsidR="007839F1" w:rsidRDefault="007839F1" w:rsidP="00A13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7AF02" w14:textId="77777777" w:rsidR="007839F1" w:rsidRDefault="007839F1" w:rsidP="00A13ED1">
      <w:pPr>
        <w:spacing w:after="0" w:line="240" w:lineRule="auto"/>
      </w:pPr>
      <w:r>
        <w:separator/>
      </w:r>
    </w:p>
  </w:footnote>
  <w:footnote w:type="continuationSeparator" w:id="0">
    <w:p w14:paraId="45B82E6A" w14:textId="77777777" w:rsidR="007839F1" w:rsidRDefault="007839F1" w:rsidP="00A13E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47"/>
    <w:rsid w:val="00004EB8"/>
    <w:rsid w:val="000C5AA3"/>
    <w:rsid w:val="000E0F38"/>
    <w:rsid w:val="001740B9"/>
    <w:rsid w:val="00250765"/>
    <w:rsid w:val="002B0D35"/>
    <w:rsid w:val="002B5558"/>
    <w:rsid w:val="002D12A1"/>
    <w:rsid w:val="003B1576"/>
    <w:rsid w:val="003B2163"/>
    <w:rsid w:val="003C5F60"/>
    <w:rsid w:val="003D02A3"/>
    <w:rsid w:val="003D5455"/>
    <w:rsid w:val="004768F3"/>
    <w:rsid w:val="00477AA3"/>
    <w:rsid w:val="00523DC5"/>
    <w:rsid w:val="006B07D0"/>
    <w:rsid w:val="006C30A9"/>
    <w:rsid w:val="00722589"/>
    <w:rsid w:val="007839F1"/>
    <w:rsid w:val="007D411D"/>
    <w:rsid w:val="00802887"/>
    <w:rsid w:val="008D2E34"/>
    <w:rsid w:val="008E4147"/>
    <w:rsid w:val="00947051"/>
    <w:rsid w:val="009544B9"/>
    <w:rsid w:val="0099702D"/>
    <w:rsid w:val="009B4519"/>
    <w:rsid w:val="009E1BBC"/>
    <w:rsid w:val="00A13ED1"/>
    <w:rsid w:val="00A25B06"/>
    <w:rsid w:val="00A511EE"/>
    <w:rsid w:val="00A91C46"/>
    <w:rsid w:val="00AA4571"/>
    <w:rsid w:val="00AD25C1"/>
    <w:rsid w:val="00B649E7"/>
    <w:rsid w:val="00BF74D8"/>
    <w:rsid w:val="00C1603E"/>
    <w:rsid w:val="00D14198"/>
    <w:rsid w:val="00D77A80"/>
    <w:rsid w:val="00DA3349"/>
    <w:rsid w:val="00DE62A8"/>
    <w:rsid w:val="00DF7AE7"/>
    <w:rsid w:val="00E50DAA"/>
    <w:rsid w:val="00EA7B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3DF3C1"/>
  <w15:chartTrackingRefBased/>
  <w15:docId w15:val="{7B9DA995-2577-4E79-8806-AD716E3EB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147"/>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41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1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E4147"/>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8E4147"/>
  </w:style>
  <w:style w:type="paragraph" w:styleId="BalloonText">
    <w:name w:val="Balloon Text"/>
    <w:basedOn w:val="Normal"/>
    <w:link w:val="BalloonTextChar"/>
    <w:uiPriority w:val="99"/>
    <w:semiHidden/>
    <w:unhideWhenUsed/>
    <w:rsid w:val="001740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0B9"/>
    <w:rPr>
      <w:rFonts w:ascii="Segoe UI" w:hAnsi="Segoe UI" w:cs="Segoe UI"/>
      <w:sz w:val="18"/>
      <w:szCs w:val="18"/>
    </w:rPr>
  </w:style>
  <w:style w:type="paragraph" w:styleId="Header">
    <w:name w:val="header"/>
    <w:basedOn w:val="Normal"/>
    <w:link w:val="HeaderChar"/>
    <w:uiPriority w:val="99"/>
    <w:unhideWhenUsed/>
    <w:rsid w:val="00A13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D1"/>
  </w:style>
  <w:style w:type="paragraph" w:styleId="Footer">
    <w:name w:val="footer"/>
    <w:basedOn w:val="Normal"/>
    <w:link w:val="FooterChar"/>
    <w:uiPriority w:val="99"/>
    <w:unhideWhenUsed/>
    <w:rsid w:val="00A13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02065">
      <w:bodyDiv w:val="1"/>
      <w:marLeft w:val="0"/>
      <w:marRight w:val="0"/>
      <w:marTop w:val="0"/>
      <w:marBottom w:val="0"/>
      <w:divBdr>
        <w:top w:val="none" w:sz="0" w:space="0" w:color="auto"/>
        <w:left w:val="none" w:sz="0" w:space="0" w:color="auto"/>
        <w:bottom w:val="none" w:sz="0" w:space="0" w:color="auto"/>
        <w:right w:val="none" w:sz="0" w:space="0" w:color="auto"/>
      </w:divBdr>
    </w:div>
    <w:div w:id="133956507">
      <w:bodyDiv w:val="1"/>
      <w:marLeft w:val="0"/>
      <w:marRight w:val="0"/>
      <w:marTop w:val="0"/>
      <w:marBottom w:val="0"/>
      <w:divBdr>
        <w:top w:val="none" w:sz="0" w:space="0" w:color="auto"/>
        <w:left w:val="none" w:sz="0" w:space="0" w:color="auto"/>
        <w:bottom w:val="none" w:sz="0" w:space="0" w:color="auto"/>
        <w:right w:val="none" w:sz="0" w:space="0" w:color="auto"/>
      </w:divBdr>
    </w:div>
    <w:div w:id="141312242">
      <w:bodyDiv w:val="1"/>
      <w:marLeft w:val="0"/>
      <w:marRight w:val="0"/>
      <w:marTop w:val="0"/>
      <w:marBottom w:val="0"/>
      <w:divBdr>
        <w:top w:val="none" w:sz="0" w:space="0" w:color="auto"/>
        <w:left w:val="none" w:sz="0" w:space="0" w:color="auto"/>
        <w:bottom w:val="none" w:sz="0" w:space="0" w:color="auto"/>
        <w:right w:val="none" w:sz="0" w:space="0" w:color="auto"/>
      </w:divBdr>
    </w:div>
    <w:div w:id="178853256">
      <w:bodyDiv w:val="1"/>
      <w:marLeft w:val="0"/>
      <w:marRight w:val="0"/>
      <w:marTop w:val="0"/>
      <w:marBottom w:val="0"/>
      <w:divBdr>
        <w:top w:val="none" w:sz="0" w:space="0" w:color="auto"/>
        <w:left w:val="none" w:sz="0" w:space="0" w:color="auto"/>
        <w:bottom w:val="none" w:sz="0" w:space="0" w:color="auto"/>
        <w:right w:val="none" w:sz="0" w:space="0" w:color="auto"/>
      </w:divBdr>
    </w:div>
    <w:div w:id="207032266">
      <w:bodyDiv w:val="1"/>
      <w:marLeft w:val="0"/>
      <w:marRight w:val="0"/>
      <w:marTop w:val="0"/>
      <w:marBottom w:val="0"/>
      <w:divBdr>
        <w:top w:val="none" w:sz="0" w:space="0" w:color="auto"/>
        <w:left w:val="none" w:sz="0" w:space="0" w:color="auto"/>
        <w:bottom w:val="none" w:sz="0" w:space="0" w:color="auto"/>
        <w:right w:val="none" w:sz="0" w:space="0" w:color="auto"/>
      </w:divBdr>
    </w:div>
    <w:div w:id="231433554">
      <w:bodyDiv w:val="1"/>
      <w:marLeft w:val="0"/>
      <w:marRight w:val="0"/>
      <w:marTop w:val="0"/>
      <w:marBottom w:val="0"/>
      <w:divBdr>
        <w:top w:val="none" w:sz="0" w:space="0" w:color="auto"/>
        <w:left w:val="none" w:sz="0" w:space="0" w:color="auto"/>
        <w:bottom w:val="none" w:sz="0" w:space="0" w:color="auto"/>
        <w:right w:val="none" w:sz="0" w:space="0" w:color="auto"/>
      </w:divBdr>
    </w:div>
    <w:div w:id="261303538">
      <w:bodyDiv w:val="1"/>
      <w:marLeft w:val="0"/>
      <w:marRight w:val="0"/>
      <w:marTop w:val="0"/>
      <w:marBottom w:val="0"/>
      <w:divBdr>
        <w:top w:val="none" w:sz="0" w:space="0" w:color="auto"/>
        <w:left w:val="none" w:sz="0" w:space="0" w:color="auto"/>
        <w:bottom w:val="none" w:sz="0" w:space="0" w:color="auto"/>
        <w:right w:val="none" w:sz="0" w:space="0" w:color="auto"/>
      </w:divBdr>
    </w:div>
    <w:div w:id="275644864">
      <w:bodyDiv w:val="1"/>
      <w:marLeft w:val="0"/>
      <w:marRight w:val="0"/>
      <w:marTop w:val="0"/>
      <w:marBottom w:val="0"/>
      <w:divBdr>
        <w:top w:val="none" w:sz="0" w:space="0" w:color="auto"/>
        <w:left w:val="none" w:sz="0" w:space="0" w:color="auto"/>
        <w:bottom w:val="none" w:sz="0" w:space="0" w:color="auto"/>
        <w:right w:val="none" w:sz="0" w:space="0" w:color="auto"/>
      </w:divBdr>
    </w:div>
    <w:div w:id="534394522">
      <w:bodyDiv w:val="1"/>
      <w:marLeft w:val="0"/>
      <w:marRight w:val="0"/>
      <w:marTop w:val="0"/>
      <w:marBottom w:val="0"/>
      <w:divBdr>
        <w:top w:val="none" w:sz="0" w:space="0" w:color="auto"/>
        <w:left w:val="none" w:sz="0" w:space="0" w:color="auto"/>
        <w:bottom w:val="none" w:sz="0" w:space="0" w:color="auto"/>
        <w:right w:val="none" w:sz="0" w:space="0" w:color="auto"/>
      </w:divBdr>
    </w:div>
    <w:div w:id="539709655">
      <w:bodyDiv w:val="1"/>
      <w:marLeft w:val="0"/>
      <w:marRight w:val="0"/>
      <w:marTop w:val="0"/>
      <w:marBottom w:val="0"/>
      <w:divBdr>
        <w:top w:val="none" w:sz="0" w:space="0" w:color="auto"/>
        <w:left w:val="none" w:sz="0" w:space="0" w:color="auto"/>
        <w:bottom w:val="none" w:sz="0" w:space="0" w:color="auto"/>
        <w:right w:val="none" w:sz="0" w:space="0" w:color="auto"/>
      </w:divBdr>
    </w:div>
    <w:div w:id="716852358">
      <w:bodyDiv w:val="1"/>
      <w:marLeft w:val="0"/>
      <w:marRight w:val="0"/>
      <w:marTop w:val="0"/>
      <w:marBottom w:val="0"/>
      <w:divBdr>
        <w:top w:val="none" w:sz="0" w:space="0" w:color="auto"/>
        <w:left w:val="none" w:sz="0" w:space="0" w:color="auto"/>
        <w:bottom w:val="none" w:sz="0" w:space="0" w:color="auto"/>
        <w:right w:val="none" w:sz="0" w:space="0" w:color="auto"/>
      </w:divBdr>
    </w:div>
    <w:div w:id="776682793">
      <w:bodyDiv w:val="1"/>
      <w:marLeft w:val="0"/>
      <w:marRight w:val="0"/>
      <w:marTop w:val="0"/>
      <w:marBottom w:val="0"/>
      <w:divBdr>
        <w:top w:val="none" w:sz="0" w:space="0" w:color="auto"/>
        <w:left w:val="none" w:sz="0" w:space="0" w:color="auto"/>
        <w:bottom w:val="none" w:sz="0" w:space="0" w:color="auto"/>
        <w:right w:val="none" w:sz="0" w:space="0" w:color="auto"/>
      </w:divBdr>
    </w:div>
    <w:div w:id="824594160">
      <w:bodyDiv w:val="1"/>
      <w:marLeft w:val="0"/>
      <w:marRight w:val="0"/>
      <w:marTop w:val="0"/>
      <w:marBottom w:val="0"/>
      <w:divBdr>
        <w:top w:val="none" w:sz="0" w:space="0" w:color="auto"/>
        <w:left w:val="none" w:sz="0" w:space="0" w:color="auto"/>
        <w:bottom w:val="none" w:sz="0" w:space="0" w:color="auto"/>
        <w:right w:val="none" w:sz="0" w:space="0" w:color="auto"/>
      </w:divBdr>
    </w:div>
    <w:div w:id="825708853">
      <w:bodyDiv w:val="1"/>
      <w:marLeft w:val="0"/>
      <w:marRight w:val="0"/>
      <w:marTop w:val="0"/>
      <w:marBottom w:val="0"/>
      <w:divBdr>
        <w:top w:val="none" w:sz="0" w:space="0" w:color="auto"/>
        <w:left w:val="none" w:sz="0" w:space="0" w:color="auto"/>
        <w:bottom w:val="none" w:sz="0" w:space="0" w:color="auto"/>
        <w:right w:val="none" w:sz="0" w:space="0" w:color="auto"/>
      </w:divBdr>
    </w:div>
    <w:div w:id="828639341">
      <w:bodyDiv w:val="1"/>
      <w:marLeft w:val="0"/>
      <w:marRight w:val="0"/>
      <w:marTop w:val="0"/>
      <w:marBottom w:val="0"/>
      <w:divBdr>
        <w:top w:val="none" w:sz="0" w:space="0" w:color="auto"/>
        <w:left w:val="none" w:sz="0" w:space="0" w:color="auto"/>
        <w:bottom w:val="none" w:sz="0" w:space="0" w:color="auto"/>
        <w:right w:val="none" w:sz="0" w:space="0" w:color="auto"/>
      </w:divBdr>
    </w:div>
    <w:div w:id="872304557">
      <w:bodyDiv w:val="1"/>
      <w:marLeft w:val="0"/>
      <w:marRight w:val="0"/>
      <w:marTop w:val="0"/>
      <w:marBottom w:val="0"/>
      <w:divBdr>
        <w:top w:val="none" w:sz="0" w:space="0" w:color="auto"/>
        <w:left w:val="none" w:sz="0" w:space="0" w:color="auto"/>
        <w:bottom w:val="none" w:sz="0" w:space="0" w:color="auto"/>
        <w:right w:val="none" w:sz="0" w:space="0" w:color="auto"/>
      </w:divBdr>
    </w:div>
    <w:div w:id="893659259">
      <w:bodyDiv w:val="1"/>
      <w:marLeft w:val="0"/>
      <w:marRight w:val="0"/>
      <w:marTop w:val="0"/>
      <w:marBottom w:val="0"/>
      <w:divBdr>
        <w:top w:val="none" w:sz="0" w:space="0" w:color="auto"/>
        <w:left w:val="none" w:sz="0" w:space="0" w:color="auto"/>
        <w:bottom w:val="none" w:sz="0" w:space="0" w:color="auto"/>
        <w:right w:val="none" w:sz="0" w:space="0" w:color="auto"/>
      </w:divBdr>
    </w:div>
    <w:div w:id="900870503">
      <w:bodyDiv w:val="1"/>
      <w:marLeft w:val="0"/>
      <w:marRight w:val="0"/>
      <w:marTop w:val="0"/>
      <w:marBottom w:val="0"/>
      <w:divBdr>
        <w:top w:val="none" w:sz="0" w:space="0" w:color="auto"/>
        <w:left w:val="none" w:sz="0" w:space="0" w:color="auto"/>
        <w:bottom w:val="none" w:sz="0" w:space="0" w:color="auto"/>
        <w:right w:val="none" w:sz="0" w:space="0" w:color="auto"/>
      </w:divBdr>
    </w:div>
    <w:div w:id="935552793">
      <w:bodyDiv w:val="1"/>
      <w:marLeft w:val="0"/>
      <w:marRight w:val="0"/>
      <w:marTop w:val="0"/>
      <w:marBottom w:val="0"/>
      <w:divBdr>
        <w:top w:val="none" w:sz="0" w:space="0" w:color="auto"/>
        <w:left w:val="none" w:sz="0" w:space="0" w:color="auto"/>
        <w:bottom w:val="none" w:sz="0" w:space="0" w:color="auto"/>
        <w:right w:val="none" w:sz="0" w:space="0" w:color="auto"/>
      </w:divBdr>
    </w:div>
    <w:div w:id="999429919">
      <w:bodyDiv w:val="1"/>
      <w:marLeft w:val="0"/>
      <w:marRight w:val="0"/>
      <w:marTop w:val="0"/>
      <w:marBottom w:val="0"/>
      <w:divBdr>
        <w:top w:val="none" w:sz="0" w:space="0" w:color="auto"/>
        <w:left w:val="none" w:sz="0" w:space="0" w:color="auto"/>
        <w:bottom w:val="none" w:sz="0" w:space="0" w:color="auto"/>
        <w:right w:val="none" w:sz="0" w:space="0" w:color="auto"/>
      </w:divBdr>
    </w:div>
    <w:div w:id="1031687497">
      <w:bodyDiv w:val="1"/>
      <w:marLeft w:val="0"/>
      <w:marRight w:val="0"/>
      <w:marTop w:val="0"/>
      <w:marBottom w:val="0"/>
      <w:divBdr>
        <w:top w:val="none" w:sz="0" w:space="0" w:color="auto"/>
        <w:left w:val="none" w:sz="0" w:space="0" w:color="auto"/>
        <w:bottom w:val="none" w:sz="0" w:space="0" w:color="auto"/>
        <w:right w:val="none" w:sz="0" w:space="0" w:color="auto"/>
      </w:divBdr>
    </w:div>
    <w:div w:id="1142229993">
      <w:bodyDiv w:val="1"/>
      <w:marLeft w:val="0"/>
      <w:marRight w:val="0"/>
      <w:marTop w:val="0"/>
      <w:marBottom w:val="0"/>
      <w:divBdr>
        <w:top w:val="none" w:sz="0" w:space="0" w:color="auto"/>
        <w:left w:val="none" w:sz="0" w:space="0" w:color="auto"/>
        <w:bottom w:val="none" w:sz="0" w:space="0" w:color="auto"/>
        <w:right w:val="none" w:sz="0" w:space="0" w:color="auto"/>
      </w:divBdr>
    </w:div>
    <w:div w:id="1190217579">
      <w:bodyDiv w:val="1"/>
      <w:marLeft w:val="0"/>
      <w:marRight w:val="0"/>
      <w:marTop w:val="0"/>
      <w:marBottom w:val="0"/>
      <w:divBdr>
        <w:top w:val="none" w:sz="0" w:space="0" w:color="auto"/>
        <w:left w:val="none" w:sz="0" w:space="0" w:color="auto"/>
        <w:bottom w:val="none" w:sz="0" w:space="0" w:color="auto"/>
        <w:right w:val="none" w:sz="0" w:space="0" w:color="auto"/>
      </w:divBdr>
    </w:div>
    <w:div w:id="1312977710">
      <w:bodyDiv w:val="1"/>
      <w:marLeft w:val="0"/>
      <w:marRight w:val="0"/>
      <w:marTop w:val="0"/>
      <w:marBottom w:val="0"/>
      <w:divBdr>
        <w:top w:val="none" w:sz="0" w:space="0" w:color="auto"/>
        <w:left w:val="none" w:sz="0" w:space="0" w:color="auto"/>
        <w:bottom w:val="none" w:sz="0" w:space="0" w:color="auto"/>
        <w:right w:val="none" w:sz="0" w:space="0" w:color="auto"/>
      </w:divBdr>
    </w:div>
    <w:div w:id="1371415102">
      <w:bodyDiv w:val="1"/>
      <w:marLeft w:val="0"/>
      <w:marRight w:val="0"/>
      <w:marTop w:val="0"/>
      <w:marBottom w:val="0"/>
      <w:divBdr>
        <w:top w:val="none" w:sz="0" w:space="0" w:color="auto"/>
        <w:left w:val="none" w:sz="0" w:space="0" w:color="auto"/>
        <w:bottom w:val="none" w:sz="0" w:space="0" w:color="auto"/>
        <w:right w:val="none" w:sz="0" w:space="0" w:color="auto"/>
      </w:divBdr>
    </w:div>
    <w:div w:id="1399787172">
      <w:bodyDiv w:val="1"/>
      <w:marLeft w:val="0"/>
      <w:marRight w:val="0"/>
      <w:marTop w:val="0"/>
      <w:marBottom w:val="0"/>
      <w:divBdr>
        <w:top w:val="none" w:sz="0" w:space="0" w:color="auto"/>
        <w:left w:val="none" w:sz="0" w:space="0" w:color="auto"/>
        <w:bottom w:val="none" w:sz="0" w:space="0" w:color="auto"/>
        <w:right w:val="none" w:sz="0" w:space="0" w:color="auto"/>
      </w:divBdr>
    </w:div>
    <w:div w:id="1440027364">
      <w:bodyDiv w:val="1"/>
      <w:marLeft w:val="0"/>
      <w:marRight w:val="0"/>
      <w:marTop w:val="0"/>
      <w:marBottom w:val="0"/>
      <w:divBdr>
        <w:top w:val="none" w:sz="0" w:space="0" w:color="auto"/>
        <w:left w:val="none" w:sz="0" w:space="0" w:color="auto"/>
        <w:bottom w:val="none" w:sz="0" w:space="0" w:color="auto"/>
        <w:right w:val="none" w:sz="0" w:space="0" w:color="auto"/>
      </w:divBdr>
    </w:div>
    <w:div w:id="1550798591">
      <w:bodyDiv w:val="1"/>
      <w:marLeft w:val="0"/>
      <w:marRight w:val="0"/>
      <w:marTop w:val="0"/>
      <w:marBottom w:val="0"/>
      <w:divBdr>
        <w:top w:val="none" w:sz="0" w:space="0" w:color="auto"/>
        <w:left w:val="none" w:sz="0" w:space="0" w:color="auto"/>
        <w:bottom w:val="none" w:sz="0" w:space="0" w:color="auto"/>
        <w:right w:val="none" w:sz="0" w:space="0" w:color="auto"/>
      </w:divBdr>
    </w:div>
    <w:div w:id="1562212463">
      <w:bodyDiv w:val="1"/>
      <w:marLeft w:val="0"/>
      <w:marRight w:val="0"/>
      <w:marTop w:val="0"/>
      <w:marBottom w:val="0"/>
      <w:divBdr>
        <w:top w:val="none" w:sz="0" w:space="0" w:color="auto"/>
        <w:left w:val="none" w:sz="0" w:space="0" w:color="auto"/>
        <w:bottom w:val="none" w:sz="0" w:space="0" w:color="auto"/>
        <w:right w:val="none" w:sz="0" w:space="0" w:color="auto"/>
      </w:divBdr>
    </w:div>
    <w:div w:id="1630012731">
      <w:bodyDiv w:val="1"/>
      <w:marLeft w:val="0"/>
      <w:marRight w:val="0"/>
      <w:marTop w:val="0"/>
      <w:marBottom w:val="0"/>
      <w:divBdr>
        <w:top w:val="none" w:sz="0" w:space="0" w:color="auto"/>
        <w:left w:val="none" w:sz="0" w:space="0" w:color="auto"/>
        <w:bottom w:val="none" w:sz="0" w:space="0" w:color="auto"/>
        <w:right w:val="none" w:sz="0" w:space="0" w:color="auto"/>
      </w:divBdr>
    </w:div>
    <w:div w:id="1698045980">
      <w:bodyDiv w:val="1"/>
      <w:marLeft w:val="0"/>
      <w:marRight w:val="0"/>
      <w:marTop w:val="0"/>
      <w:marBottom w:val="0"/>
      <w:divBdr>
        <w:top w:val="none" w:sz="0" w:space="0" w:color="auto"/>
        <w:left w:val="none" w:sz="0" w:space="0" w:color="auto"/>
        <w:bottom w:val="none" w:sz="0" w:space="0" w:color="auto"/>
        <w:right w:val="none" w:sz="0" w:space="0" w:color="auto"/>
      </w:divBdr>
    </w:div>
    <w:div w:id="1739670564">
      <w:bodyDiv w:val="1"/>
      <w:marLeft w:val="0"/>
      <w:marRight w:val="0"/>
      <w:marTop w:val="0"/>
      <w:marBottom w:val="0"/>
      <w:divBdr>
        <w:top w:val="none" w:sz="0" w:space="0" w:color="auto"/>
        <w:left w:val="none" w:sz="0" w:space="0" w:color="auto"/>
        <w:bottom w:val="none" w:sz="0" w:space="0" w:color="auto"/>
        <w:right w:val="none" w:sz="0" w:space="0" w:color="auto"/>
      </w:divBdr>
    </w:div>
    <w:div w:id="1918707101">
      <w:bodyDiv w:val="1"/>
      <w:marLeft w:val="0"/>
      <w:marRight w:val="0"/>
      <w:marTop w:val="0"/>
      <w:marBottom w:val="0"/>
      <w:divBdr>
        <w:top w:val="none" w:sz="0" w:space="0" w:color="auto"/>
        <w:left w:val="none" w:sz="0" w:space="0" w:color="auto"/>
        <w:bottom w:val="none" w:sz="0" w:space="0" w:color="auto"/>
        <w:right w:val="none" w:sz="0" w:space="0" w:color="auto"/>
      </w:divBdr>
    </w:div>
    <w:div w:id="1937783296">
      <w:bodyDiv w:val="1"/>
      <w:marLeft w:val="0"/>
      <w:marRight w:val="0"/>
      <w:marTop w:val="0"/>
      <w:marBottom w:val="0"/>
      <w:divBdr>
        <w:top w:val="none" w:sz="0" w:space="0" w:color="auto"/>
        <w:left w:val="none" w:sz="0" w:space="0" w:color="auto"/>
        <w:bottom w:val="none" w:sz="0" w:space="0" w:color="auto"/>
        <w:right w:val="none" w:sz="0" w:space="0" w:color="auto"/>
      </w:divBdr>
    </w:div>
    <w:div w:id="2059819008">
      <w:bodyDiv w:val="1"/>
      <w:marLeft w:val="0"/>
      <w:marRight w:val="0"/>
      <w:marTop w:val="0"/>
      <w:marBottom w:val="0"/>
      <w:divBdr>
        <w:top w:val="none" w:sz="0" w:space="0" w:color="auto"/>
        <w:left w:val="none" w:sz="0" w:space="0" w:color="auto"/>
        <w:bottom w:val="none" w:sz="0" w:space="0" w:color="auto"/>
        <w:right w:val="none" w:sz="0" w:space="0" w:color="auto"/>
      </w:divBdr>
    </w:div>
    <w:div w:id="213706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Bro22</b:Tag>
    <b:SourceType>Book</b:SourceType>
    <b:Guid>{2455127E-A1FC-4B82-A410-6F9B90293518}</b:Guid>
    <b:Author>
      <b:Author>
        <b:NameList>
          <b:Person>
            <b:Last>Malinowski</b:Last>
            <b:First>Bronislaw</b:First>
          </b:Person>
        </b:NameList>
      </b:Author>
    </b:Author>
    <b:Title>Argonauts of the Western Pacific: An Account of Native Enterprise and Adventure in the Archipelagoes of Melanesian New Guinea</b:Title>
    <b:Year>1922</b:Year>
    <b:City>London</b:City>
    <b:Publisher>Routledge &amp; Kegan Paul Ltd</b:Publisher>
    <b:RefOrder>3</b:RefOrder>
  </b:Source>
  <b:Source>
    <b:Tag>Col61</b:Tag>
    <b:SourceType>Book</b:SourceType>
    <b:Guid>{832CC582-7281-46E0-B127-3A4A76472EC2}</b:Guid>
    <b:Author>
      <b:Author>
        <b:NameList>
          <b:Person>
            <b:Last>Turnbull</b:Last>
            <b:First>Colin</b:First>
            <b:Middle>M.</b:Middle>
          </b:Person>
        </b:NameList>
      </b:Author>
    </b:Author>
    <b:Title>The Forest People: A Study of the Pygmies of the Congo</b:Title>
    <b:Year>1961</b:Year>
    <b:City>New York</b:City>
    <b:Publisher>Simon &amp; Schuster Inc.</b:Publisher>
    <b:Edition>1st</b:Edition>
    <b:RefOrder>2</b:RefOrder>
  </b:Source>
  <b:Source>
    <b:Tag>Hol94</b:Tag>
    <b:SourceType>BookSection</b:SourceType>
    <b:Guid>{6A4802B0-CEB4-4CE9-95D5-F6296D5D2618}</b:Guid>
    <b:Title>The Ju/'hoansi: Reciprocity and Sharing</b:Title>
    <b:Year>1994</b:Year>
    <b:City>New York</b:City>
    <b:Publisher>McGraw-Hill</b:Publisher>
    <b:Author>
      <b:Author>
        <b:NameList>
          <b:Person>
            <b:Last>Peters-Golden</b:Last>
            <b:First>Holly</b:First>
          </b:Person>
        </b:NameList>
      </b:Author>
      <b:Editor>
        <b:NameList>
          <b:Person>
            <b:Last>4th</b:Last>
          </b:Person>
        </b:NameList>
      </b:Editor>
    </b:Author>
    <b:BookTitle>Culture Sketches: Case Studies in Anthropology</b:BookTitle>
    <b:Pages>97-117</b:Pages>
    <b:RefOrder>1</b:RefOrder>
  </b:Source>
</b:Sources>
</file>

<file path=customXml/itemProps1.xml><?xml version="1.0" encoding="utf-8"?>
<ds:datastoreItem xmlns:ds="http://schemas.openxmlformats.org/officeDocument/2006/customXml" ds:itemID="{F7F4BE7D-6C80-42C4-B498-F65384C4B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3</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10</cp:revision>
  <dcterms:created xsi:type="dcterms:W3CDTF">2019-10-30T12:54:00Z</dcterms:created>
  <dcterms:modified xsi:type="dcterms:W3CDTF">2019-11-01T18:47:00Z</dcterms:modified>
</cp:coreProperties>
</file>