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2024C9" w14:textId="77777777" w:rsidR="00796C9E" w:rsidRDefault="00796C9E" w:rsidP="00796C9E">
      <w:pPr>
        <w:pStyle w:val="NormalWeb"/>
        <w:spacing w:before="0" w:beforeAutospacing="0" w:after="0" w:afterAutospacing="0"/>
        <w:ind w:left="-180" w:right="-334"/>
      </w:pPr>
      <w:bookmarkStart w:id="0" w:name="_Hlk509923810"/>
      <w:r w:rsidRPr="004401AE">
        <w:rPr>
          <w:noProof/>
        </w:rPr>
        <w:drawing>
          <wp:inline distT="0" distB="0" distL="0" distR="0" wp14:anchorId="67073E0B" wp14:editId="1BE4271B">
            <wp:extent cx="2381250" cy="9334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81250" cy="933450"/>
                    </a:xfrm>
                    <a:prstGeom prst="rect">
                      <a:avLst/>
                    </a:prstGeom>
                    <a:noFill/>
                    <a:ln>
                      <a:noFill/>
                    </a:ln>
                  </pic:spPr>
                </pic:pic>
              </a:graphicData>
            </a:graphic>
          </wp:inline>
        </w:drawing>
      </w:r>
    </w:p>
    <w:p w14:paraId="613021C3" w14:textId="77777777" w:rsidR="00796C9E" w:rsidRDefault="00796C9E" w:rsidP="00796C9E">
      <w:pPr>
        <w:pStyle w:val="NormalWeb"/>
        <w:spacing w:before="0" w:beforeAutospacing="0" w:after="0" w:afterAutospacing="0"/>
        <w:ind w:left="-180" w:right="-334"/>
      </w:pPr>
    </w:p>
    <w:p w14:paraId="0E8C21AA" w14:textId="77777777" w:rsidR="00796C9E" w:rsidRPr="00E95BF7" w:rsidRDefault="00796C9E" w:rsidP="00796C9E">
      <w:pPr>
        <w:pStyle w:val="NormalWeb"/>
        <w:spacing w:before="0" w:beforeAutospacing="0" w:after="0" w:afterAutospacing="0"/>
        <w:ind w:left="-180" w:right="-334"/>
        <w:jc w:val="center"/>
        <w:rPr>
          <w:rFonts w:ascii="Arial" w:hAnsi="Arial" w:cs="Arial"/>
          <w:b/>
          <w:sz w:val="28"/>
          <w:szCs w:val="28"/>
          <w:lang w:val="cy-GB"/>
        </w:rPr>
      </w:pPr>
      <w:r w:rsidRPr="00E95BF7">
        <w:rPr>
          <w:rFonts w:ascii="Arial" w:hAnsi="Arial" w:cs="Arial"/>
          <w:b/>
          <w:sz w:val="28"/>
          <w:szCs w:val="28"/>
          <w:lang w:val="cy-GB"/>
        </w:rPr>
        <w:t xml:space="preserve">Postgraduate/Distance Learning </w:t>
      </w:r>
    </w:p>
    <w:p w14:paraId="30F438D9" w14:textId="77777777" w:rsidR="00796C9E" w:rsidRPr="00E95BF7" w:rsidRDefault="00796C9E" w:rsidP="00796C9E">
      <w:pPr>
        <w:pStyle w:val="NormalWeb"/>
        <w:spacing w:before="0" w:beforeAutospacing="0" w:after="0" w:afterAutospacing="0"/>
        <w:ind w:left="-180" w:right="-334"/>
        <w:jc w:val="center"/>
        <w:rPr>
          <w:rFonts w:ascii="Arial" w:hAnsi="Arial" w:cs="Arial"/>
          <w:b/>
          <w:sz w:val="28"/>
          <w:szCs w:val="28"/>
        </w:rPr>
      </w:pPr>
      <w:r w:rsidRPr="00E95BF7">
        <w:rPr>
          <w:rFonts w:ascii="Arial" w:hAnsi="Arial" w:cs="Arial"/>
          <w:b/>
          <w:sz w:val="28"/>
          <w:szCs w:val="28"/>
          <w:lang w:val="cy-GB"/>
        </w:rPr>
        <w:t>Assignment Coversheet &amp; Feedback Form</w:t>
      </w:r>
    </w:p>
    <w:p w14:paraId="24359841" w14:textId="77777777" w:rsidR="00796C9E" w:rsidRPr="00E95BF7" w:rsidRDefault="00796C9E" w:rsidP="00796C9E">
      <w:pPr>
        <w:rPr>
          <w:rFonts w:ascii="Arial" w:hAnsi="Arial" w:cs="Arial"/>
          <w:sz w:val="28"/>
          <w:szCs w:val="28"/>
          <w:lang w:val="cy-GB"/>
        </w:rPr>
      </w:pPr>
    </w:p>
    <w:p w14:paraId="371EAAAA" w14:textId="77777777" w:rsidR="00796C9E" w:rsidRPr="00E95BF7" w:rsidRDefault="00796C9E" w:rsidP="00796C9E">
      <w:pPr>
        <w:jc w:val="center"/>
        <w:rPr>
          <w:rFonts w:ascii="Arial" w:hAnsi="Arial" w:cs="Arial"/>
          <w:sz w:val="20"/>
          <w:szCs w:val="20"/>
          <w:lang w:val="cy-GB"/>
        </w:rPr>
      </w:pPr>
      <w:r w:rsidRPr="00E95BF7">
        <w:rPr>
          <w:rFonts w:ascii="Arial" w:hAnsi="Arial" w:cs="Arial"/>
          <w:sz w:val="20"/>
          <w:szCs w:val="20"/>
          <w:lang w:val="cy-GB"/>
        </w:rPr>
        <w:t>[Please insert this coversheet as the first page of the assignment you are submitting]</w:t>
      </w:r>
    </w:p>
    <w:p w14:paraId="2E860650" w14:textId="77777777" w:rsidR="00796C9E" w:rsidRPr="00E95BF7" w:rsidRDefault="00796C9E" w:rsidP="00796C9E">
      <w:pPr>
        <w:pStyle w:val="Heading3"/>
        <w:jc w:val="center"/>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1980"/>
        <w:gridCol w:w="286"/>
        <w:gridCol w:w="1802"/>
      </w:tblGrid>
      <w:tr w:rsidR="00796C9E" w:rsidRPr="00E95BF7" w14:paraId="57F64639" w14:textId="77777777" w:rsidTr="00962FFF">
        <w:trPr>
          <w:trHeight w:val="724"/>
        </w:trPr>
        <w:tc>
          <w:tcPr>
            <w:tcW w:w="8856" w:type="dxa"/>
            <w:gridSpan w:val="4"/>
          </w:tcPr>
          <w:p w14:paraId="66ACFAA2" w14:textId="77777777" w:rsidR="00796C9E" w:rsidRPr="00E95BF7" w:rsidRDefault="00796C9E" w:rsidP="00962FFF">
            <w:pPr>
              <w:pStyle w:val="NormalWeb"/>
              <w:spacing w:before="0" w:beforeAutospacing="0" w:after="0" w:afterAutospacing="0"/>
              <w:ind w:right="34"/>
              <w:rPr>
                <w:rFonts w:ascii="Arial" w:hAnsi="Arial" w:cs="Arial"/>
                <w:sz w:val="22"/>
                <w:szCs w:val="22"/>
              </w:rPr>
            </w:pPr>
            <w:r w:rsidRPr="00E95BF7">
              <w:rPr>
                <w:rFonts w:ascii="Arial" w:hAnsi="Arial" w:cs="Arial"/>
                <w:b/>
                <w:sz w:val="22"/>
                <w:szCs w:val="22"/>
              </w:rPr>
              <w:t>For completion by the student</w:t>
            </w:r>
            <w:r w:rsidRPr="00E95BF7">
              <w:rPr>
                <w:rFonts w:ascii="Arial" w:hAnsi="Arial" w:cs="Arial"/>
                <w:sz w:val="22"/>
                <w:szCs w:val="22"/>
              </w:rPr>
              <w:t>:</w:t>
            </w:r>
          </w:p>
          <w:p w14:paraId="1518154F" w14:textId="77777777" w:rsidR="00796C9E" w:rsidRPr="00E95BF7" w:rsidRDefault="00796C9E" w:rsidP="00962FFF">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Student Name:</w:t>
            </w:r>
            <w:r>
              <w:rPr>
                <w:rFonts w:ascii="Arial" w:hAnsi="Arial" w:cs="Arial"/>
                <w:sz w:val="22"/>
                <w:szCs w:val="22"/>
              </w:rPr>
              <w:t xml:space="preserve">                                         Jay Laville</w:t>
            </w:r>
          </w:p>
        </w:tc>
      </w:tr>
      <w:tr w:rsidR="00796C9E" w:rsidRPr="00E95BF7" w14:paraId="44F4B07C" w14:textId="77777777" w:rsidTr="00962FFF">
        <w:trPr>
          <w:trHeight w:val="693"/>
        </w:trPr>
        <w:tc>
          <w:tcPr>
            <w:tcW w:w="4788" w:type="dxa"/>
          </w:tcPr>
          <w:p w14:paraId="1DF0E056" w14:textId="77777777" w:rsidR="00796C9E" w:rsidRPr="00E95BF7" w:rsidRDefault="00796C9E" w:rsidP="00962FFF">
            <w:pPr>
              <w:pStyle w:val="NormalWeb"/>
              <w:spacing w:before="0" w:beforeAutospacing="0" w:after="0" w:afterAutospacing="0"/>
              <w:ind w:right="34"/>
              <w:rPr>
                <w:rFonts w:ascii="Arial" w:hAnsi="Arial" w:cs="Arial"/>
                <w:sz w:val="22"/>
                <w:szCs w:val="22"/>
              </w:rPr>
            </w:pPr>
          </w:p>
          <w:p w14:paraId="3CDAFEBC" w14:textId="77777777" w:rsidR="00796C9E" w:rsidRPr="00E95BF7" w:rsidRDefault="00796C9E" w:rsidP="00962FFF">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Module code:</w:t>
            </w:r>
            <w:r>
              <w:rPr>
                <w:rFonts w:ascii="Arial" w:hAnsi="Arial" w:cs="Arial"/>
                <w:sz w:val="22"/>
                <w:szCs w:val="22"/>
              </w:rPr>
              <w:t xml:space="preserve"> AHAN7011</w:t>
            </w:r>
          </w:p>
          <w:p w14:paraId="386B54AE" w14:textId="77777777" w:rsidR="00796C9E" w:rsidRPr="00E95BF7" w:rsidRDefault="00796C9E" w:rsidP="00962FFF">
            <w:pPr>
              <w:pStyle w:val="NormalWeb"/>
              <w:spacing w:before="0" w:beforeAutospacing="0" w:after="0" w:afterAutospacing="0"/>
              <w:ind w:right="34"/>
              <w:rPr>
                <w:rFonts w:ascii="Arial" w:hAnsi="Arial" w:cs="Arial"/>
                <w:sz w:val="22"/>
                <w:szCs w:val="22"/>
              </w:rPr>
            </w:pPr>
          </w:p>
        </w:tc>
        <w:tc>
          <w:tcPr>
            <w:tcW w:w="2266" w:type="dxa"/>
            <w:gridSpan w:val="2"/>
            <w:vMerge w:val="restart"/>
          </w:tcPr>
          <w:p w14:paraId="089C5DA6" w14:textId="77777777" w:rsidR="00796C9E" w:rsidRPr="00E95BF7" w:rsidRDefault="00796C9E" w:rsidP="00962FFF">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Student University Number:</w:t>
            </w:r>
            <w:r>
              <w:rPr>
                <w:rFonts w:ascii="Arial" w:hAnsi="Arial" w:cs="Arial"/>
                <w:sz w:val="22"/>
                <w:szCs w:val="22"/>
              </w:rPr>
              <w:t xml:space="preserve">    1704132</w:t>
            </w:r>
          </w:p>
        </w:tc>
        <w:tc>
          <w:tcPr>
            <w:tcW w:w="1802" w:type="dxa"/>
            <w:vMerge w:val="restart"/>
          </w:tcPr>
          <w:p w14:paraId="71C152E3" w14:textId="77777777" w:rsidR="00796C9E" w:rsidRPr="00E95BF7" w:rsidRDefault="00796C9E" w:rsidP="00962FFF">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Educational support needs:</w:t>
            </w:r>
          </w:p>
          <w:p w14:paraId="2095C767" w14:textId="77777777" w:rsidR="00796C9E" w:rsidRDefault="00796C9E" w:rsidP="00962FFF">
            <w:pPr>
              <w:pStyle w:val="NormalWeb"/>
              <w:spacing w:before="0" w:beforeAutospacing="0" w:after="0" w:afterAutospacing="0"/>
              <w:ind w:right="34"/>
              <w:rPr>
                <w:rFonts w:ascii="Arial" w:hAnsi="Arial" w:cs="Arial"/>
                <w:sz w:val="22"/>
                <w:szCs w:val="22"/>
              </w:rPr>
            </w:pPr>
          </w:p>
          <w:p w14:paraId="2D0F747D" w14:textId="77777777" w:rsidR="00796C9E" w:rsidRPr="00E95BF7" w:rsidRDefault="00796C9E" w:rsidP="00962FFF">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No</w:t>
            </w:r>
            <w:r>
              <w:rPr>
                <w:rFonts w:ascii="Arial" w:hAnsi="Arial" w:cs="Arial"/>
                <w:sz w:val="22"/>
                <w:szCs w:val="22"/>
              </w:rPr>
              <w:t xml:space="preserve">                  </w:t>
            </w:r>
          </w:p>
        </w:tc>
      </w:tr>
      <w:tr w:rsidR="00796C9E" w:rsidRPr="00E95BF7" w14:paraId="3C014D6D" w14:textId="77777777" w:rsidTr="00962FFF">
        <w:trPr>
          <w:trHeight w:val="630"/>
        </w:trPr>
        <w:tc>
          <w:tcPr>
            <w:tcW w:w="4788" w:type="dxa"/>
          </w:tcPr>
          <w:p w14:paraId="7A234D0D" w14:textId="77777777" w:rsidR="00796C9E" w:rsidRPr="00E95BF7" w:rsidRDefault="00796C9E" w:rsidP="00962FFF">
            <w:pPr>
              <w:pStyle w:val="NormalWeb"/>
              <w:spacing w:before="0" w:beforeAutospacing="0" w:after="0" w:afterAutospacing="0"/>
              <w:ind w:right="34"/>
              <w:rPr>
                <w:rFonts w:ascii="Arial" w:hAnsi="Arial" w:cs="Arial"/>
                <w:sz w:val="22"/>
                <w:szCs w:val="22"/>
              </w:rPr>
            </w:pPr>
          </w:p>
          <w:p w14:paraId="374FDAEB" w14:textId="77777777" w:rsidR="00796C9E" w:rsidRPr="00E95BF7" w:rsidRDefault="00796C9E" w:rsidP="00962FFF">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Module title:</w:t>
            </w:r>
            <w:r>
              <w:rPr>
                <w:rFonts w:ascii="Arial" w:hAnsi="Arial" w:cs="Arial"/>
                <w:sz w:val="22"/>
                <w:szCs w:val="22"/>
              </w:rPr>
              <w:t xml:space="preserve"> Cosmology, Magic and Divination</w:t>
            </w:r>
          </w:p>
          <w:p w14:paraId="0D8E3221" w14:textId="77777777" w:rsidR="00796C9E" w:rsidRPr="00E95BF7" w:rsidRDefault="00796C9E" w:rsidP="00962FFF">
            <w:pPr>
              <w:pStyle w:val="NormalWeb"/>
              <w:spacing w:before="0" w:beforeAutospacing="0" w:after="0" w:afterAutospacing="0"/>
              <w:ind w:right="34"/>
              <w:rPr>
                <w:rFonts w:ascii="Arial" w:hAnsi="Arial" w:cs="Arial"/>
                <w:sz w:val="22"/>
                <w:szCs w:val="22"/>
              </w:rPr>
            </w:pPr>
          </w:p>
        </w:tc>
        <w:tc>
          <w:tcPr>
            <w:tcW w:w="2266" w:type="dxa"/>
            <w:gridSpan w:val="2"/>
            <w:vMerge/>
          </w:tcPr>
          <w:p w14:paraId="2325DDC7" w14:textId="77777777" w:rsidR="00796C9E" w:rsidRPr="00E95BF7" w:rsidRDefault="00796C9E" w:rsidP="00962FFF">
            <w:pPr>
              <w:pStyle w:val="NormalWeb"/>
              <w:spacing w:before="0" w:beforeAutospacing="0" w:after="0" w:afterAutospacing="0"/>
              <w:ind w:right="34"/>
              <w:rPr>
                <w:rFonts w:ascii="Arial" w:hAnsi="Arial" w:cs="Arial"/>
                <w:sz w:val="22"/>
                <w:szCs w:val="22"/>
              </w:rPr>
            </w:pPr>
          </w:p>
        </w:tc>
        <w:tc>
          <w:tcPr>
            <w:tcW w:w="1802" w:type="dxa"/>
            <w:vMerge/>
          </w:tcPr>
          <w:p w14:paraId="7EB9E133" w14:textId="77777777" w:rsidR="00796C9E" w:rsidRPr="00E95BF7" w:rsidRDefault="00796C9E" w:rsidP="00962FFF">
            <w:pPr>
              <w:pStyle w:val="NormalWeb"/>
              <w:spacing w:before="0" w:beforeAutospacing="0" w:after="0" w:afterAutospacing="0"/>
              <w:ind w:right="34"/>
              <w:rPr>
                <w:rFonts w:ascii="Arial" w:hAnsi="Arial" w:cs="Arial"/>
                <w:sz w:val="22"/>
                <w:szCs w:val="22"/>
              </w:rPr>
            </w:pPr>
          </w:p>
        </w:tc>
      </w:tr>
      <w:tr w:rsidR="00796C9E" w:rsidRPr="00E95BF7" w14:paraId="69E6554D" w14:textId="77777777" w:rsidTr="00962FFF">
        <w:trPr>
          <w:trHeight w:val="630"/>
        </w:trPr>
        <w:tc>
          <w:tcPr>
            <w:tcW w:w="8856" w:type="dxa"/>
            <w:gridSpan w:val="4"/>
          </w:tcPr>
          <w:p w14:paraId="190417A8" w14:textId="77777777" w:rsidR="00796C9E" w:rsidRPr="00E95BF7" w:rsidRDefault="00796C9E" w:rsidP="00962FFF">
            <w:pPr>
              <w:pStyle w:val="NormalWeb"/>
              <w:spacing w:before="0" w:beforeAutospacing="0" w:after="0" w:afterAutospacing="0"/>
              <w:ind w:right="34"/>
              <w:rPr>
                <w:rFonts w:ascii="Arial" w:hAnsi="Arial" w:cs="Arial"/>
                <w:sz w:val="22"/>
                <w:szCs w:val="22"/>
              </w:rPr>
            </w:pPr>
          </w:p>
          <w:p w14:paraId="4D0C3F54" w14:textId="77777777" w:rsidR="00796C9E" w:rsidRPr="00E95BF7" w:rsidRDefault="00796C9E" w:rsidP="00962FFF">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Module tutor:</w:t>
            </w:r>
            <w:r>
              <w:rPr>
                <w:rFonts w:ascii="Arial" w:hAnsi="Arial" w:cs="Arial"/>
                <w:sz w:val="22"/>
                <w:szCs w:val="22"/>
              </w:rPr>
              <w:t xml:space="preserve">  Dr Crystal Addey and Dr Dorian Greenbaum</w:t>
            </w:r>
          </w:p>
        </w:tc>
      </w:tr>
      <w:tr w:rsidR="00796C9E" w:rsidRPr="00E95BF7" w14:paraId="2A0ABFD2" w14:textId="77777777" w:rsidTr="00962FFF">
        <w:trPr>
          <w:trHeight w:val="630"/>
        </w:trPr>
        <w:tc>
          <w:tcPr>
            <w:tcW w:w="8856" w:type="dxa"/>
            <w:gridSpan w:val="4"/>
          </w:tcPr>
          <w:p w14:paraId="4463585E" w14:textId="77777777" w:rsidR="00796C9E" w:rsidRDefault="00796C9E" w:rsidP="00962FFF">
            <w:pPr>
              <w:pStyle w:val="NormalWeb"/>
              <w:spacing w:before="0" w:beforeAutospacing="0" w:after="0" w:afterAutospacing="0"/>
              <w:ind w:right="34"/>
              <w:rPr>
                <w:rFonts w:ascii="Arial" w:hAnsi="Arial" w:cs="Arial"/>
                <w:sz w:val="22"/>
                <w:szCs w:val="22"/>
              </w:rPr>
            </w:pPr>
          </w:p>
          <w:p w14:paraId="268D19A7" w14:textId="5D1D38BE" w:rsidR="00796C9E" w:rsidRPr="00DF32A2" w:rsidRDefault="00796C9E" w:rsidP="00DF32A2">
            <w:pPr>
              <w:spacing w:before="240" w:line="276" w:lineRule="auto"/>
              <w:jc w:val="center"/>
              <w:rPr>
                <w:rFonts w:ascii="Arial" w:hAnsi="Arial" w:cs="Arial"/>
              </w:rPr>
            </w:pPr>
            <w:r>
              <w:rPr>
                <w:rFonts w:ascii="Arial" w:hAnsi="Arial" w:cs="Arial"/>
              </w:rPr>
              <w:t xml:space="preserve">Assignment title: </w:t>
            </w:r>
          </w:p>
          <w:p w14:paraId="15C1C2A0" w14:textId="77777777" w:rsidR="00796C9E" w:rsidRDefault="00DF32A2" w:rsidP="00DF32A2">
            <w:pPr>
              <w:jc w:val="center"/>
              <w:rPr>
                <w:b/>
                <w:u w:val="single"/>
              </w:rPr>
            </w:pPr>
            <w:r w:rsidRPr="00877D60">
              <w:rPr>
                <w:b/>
                <w:u w:val="single"/>
              </w:rPr>
              <w:t>Can theurgy be considered a form of magic?</w:t>
            </w:r>
          </w:p>
          <w:p w14:paraId="0E1DD897" w14:textId="4516C649" w:rsidR="00DF32A2" w:rsidRPr="00DF32A2" w:rsidRDefault="00DF32A2" w:rsidP="00DF32A2">
            <w:pPr>
              <w:jc w:val="center"/>
              <w:rPr>
                <w:b/>
                <w:u w:val="single"/>
              </w:rPr>
            </w:pPr>
            <w:bookmarkStart w:id="1" w:name="_GoBack"/>
            <w:bookmarkEnd w:id="1"/>
          </w:p>
        </w:tc>
      </w:tr>
      <w:tr w:rsidR="00796C9E" w:rsidRPr="00E95BF7" w14:paraId="574C4F8C" w14:textId="77777777" w:rsidTr="00962FFF">
        <w:trPr>
          <w:trHeight w:val="630"/>
        </w:trPr>
        <w:tc>
          <w:tcPr>
            <w:tcW w:w="8856" w:type="dxa"/>
            <w:gridSpan w:val="4"/>
          </w:tcPr>
          <w:p w14:paraId="796DA025" w14:textId="77777777" w:rsidR="00796C9E" w:rsidRPr="00E95BF7" w:rsidRDefault="00796C9E" w:rsidP="00962FFF">
            <w:pPr>
              <w:pStyle w:val="NormalWeb"/>
              <w:spacing w:before="0" w:beforeAutospacing="0" w:after="0" w:afterAutospacing="0"/>
              <w:ind w:right="34"/>
              <w:rPr>
                <w:rFonts w:ascii="Arial" w:hAnsi="Arial" w:cs="Arial"/>
                <w:sz w:val="22"/>
                <w:szCs w:val="22"/>
              </w:rPr>
            </w:pPr>
          </w:p>
          <w:p w14:paraId="7DA5A8DE" w14:textId="01535A46" w:rsidR="00796C9E" w:rsidRPr="00E95BF7" w:rsidRDefault="00796C9E" w:rsidP="00962FFF">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Assignment due date:</w:t>
            </w:r>
            <w:r>
              <w:rPr>
                <w:rFonts w:ascii="Arial" w:hAnsi="Arial" w:cs="Arial"/>
                <w:sz w:val="22"/>
                <w:szCs w:val="22"/>
              </w:rPr>
              <w:t xml:space="preserve"> </w:t>
            </w:r>
            <w:r w:rsidR="00DF32A2">
              <w:rPr>
                <w:rFonts w:ascii="Arial" w:hAnsi="Arial" w:cs="Arial"/>
                <w:sz w:val="22"/>
                <w:szCs w:val="22"/>
              </w:rPr>
              <w:t>16</w:t>
            </w:r>
            <w:r w:rsidR="00DF32A2" w:rsidRPr="00DF32A2">
              <w:rPr>
                <w:rFonts w:ascii="Arial" w:hAnsi="Arial" w:cs="Arial"/>
                <w:sz w:val="22"/>
                <w:szCs w:val="22"/>
                <w:vertAlign w:val="superscript"/>
              </w:rPr>
              <w:t>th</w:t>
            </w:r>
            <w:r w:rsidR="00DF32A2">
              <w:rPr>
                <w:rFonts w:ascii="Arial" w:hAnsi="Arial" w:cs="Arial"/>
                <w:sz w:val="22"/>
                <w:szCs w:val="22"/>
              </w:rPr>
              <w:t xml:space="preserve"> July</w:t>
            </w:r>
            <w:r>
              <w:rPr>
                <w:rFonts w:ascii="Arial" w:hAnsi="Arial" w:cs="Arial"/>
                <w:sz w:val="22"/>
                <w:szCs w:val="22"/>
              </w:rPr>
              <w:t xml:space="preserve"> 2018</w:t>
            </w:r>
          </w:p>
        </w:tc>
      </w:tr>
      <w:tr w:rsidR="00796C9E" w:rsidRPr="00E95BF7" w14:paraId="6D4AF200" w14:textId="77777777" w:rsidTr="00962FFF">
        <w:trPr>
          <w:trHeight w:val="978"/>
        </w:trPr>
        <w:tc>
          <w:tcPr>
            <w:tcW w:w="8856" w:type="dxa"/>
            <w:gridSpan w:val="4"/>
            <w:shd w:val="clear" w:color="auto" w:fill="D9D9D9"/>
          </w:tcPr>
          <w:p w14:paraId="2594944A" w14:textId="77777777" w:rsidR="00796C9E" w:rsidRPr="00E95BF7" w:rsidRDefault="00796C9E" w:rsidP="00962FFF">
            <w:pPr>
              <w:pStyle w:val="NormalWeb"/>
              <w:spacing w:before="0" w:beforeAutospacing="0" w:after="0" w:afterAutospacing="0"/>
              <w:ind w:right="34"/>
              <w:rPr>
                <w:rFonts w:ascii="Arial" w:hAnsi="Arial" w:cs="Arial"/>
                <w:sz w:val="22"/>
                <w:szCs w:val="22"/>
              </w:rPr>
            </w:pPr>
          </w:p>
          <w:p w14:paraId="500999F9" w14:textId="77777777" w:rsidR="00796C9E" w:rsidRPr="00E95BF7" w:rsidRDefault="00796C9E" w:rsidP="00962FFF">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I confirm that this is my original work and that I have adhered to the University policy on plagiarism.</w:t>
            </w:r>
          </w:p>
          <w:p w14:paraId="1B64BD0D" w14:textId="77777777" w:rsidR="00796C9E" w:rsidRPr="00E95BF7" w:rsidRDefault="00796C9E" w:rsidP="00962FFF">
            <w:pPr>
              <w:pStyle w:val="NormalWeb"/>
              <w:spacing w:before="0" w:beforeAutospacing="0" w:after="0" w:afterAutospacing="0"/>
              <w:ind w:right="34"/>
              <w:rPr>
                <w:rFonts w:ascii="Arial" w:hAnsi="Arial" w:cs="Arial"/>
                <w:sz w:val="22"/>
                <w:szCs w:val="22"/>
              </w:rPr>
            </w:pPr>
          </w:p>
          <w:p w14:paraId="02B55C2A" w14:textId="77777777" w:rsidR="00796C9E" w:rsidRPr="00E95BF7" w:rsidRDefault="00796C9E" w:rsidP="00962FFF">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Name …</w:t>
            </w:r>
            <w:r>
              <w:rPr>
                <w:rFonts w:ascii="Arial" w:hAnsi="Arial" w:cs="Arial"/>
                <w:sz w:val="22"/>
                <w:szCs w:val="22"/>
              </w:rPr>
              <w:t>Jay Laville</w:t>
            </w:r>
            <w:r w:rsidRPr="00E95BF7">
              <w:rPr>
                <w:rFonts w:ascii="Arial" w:hAnsi="Arial" w:cs="Arial"/>
                <w:sz w:val="22"/>
                <w:szCs w:val="22"/>
              </w:rPr>
              <w:t>…………………………………………………………</w:t>
            </w:r>
          </w:p>
          <w:p w14:paraId="029D72D4" w14:textId="77777777" w:rsidR="00796C9E" w:rsidRPr="00E95BF7" w:rsidRDefault="00796C9E" w:rsidP="00962FFF">
            <w:pPr>
              <w:pStyle w:val="NormalWeb"/>
              <w:spacing w:before="0" w:beforeAutospacing="0" w:after="0" w:afterAutospacing="0"/>
              <w:ind w:right="34"/>
              <w:rPr>
                <w:rFonts w:ascii="Arial" w:hAnsi="Arial" w:cs="Arial"/>
                <w:sz w:val="22"/>
                <w:szCs w:val="22"/>
              </w:rPr>
            </w:pPr>
          </w:p>
        </w:tc>
      </w:tr>
      <w:tr w:rsidR="00796C9E" w:rsidRPr="00E95BF7" w14:paraId="5D5C38A1" w14:textId="77777777" w:rsidTr="00962FFF">
        <w:trPr>
          <w:trHeight w:val="3972"/>
        </w:trPr>
        <w:tc>
          <w:tcPr>
            <w:tcW w:w="8856" w:type="dxa"/>
            <w:gridSpan w:val="4"/>
          </w:tcPr>
          <w:p w14:paraId="6F32E9AC" w14:textId="77777777" w:rsidR="00796C9E" w:rsidRPr="00E95BF7" w:rsidRDefault="00796C9E" w:rsidP="00962FFF">
            <w:pPr>
              <w:rPr>
                <w:rFonts w:ascii="Arial" w:hAnsi="Arial" w:cs="Arial"/>
                <w:b/>
              </w:rPr>
            </w:pPr>
          </w:p>
          <w:p w14:paraId="0F3B519D" w14:textId="77777777" w:rsidR="00796C9E" w:rsidRPr="00E95BF7" w:rsidRDefault="00796C9E" w:rsidP="00962FFF">
            <w:pPr>
              <w:rPr>
                <w:rFonts w:ascii="Arial" w:hAnsi="Arial" w:cs="Arial"/>
              </w:rPr>
            </w:pPr>
            <w:r w:rsidRPr="00E95BF7">
              <w:rPr>
                <w:rFonts w:ascii="Arial" w:hAnsi="Arial" w:cs="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796C9E" w:rsidRPr="00E95BF7" w14:paraId="46D854EB" w14:textId="77777777" w:rsidTr="00962FFF">
              <w:tc>
                <w:tcPr>
                  <w:tcW w:w="6970" w:type="dxa"/>
                </w:tcPr>
                <w:p w14:paraId="71B6BDB0" w14:textId="77777777" w:rsidR="00796C9E" w:rsidRPr="00E95BF7" w:rsidRDefault="00796C9E" w:rsidP="00962FFF">
                  <w:pPr>
                    <w:rPr>
                      <w:rFonts w:ascii="Arial" w:hAnsi="Arial" w:cs="Arial"/>
                    </w:rPr>
                  </w:pPr>
                </w:p>
                <w:p w14:paraId="0A97F7FC" w14:textId="77777777" w:rsidR="00796C9E" w:rsidRPr="00E95BF7" w:rsidRDefault="00796C9E" w:rsidP="00962FFF">
                  <w:pPr>
                    <w:rPr>
                      <w:rFonts w:ascii="Arial" w:hAnsi="Arial" w:cs="Arial"/>
                    </w:rPr>
                  </w:pPr>
                  <w:r w:rsidRPr="00E95BF7">
                    <w:rPr>
                      <w:rFonts w:ascii="Arial" w:hAnsi="Arial" w:cs="Arial"/>
                    </w:rPr>
                    <w:t>1</w:t>
                  </w:r>
                  <w:r w:rsidRPr="00E95BF7">
                    <w:rPr>
                      <w:rFonts w:ascii="Arial" w:hAnsi="Arial" w:cs="Arial"/>
                      <w:vertAlign w:val="superscript"/>
                    </w:rPr>
                    <w:t>st</w:t>
                  </w:r>
                  <w:r w:rsidRPr="00E95BF7">
                    <w:rPr>
                      <w:rFonts w:ascii="Arial" w:hAnsi="Arial" w:cs="Arial"/>
                    </w:rPr>
                    <w:t xml:space="preserve"> Marker’s Provisional mark</w:t>
                  </w:r>
                </w:p>
              </w:tc>
              <w:tc>
                <w:tcPr>
                  <w:tcW w:w="1660" w:type="dxa"/>
                </w:tcPr>
                <w:p w14:paraId="03113985" w14:textId="77777777" w:rsidR="00796C9E" w:rsidRPr="00E95BF7" w:rsidRDefault="00796C9E" w:rsidP="00962FFF">
                  <w:pPr>
                    <w:rPr>
                      <w:rFonts w:ascii="Arial" w:hAnsi="Arial" w:cs="Arial"/>
                      <w:sz w:val="20"/>
                      <w:szCs w:val="20"/>
                    </w:rPr>
                  </w:pPr>
                </w:p>
              </w:tc>
            </w:tr>
            <w:tr w:rsidR="00796C9E" w:rsidRPr="00E95BF7" w14:paraId="617DAB82" w14:textId="77777777" w:rsidTr="00962FFF">
              <w:tc>
                <w:tcPr>
                  <w:tcW w:w="6970" w:type="dxa"/>
                </w:tcPr>
                <w:p w14:paraId="743E9EA7" w14:textId="77777777" w:rsidR="00796C9E" w:rsidRPr="00E95BF7" w:rsidRDefault="00796C9E" w:rsidP="00962FFF">
                  <w:pPr>
                    <w:rPr>
                      <w:rFonts w:ascii="Arial" w:hAnsi="Arial" w:cs="Arial"/>
                    </w:rPr>
                  </w:pPr>
                </w:p>
                <w:p w14:paraId="21595100" w14:textId="77777777" w:rsidR="00796C9E" w:rsidRPr="00E95BF7" w:rsidRDefault="00796C9E" w:rsidP="00962FFF">
                  <w:pPr>
                    <w:rPr>
                      <w:rFonts w:ascii="Arial" w:hAnsi="Arial" w:cs="Arial"/>
                    </w:rPr>
                  </w:pPr>
                  <w:r w:rsidRPr="00E95BF7">
                    <w:rPr>
                      <w:rFonts w:ascii="Arial" w:hAnsi="Arial" w:cs="Arial"/>
                    </w:rPr>
                    <w:t>2</w:t>
                  </w:r>
                  <w:r w:rsidRPr="00E95BF7">
                    <w:rPr>
                      <w:rFonts w:ascii="Arial" w:hAnsi="Arial" w:cs="Arial"/>
                      <w:vertAlign w:val="superscript"/>
                    </w:rPr>
                    <w:t>nd</w:t>
                  </w:r>
                  <w:r w:rsidRPr="00E95BF7">
                    <w:rPr>
                      <w:rFonts w:ascii="Arial" w:hAnsi="Arial" w:cs="Arial"/>
                    </w:rPr>
                    <w:t xml:space="preserve"> Marker’s/Moderator’s provisional mark</w:t>
                  </w:r>
                </w:p>
              </w:tc>
              <w:tc>
                <w:tcPr>
                  <w:tcW w:w="1660" w:type="dxa"/>
                </w:tcPr>
                <w:p w14:paraId="7A8528DD" w14:textId="77777777" w:rsidR="00796C9E" w:rsidRPr="00E95BF7" w:rsidRDefault="00796C9E" w:rsidP="00962FFF">
                  <w:pPr>
                    <w:rPr>
                      <w:rFonts w:ascii="Arial" w:hAnsi="Arial" w:cs="Arial"/>
                      <w:sz w:val="20"/>
                      <w:szCs w:val="20"/>
                    </w:rPr>
                  </w:pPr>
                </w:p>
              </w:tc>
            </w:tr>
            <w:tr w:rsidR="00796C9E" w:rsidRPr="00E95BF7" w14:paraId="4EB683E0" w14:textId="77777777" w:rsidTr="00962FFF">
              <w:tc>
                <w:tcPr>
                  <w:tcW w:w="6970" w:type="dxa"/>
                </w:tcPr>
                <w:p w14:paraId="2D297292" w14:textId="77777777" w:rsidR="00796C9E" w:rsidRPr="00E95BF7" w:rsidRDefault="00796C9E" w:rsidP="00962FFF">
                  <w:pPr>
                    <w:rPr>
                      <w:rFonts w:ascii="Arial" w:hAnsi="Arial" w:cs="Arial"/>
                    </w:rPr>
                  </w:pPr>
                </w:p>
                <w:p w14:paraId="2A1D0470" w14:textId="77777777" w:rsidR="00796C9E" w:rsidRPr="00E95BF7" w:rsidRDefault="00796C9E" w:rsidP="00962FFF">
                  <w:pPr>
                    <w:rPr>
                      <w:rFonts w:ascii="Arial" w:hAnsi="Arial" w:cs="Arial"/>
                    </w:rPr>
                  </w:pPr>
                  <w:r w:rsidRPr="00E95BF7">
                    <w:rPr>
                      <w:rFonts w:ascii="Arial" w:hAnsi="Arial" w:cs="Arial"/>
                    </w:rPr>
                    <w:t>External Examiner mark (if relevant)</w:t>
                  </w:r>
                </w:p>
              </w:tc>
              <w:tc>
                <w:tcPr>
                  <w:tcW w:w="1660" w:type="dxa"/>
                </w:tcPr>
                <w:p w14:paraId="363FF569" w14:textId="77777777" w:rsidR="00796C9E" w:rsidRPr="00E95BF7" w:rsidRDefault="00796C9E" w:rsidP="00962FFF">
                  <w:pPr>
                    <w:rPr>
                      <w:rFonts w:ascii="Arial" w:hAnsi="Arial" w:cs="Arial"/>
                      <w:sz w:val="20"/>
                      <w:szCs w:val="20"/>
                    </w:rPr>
                  </w:pPr>
                </w:p>
              </w:tc>
            </w:tr>
            <w:tr w:rsidR="00796C9E" w:rsidRPr="00E95BF7" w14:paraId="50B22729" w14:textId="77777777" w:rsidTr="00962FFF">
              <w:tc>
                <w:tcPr>
                  <w:tcW w:w="6970" w:type="dxa"/>
                </w:tcPr>
                <w:p w14:paraId="4AEE1432" w14:textId="77777777" w:rsidR="00796C9E" w:rsidRPr="00E95BF7" w:rsidRDefault="00796C9E" w:rsidP="00962FFF">
                  <w:pPr>
                    <w:rPr>
                      <w:rFonts w:ascii="Arial" w:hAnsi="Arial" w:cs="Arial"/>
                    </w:rPr>
                  </w:pPr>
                </w:p>
                <w:p w14:paraId="2A89AA9E" w14:textId="77777777" w:rsidR="00796C9E" w:rsidRPr="00E95BF7" w:rsidRDefault="00796C9E" w:rsidP="00962FFF">
                  <w:pPr>
                    <w:rPr>
                      <w:rFonts w:ascii="Arial" w:hAnsi="Arial" w:cs="Arial"/>
                      <w:b/>
                    </w:rPr>
                  </w:pPr>
                  <w:r w:rsidRPr="00E95BF7">
                    <w:rPr>
                      <w:rFonts w:ascii="Arial" w:hAnsi="Arial" w:cs="Arial"/>
                      <w:b/>
                    </w:rPr>
                    <w:t>Final Mark</w:t>
                  </w:r>
                </w:p>
                <w:p w14:paraId="7E632AD0" w14:textId="77777777" w:rsidR="00796C9E" w:rsidRPr="00E95BF7" w:rsidRDefault="00796C9E" w:rsidP="00962FFF">
                  <w:pPr>
                    <w:rPr>
                      <w:rFonts w:ascii="Arial" w:hAnsi="Arial" w:cs="Arial"/>
                    </w:rPr>
                  </w:pPr>
                </w:p>
              </w:tc>
              <w:tc>
                <w:tcPr>
                  <w:tcW w:w="1660" w:type="dxa"/>
                </w:tcPr>
                <w:p w14:paraId="3D6E6F57" w14:textId="77777777" w:rsidR="00796C9E" w:rsidRPr="00E95BF7" w:rsidRDefault="00796C9E" w:rsidP="00962FFF">
                  <w:pPr>
                    <w:rPr>
                      <w:rFonts w:ascii="Arial" w:hAnsi="Arial" w:cs="Arial"/>
                      <w:b/>
                      <w:sz w:val="20"/>
                      <w:szCs w:val="20"/>
                    </w:rPr>
                  </w:pPr>
                </w:p>
              </w:tc>
            </w:tr>
          </w:tbl>
          <w:p w14:paraId="5D951F78" w14:textId="77777777" w:rsidR="00796C9E" w:rsidRPr="00E95BF7" w:rsidRDefault="00796C9E" w:rsidP="00962FFF">
            <w:pPr>
              <w:pStyle w:val="NormalWeb"/>
              <w:spacing w:before="0" w:beforeAutospacing="0" w:after="0" w:afterAutospacing="0"/>
              <w:ind w:left="142" w:right="34"/>
              <w:rPr>
                <w:rFonts w:ascii="Arial" w:hAnsi="Arial" w:cs="Arial"/>
                <w:b/>
                <w:sz w:val="22"/>
                <w:szCs w:val="22"/>
              </w:rPr>
            </w:pPr>
          </w:p>
          <w:p w14:paraId="3CE514B0" w14:textId="77777777" w:rsidR="00796C9E" w:rsidRPr="00E95BF7" w:rsidRDefault="00796C9E" w:rsidP="00962FFF">
            <w:pPr>
              <w:pStyle w:val="NormalWeb"/>
              <w:spacing w:before="0" w:beforeAutospacing="0" w:after="0" w:afterAutospacing="0"/>
              <w:ind w:left="142" w:right="34"/>
              <w:jc w:val="center"/>
              <w:rPr>
                <w:rFonts w:ascii="Arial" w:hAnsi="Arial" w:cs="Arial"/>
                <w:b/>
                <w:sz w:val="22"/>
                <w:szCs w:val="22"/>
              </w:rPr>
            </w:pPr>
            <w:r w:rsidRPr="00E95BF7">
              <w:rPr>
                <w:rFonts w:ascii="Arial" w:hAnsi="Arial" w:cs="Arial"/>
                <w:b/>
                <w:sz w:val="22"/>
                <w:szCs w:val="22"/>
              </w:rPr>
              <w:t>NB.  All marks are provisional until confirmed by the Final Examination</w:t>
            </w:r>
            <w:r>
              <w:rPr>
                <w:rFonts w:ascii="Arial" w:hAnsi="Arial" w:cs="Arial"/>
                <w:b/>
                <w:sz w:val="22"/>
                <w:szCs w:val="22"/>
              </w:rPr>
              <w:t xml:space="preserve"> Board</w:t>
            </w:r>
          </w:p>
          <w:p w14:paraId="3B577277" w14:textId="77777777" w:rsidR="00796C9E" w:rsidRPr="00E95BF7" w:rsidRDefault="00796C9E" w:rsidP="00962FFF">
            <w:pPr>
              <w:pStyle w:val="NormalWeb"/>
              <w:spacing w:before="0" w:beforeAutospacing="0" w:after="0" w:afterAutospacing="0"/>
              <w:rPr>
                <w:rFonts w:ascii="Arial" w:hAnsi="Arial" w:cs="Arial"/>
                <w:b/>
                <w:sz w:val="22"/>
                <w:szCs w:val="22"/>
              </w:rPr>
            </w:pPr>
          </w:p>
          <w:p w14:paraId="24CF007F" w14:textId="77777777" w:rsidR="00796C9E" w:rsidRPr="00E95BF7" w:rsidRDefault="00796C9E" w:rsidP="00962FFF">
            <w:pPr>
              <w:pStyle w:val="NormalWeb"/>
              <w:spacing w:before="0" w:beforeAutospacing="0" w:after="0" w:afterAutospacing="0"/>
              <w:rPr>
                <w:rFonts w:ascii="Arial" w:hAnsi="Arial" w:cs="Arial"/>
                <w:b/>
                <w:sz w:val="22"/>
                <w:szCs w:val="22"/>
              </w:rPr>
            </w:pPr>
          </w:p>
          <w:p w14:paraId="3452C3A1" w14:textId="77777777" w:rsidR="00796C9E" w:rsidRPr="00E95BF7" w:rsidRDefault="00796C9E" w:rsidP="00962FFF">
            <w:pPr>
              <w:pStyle w:val="NormalWeb"/>
              <w:spacing w:before="0" w:beforeAutospacing="0" w:after="0" w:afterAutospacing="0"/>
              <w:rPr>
                <w:rFonts w:ascii="Arial" w:hAnsi="Arial" w:cs="Arial"/>
                <w:b/>
                <w:sz w:val="22"/>
                <w:szCs w:val="22"/>
              </w:rPr>
            </w:pPr>
          </w:p>
          <w:p w14:paraId="6627D9DE" w14:textId="77777777" w:rsidR="00796C9E" w:rsidRPr="00E95BF7" w:rsidRDefault="00796C9E" w:rsidP="00962FFF">
            <w:pPr>
              <w:pStyle w:val="NormalWeb"/>
              <w:spacing w:before="0" w:beforeAutospacing="0" w:after="0" w:afterAutospacing="0"/>
              <w:rPr>
                <w:rFonts w:ascii="Arial" w:hAnsi="Arial" w:cs="Arial"/>
                <w:b/>
                <w:sz w:val="22"/>
                <w:szCs w:val="22"/>
              </w:rPr>
            </w:pPr>
          </w:p>
          <w:p w14:paraId="21DE0672" w14:textId="77777777" w:rsidR="00796C9E" w:rsidRPr="00E95BF7" w:rsidRDefault="00796C9E" w:rsidP="00962FFF">
            <w:pPr>
              <w:pStyle w:val="NormalWeb"/>
              <w:spacing w:before="0" w:beforeAutospacing="0" w:after="0" w:afterAutospacing="0"/>
              <w:rPr>
                <w:rFonts w:ascii="Arial" w:hAnsi="Arial" w:cs="Arial"/>
                <w:b/>
                <w:sz w:val="22"/>
                <w:szCs w:val="22"/>
              </w:rPr>
            </w:pPr>
          </w:p>
          <w:p w14:paraId="5DAA135C" w14:textId="77777777" w:rsidR="00796C9E" w:rsidRPr="00E95BF7" w:rsidRDefault="00796C9E" w:rsidP="00962FFF">
            <w:pPr>
              <w:pStyle w:val="NormalWeb"/>
              <w:spacing w:before="0" w:beforeAutospacing="0" w:after="0" w:afterAutospacing="0"/>
              <w:rPr>
                <w:rFonts w:ascii="Arial" w:hAnsi="Arial" w:cs="Arial"/>
                <w:b/>
                <w:sz w:val="22"/>
                <w:szCs w:val="22"/>
              </w:rPr>
            </w:pPr>
          </w:p>
          <w:p w14:paraId="60B5A95B" w14:textId="77777777" w:rsidR="00796C9E" w:rsidRPr="00E95BF7" w:rsidRDefault="00796C9E" w:rsidP="00962FFF">
            <w:pPr>
              <w:pStyle w:val="NormalWeb"/>
              <w:spacing w:before="0" w:beforeAutospacing="0" w:after="0" w:afterAutospacing="0"/>
              <w:rPr>
                <w:rFonts w:ascii="Arial" w:hAnsi="Arial" w:cs="Arial"/>
                <w:b/>
                <w:sz w:val="22"/>
                <w:szCs w:val="22"/>
              </w:rPr>
            </w:pPr>
          </w:p>
          <w:p w14:paraId="342EE858" w14:textId="77777777" w:rsidR="00796C9E" w:rsidRPr="00E95BF7" w:rsidRDefault="00796C9E" w:rsidP="00962FFF">
            <w:pPr>
              <w:pStyle w:val="NormalWeb"/>
              <w:spacing w:before="0" w:beforeAutospacing="0" w:after="0" w:afterAutospacing="0"/>
              <w:rPr>
                <w:rFonts w:ascii="Arial" w:hAnsi="Arial" w:cs="Arial"/>
                <w:b/>
                <w:sz w:val="22"/>
                <w:szCs w:val="22"/>
              </w:rPr>
            </w:pPr>
          </w:p>
          <w:p w14:paraId="06943B1C" w14:textId="77777777" w:rsidR="00796C9E" w:rsidRPr="00E95BF7" w:rsidRDefault="00796C9E" w:rsidP="00962FFF">
            <w:pPr>
              <w:pStyle w:val="NormalWeb"/>
              <w:spacing w:before="0" w:beforeAutospacing="0" w:after="0" w:afterAutospacing="0"/>
              <w:rPr>
                <w:rFonts w:ascii="Arial" w:hAnsi="Arial" w:cs="Arial"/>
                <w:b/>
                <w:sz w:val="22"/>
                <w:szCs w:val="22"/>
              </w:rPr>
            </w:pPr>
          </w:p>
          <w:p w14:paraId="7FAC4B0E" w14:textId="77777777" w:rsidR="00796C9E" w:rsidRPr="00E95BF7" w:rsidRDefault="00796C9E" w:rsidP="00962FFF">
            <w:pPr>
              <w:pStyle w:val="NormalWeb"/>
              <w:spacing w:before="0" w:beforeAutospacing="0" w:after="0" w:afterAutospacing="0"/>
              <w:rPr>
                <w:rFonts w:ascii="Arial" w:hAnsi="Arial" w:cs="Arial"/>
                <w:b/>
                <w:sz w:val="22"/>
                <w:szCs w:val="22"/>
              </w:rPr>
            </w:pPr>
          </w:p>
          <w:p w14:paraId="0FC84689" w14:textId="77777777" w:rsidR="00796C9E" w:rsidRPr="00E95BF7" w:rsidRDefault="00796C9E" w:rsidP="00962FFF">
            <w:pPr>
              <w:pStyle w:val="NormalWeb"/>
              <w:spacing w:before="0" w:beforeAutospacing="0" w:after="0" w:afterAutospacing="0"/>
              <w:rPr>
                <w:rFonts w:ascii="Arial" w:hAnsi="Arial" w:cs="Arial"/>
                <w:b/>
                <w:sz w:val="22"/>
                <w:szCs w:val="22"/>
              </w:rPr>
            </w:pPr>
            <w:r w:rsidRPr="00E95BF7">
              <w:rPr>
                <w:rFonts w:ascii="Arial" w:hAnsi="Arial" w:cs="Arial"/>
                <w:b/>
                <w:sz w:val="22"/>
                <w:szCs w:val="22"/>
              </w:rPr>
              <w:t>For completion by Marker 1:</w:t>
            </w:r>
          </w:p>
          <w:p w14:paraId="11469F5C" w14:textId="77777777" w:rsidR="00796C9E" w:rsidRPr="00E95BF7" w:rsidRDefault="00796C9E" w:rsidP="00962FFF">
            <w:pPr>
              <w:pStyle w:val="NormalWeb"/>
              <w:rPr>
                <w:rFonts w:ascii="Arial" w:hAnsi="Arial" w:cs="Arial"/>
                <w:sz w:val="22"/>
                <w:szCs w:val="22"/>
              </w:rPr>
            </w:pPr>
            <w:r w:rsidRPr="00E95BF7">
              <w:rPr>
                <w:rFonts w:ascii="Arial" w:hAnsi="Arial" w:cs="Arial"/>
                <w:sz w:val="22"/>
                <w:szCs w:val="22"/>
              </w:rPr>
              <w:t>Comments:</w:t>
            </w:r>
          </w:p>
        </w:tc>
      </w:tr>
      <w:tr w:rsidR="00796C9E" w:rsidRPr="00E95BF7" w14:paraId="6D8DC76C" w14:textId="77777777" w:rsidTr="00962FFF">
        <w:trPr>
          <w:trHeight w:val="408"/>
        </w:trPr>
        <w:tc>
          <w:tcPr>
            <w:tcW w:w="6768" w:type="dxa"/>
            <w:gridSpan w:val="2"/>
          </w:tcPr>
          <w:p w14:paraId="35F558C6" w14:textId="77777777" w:rsidR="00796C9E" w:rsidRPr="00E95BF7" w:rsidRDefault="00796C9E" w:rsidP="00962FFF">
            <w:pPr>
              <w:pStyle w:val="NormalWeb"/>
              <w:ind w:right="34"/>
              <w:rPr>
                <w:rFonts w:ascii="Arial" w:hAnsi="Arial" w:cs="Arial"/>
                <w:sz w:val="22"/>
                <w:szCs w:val="22"/>
              </w:rPr>
            </w:pPr>
            <w:r w:rsidRPr="00E95BF7">
              <w:rPr>
                <w:rFonts w:ascii="Arial" w:hAnsi="Arial" w:cs="Arial"/>
                <w:sz w:val="22"/>
                <w:szCs w:val="22"/>
              </w:rPr>
              <w:t>Marker 1 signature:</w:t>
            </w:r>
          </w:p>
        </w:tc>
        <w:tc>
          <w:tcPr>
            <w:tcW w:w="2088" w:type="dxa"/>
            <w:gridSpan w:val="2"/>
          </w:tcPr>
          <w:p w14:paraId="205B6711" w14:textId="77777777" w:rsidR="00796C9E" w:rsidRPr="00E95BF7" w:rsidRDefault="00796C9E" w:rsidP="00962FFF">
            <w:pPr>
              <w:pStyle w:val="NormalWeb"/>
              <w:spacing w:after="0"/>
              <w:ind w:left="142" w:right="34"/>
              <w:rPr>
                <w:rFonts w:ascii="Arial" w:hAnsi="Arial" w:cs="Arial"/>
                <w:sz w:val="22"/>
                <w:szCs w:val="22"/>
              </w:rPr>
            </w:pPr>
            <w:r w:rsidRPr="00E95BF7">
              <w:rPr>
                <w:rFonts w:ascii="Arial" w:hAnsi="Arial" w:cs="Arial"/>
                <w:sz w:val="22"/>
                <w:szCs w:val="22"/>
              </w:rPr>
              <w:t>Date:</w:t>
            </w:r>
          </w:p>
        </w:tc>
      </w:tr>
      <w:tr w:rsidR="00796C9E" w:rsidRPr="00E95BF7" w14:paraId="484BB71A" w14:textId="77777777" w:rsidTr="00962FFF">
        <w:tc>
          <w:tcPr>
            <w:tcW w:w="8856" w:type="dxa"/>
            <w:gridSpan w:val="4"/>
          </w:tcPr>
          <w:p w14:paraId="732868AD" w14:textId="77777777" w:rsidR="00796C9E" w:rsidRPr="00E95BF7" w:rsidRDefault="00796C9E" w:rsidP="00962FFF">
            <w:pPr>
              <w:pStyle w:val="NormalWeb"/>
              <w:spacing w:before="0" w:beforeAutospacing="0" w:after="0" w:afterAutospacing="0"/>
              <w:ind w:right="-334"/>
              <w:rPr>
                <w:rFonts w:ascii="Arial" w:hAnsi="Arial" w:cs="Arial"/>
                <w:bCs/>
                <w:i/>
                <w:sz w:val="22"/>
                <w:szCs w:val="22"/>
              </w:rPr>
            </w:pPr>
          </w:p>
          <w:p w14:paraId="7044AB28" w14:textId="77777777" w:rsidR="00796C9E" w:rsidRPr="00E95BF7" w:rsidRDefault="00796C9E" w:rsidP="00962FFF">
            <w:pPr>
              <w:pStyle w:val="NormalWeb"/>
              <w:spacing w:before="0" w:beforeAutospacing="0" w:after="0" w:afterAutospacing="0"/>
              <w:ind w:right="-334"/>
              <w:rPr>
                <w:rFonts w:ascii="Arial" w:hAnsi="Arial" w:cs="Arial"/>
                <w:b/>
                <w:bCs/>
                <w:sz w:val="22"/>
                <w:szCs w:val="22"/>
              </w:rPr>
            </w:pPr>
            <w:r w:rsidRPr="00E95BF7">
              <w:rPr>
                <w:rFonts w:ascii="Arial" w:hAnsi="Arial" w:cs="Arial"/>
                <w:b/>
                <w:bCs/>
                <w:sz w:val="22"/>
                <w:szCs w:val="22"/>
              </w:rPr>
              <w:t>For completion by Marker 2 / Moderator:</w:t>
            </w:r>
          </w:p>
          <w:p w14:paraId="1567168B" w14:textId="77777777" w:rsidR="00796C9E" w:rsidRPr="00E95BF7" w:rsidRDefault="00796C9E" w:rsidP="00962FFF">
            <w:pPr>
              <w:pStyle w:val="NormalWeb"/>
              <w:spacing w:before="0" w:beforeAutospacing="0" w:after="0" w:afterAutospacing="0"/>
              <w:ind w:right="-334"/>
              <w:rPr>
                <w:rFonts w:ascii="Arial" w:hAnsi="Arial" w:cs="Arial"/>
                <w:b/>
                <w:bCs/>
                <w:sz w:val="22"/>
                <w:szCs w:val="22"/>
              </w:rPr>
            </w:pPr>
          </w:p>
          <w:p w14:paraId="2ED89376" w14:textId="77777777" w:rsidR="00796C9E" w:rsidRPr="00E95BF7" w:rsidRDefault="00796C9E" w:rsidP="00962FFF">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Comments:</w:t>
            </w:r>
          </w:p>
          <w:p w14:paraId="459DDBDA" w14:textId="77777777" w:rsidR="00796C9E" w:rsidRPr="00E95BF7" w:rsidRDefault="00796C9E" w:rsidP="00962FFF">
            <w:pPr>
              <w:pStyle w:val="NormalWeb"/>
              <w:spacing w:before="0" w:beforeAutospacing="0" w:after="0" w:afterAutospacing="0"/>
              <w:ind w:right="-334"/>
              <w:rPr>
                <w:rFonts w:ascii="Arial" w:hAnsi="Arial" w:cs="Arial"/>
                <w:bCs/>
                <w:sz w:val="22"/>
                <w:szCs w:val="22"/>
              </w:rPr>
            </w:pPr>
          </w:p>
          <w:p w14:paraId="540806B2" w14:textId="77777777" w:rsidR="00796C9E" w:rsidRPr="00E95BF7" w:rsidRDefault="00796C9E" w:rsidP="00962FFF">
            <w:pPr>
              <w:pStyle w:val="NormalWeb"/>
              <w:spacing w:before="0" w:beforeAutospacing="0" w:after="0" w:afterAutospacing="0"/>
              <w:ind w:right="-334"/>
              <w:rPr>
                <w:rFonts w:ascii="Arial" w:hAnsi="Arial" w:cs="Arial"/>
                <w:bCs/>
                <w:sz w:val="22"/>
                <w:szCs w:val="22"/>
              </w:rPr>
            </w:pPr>
          </w:p>
          <w:p w14:paraId="52F5C5F6" w14:textId="77777777" w:rsidR="00796C9E" w:rsidRPr="00E95BF7" w:rsidRDefault="00796C9E" w:rsidP="00962FFF">
            <w:pPr>
              <w:pStyle w:val="NormalWeb"/>
              <w:spacing w:before="0" w:beforeAutospacing="0" w:after="0" w:afterAutospacing="0"/>
              <w:ind w:right="-334"/>
              <w:rPr>
                <w:rFonts w:ascii="Arial" w:hAnsi="Arial" w:cs="Arial"/>
                <w:bCs/>
                <w:sz w:val="22"/>
                <w:szCs w:val="22"/>
              </w:rPr>
            </w:pPr>
          </w:p>
          <w:p w14:paraId="39B84C67" w14:textId="77777777" w:rsidR="00796C9E" w:rsidRPr="00E95BF7" w:rsidRDefault="00796C9E" w:rsidP="00962FFF">
            <w:pPr>
              <w:pStyle w:val="NormalWeb"/>
              <w:spacing w:before="0" w:beforeAutospacing="0" w:after="0" w:afterAutospacing="0"/>
              <w:ind w:right="-334"/>
              <w:rPr>
                <w:rFonts w:ascii="Arial" w:hAnsi="Arial" w:cs="Arial"/>
                <w:bCs/>
                <w:sz w:val="22"/>
                <w:szCs w:val="22"/>
              </w:rPr>
            </w:pPr>
          </w:p>
          <w:p w14:paraId="6E57E3AE" w14:textId="77777777" w:rsidR="00796C9E" w:rsidRPr="00E95BF7" w:rsidRDefault="00796C9E" w:rsidP="00962FFF">
            <w:pPr>
              <w:pStyle w:val="NormalWeb"/>
              <w:spacing w:before="0" w:beforeAutospacing="0" w:after="0" w:afterAutospacing="0"/>
              <w:ind w:right="-334"/>
              <w:rPr>
                <w:rFonts w:ascii="Arial" w:hAnsi="Arial" w:cs="Arial"/>
                <w:bCs/>
                <w:sz w:val="22"/>
                <w:szCs w:val="22"/>
              </w:rPr>
            </w:pPr>
          </w:p>
          <w:p w14:paraId="3CC6895D" w14:textId="77777777" w:rsidR="00796C9E" w:rsidRPr="00E95BF7" w:rsidRDefault="00796C9E" w:rsidP="00962FFF">
            <w:pPr>
              <w:pStyle w:val="NormalWeb"/>
              <w:spacing w:before="0" w:beforeAutospacing="0" w:after="0" w:afterAutospacing="0"/>
              <w:ind w:right="-334"/>
              <w:rPr>
                <w:rFonts w:ascii="Arial" w:hAnsi="Arial" w:cs="Arial"/>
                <w:bCs/>
                <w:sz w:val="22"/>
                <w:szCs w:val="22"/>
              </w:rPr>
            </w:pPr>
          </w:p>
          <w:p w14:paraId="27909811" w14:textId="77777777" w:rsidR="00796C9E" w:rsidRPr="00E95BF7" w:rsidRDefault="00796C9E" w:rsidP="00962FFF">
            <w:pPr>
              <w:pStyle w:val="NormalWeb"/>
              <w:spacing w:before="0" w:beforeAutospacing="0" w:after="0" w:afterAutospacing="0"/>
              <w:ind w:right="-334"/>
              <w:rPr>
                <w:rFonts w:ascii="Arial" w:hAnsi="Arial" w:cs="Arial"/>
                <w:bCs/>
                <w:sz w:val="22"/>
                <w:szCs w:val="22"/>
              </w:rPr>
            </w:pPr>
          </w:p>
          <w:p w14:paraId="71269180" w14:textId="77777777" w:rsidR="00796C9E" w:rsidRPr="00E95BF7" w:rsidRDefault="00796C9E" w:rsidP="00962FFF">
            <w:pPr>
              <w:pStyle w:val="NormalWeb"/>
              <w:spacing w:before="0" w:beforeAutospacing="0" w:after="0" w:afterAutospacing="0"/>
              <w:ind w:right="-334"/>
              <w:rPr>
                <w:rFonts w:ascii="Arial" w:hAnsi="Arial" w:cs="Arial"/>
                <w:bCs/>
                <w:sz w:val="22"/>
                <w:szCs w:val="22"/>
              </w:rPr>
            </w:pPr>
          </w:p>
          <w:p w14:paraId="6FA8C6B8" w14:textId="77777777" w:rsidR="00796C9E" w:rsidRPr="00E95BF7" w:rsidRDefault="00796C9E" w:rsidP="00962FFF">
            <w:pPr>
              <w:pStyle w:val="NormalWeb"/>
              <w:spacing w:before="0" w:beforeAutospacing="0" w:after="0" w:afterAutospacing="0"/>
              <w:ind w:right="-334"/>
              <w:rPr>
                <w:rFonts w:ascii="Arial" w:hAnsi="Arial" w:cs="Arial"/>
                <w:bCs/>
                <w:sz w:val="22"/>
                <w:szCs w:val="22"/>
              </w:rPr>
            </w:pPr>
          </w:p>
          <w:p w14:paraId="38DC7E59" w14:textId="77777777" w:rsidR="00796C9E" w:rsidRPr="00E95BF7" w:rsidRDefault="00796C9E" w:rsidP="00962FFF">
            <w:pPr>
              <w:pStyle w:val="NormalWeb"/>
              <w:spacing w:before="0" w:beforeAutospacing="0" w:after="0" w:afterAutospacing="0"/>
              <w:ind w:right="-334"/>
              <w:rPr>
                <w:rFonts w:ascii="Arial" w:hAnsi="Arial" w:cs="Arial"/>
                <w:bCs/>
                <w:sz w:val="22"/>
                <w:szCs w:val="22"/>
              </w:rPr>
            </w:pPr>
          </w:p>
          <w:p w14:paraId="7DE7FFC2" w14:textId="77777777" w:rsidR="00796C9E" w:rsidRPr="00E95BF7" w:rsidRDefault="00796C9E" w:rsidP="00962FFF">
            <w:pPr>
              <w:pStyle w:val="NormalWeb"/>
              <w:spacing w:before="0" w:beforeAutospacing="0" w:after="0" w:afterAutospacing="0"/>
              <w:ind w:right="-334"/>
              <w:rPr>
                <w:rFonts w:ascii="Arial" w:hAnsi="Arial" w:cs="Arial"/>
                <w:bCs/>
                <w:sz w:val="22"/>
                <w:szCs w:val="22"/>
              </w:rPr>
            </w:pPr>
          </w:p>
        </w:tc>
      </w:tr>
      <w:tr w:rsidR="00796C9E" w:rsidRPr="00E95BF7" w14:paraId="67387FA1" w14:textId="77777777" w:rsidTr="00962FFF">
        <w:trPr>
          <w:trHeight w:val="398"/>
        </w:trPr>
        <w:tc>
          <w:tcPr>
            <w:tcW w:w="6768" w:type="dxa"/>
            <w:gridSpan w:val="2"/>
          </w:tcPr>
          <w:p w14:paraId="1BBC4394" w14:textId="77777777" w:rsidR="00796C9E" w:rsidRPr="00E95BF7" w:rsidRDefault="00796C9E" w:rsidP="00962FFF">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Marker 2 / Moderator signature:</w:t>
            </w:r>
          </w:p>
        </w:tc>
        <w:tc>
          <w:tcPr>
            <w:tcW w:w="2088" w:type="dxa"/>
            <w:gridSpan w:val="2"/>
          </w:tcPr>
          <w:p w14:paraId="20794428" w14:textId="77777777" w:rsidR="00796C9E" w:rsidRPr="00E95BF7" w:rsidRDefault="00796C9E" w:rsidP="00962FFF">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Date:</w:t>
            </w:r>
          </w:p>
        </w:tc>
      </w:tr>
      <w:tr w:rsidR="00796C9E" w:rsidRPr="00E95BF7" w14:paraId="6A5D873D" w14:textId="77777777" w:rsidTr="00962FFF">
        <w:trPr>
          <w:trHeight w:val="720"/>
        </w:trPr>
        <w:tc>
          <w:tcPr>
            <w:tcW w:w="8856" w:type="dxa"/>
            <w:gridSpan w:val="4"/>
          </w:tcPr>
          <w:p w14:paraId="7D85402A" w14:textId="77777777" w:rsidR="00796C9E" w:rsidRPr="00E95BF7" w:rsidRDefault="00796C9E" w:rsidP="00962FFF">
            <w:pPr>
              <w:rPr>
                <w:rFonts w:ascii="Arial" w:hAnsi="Arial" w:cs="Arial"/>
                <w:b/>
              </w:rPr>
            </w:pPr>
          </w:p>
          <w:p w14:paraId="7BFB950C" w14:textId="77777777" w:rsidR="00796C9E" w:rsidRPr="00E95BF7" w:rsidRDefault="00796C9E" w:rsidP="00962FFF">
            <w:pPr>
              <w:rPr>
                <w:rFonts w:ascii="Arial" w:hAnsi="Arial" w:cs="Arial"/>
                <w:b/>
              </w:rPr>
            </w:pPr>
            <w:r w:rsidRPr="00E95BF7">
              <w:rPr>
                <w:rFonts w:ascii="Arial" w:hAnsi="Arial" w:cs="Arial"/>
                <w:b/>
              </w:rPr>
              <w:t>External Examiner’s comments (if relevant):</w:t>
            </w:r>
          </w:p>
          <w:p w14:paraId="7D91EF0F" w14:textId="77777777" w:rsidR="00796C9E" w:rsidRPr="00E95BF7" w:rsidRDefault="00796C9E" w:rsidP="00962FFF">
            <w:pPr>
              <w:pStyle w:val="NormalWeb"/>
              <w:spacing w:before="0" w:beforeAutospacing="0" w:after="0" w:afterAutospacing="0"/>
              <w:ind w:right="-334"/>
              <w:rPr>
                <w:rFonts w:ascii="Arial" w:hAnsi="Arial" w:cs="Arial"/>
                <w:bCs/>
                <w:sz w:val="22"/>
                <w:szCs w:val="22"/>
              </w:rPr>
            </w:pPr>
          </w:p>
          <w:p w14:paraId="628CFC79" w14:textId="77777777" w:rsidR="00796C9E" w:rsidRPr="00E95BF7" w:rsidRDefault="00796C9E" w:rsidP="00962FFF">
            <w:pPr>
              <w:pStyle w:val="NormalWeb"/>
              <w:spacing w:before="0" w:beforeAutospacing="0" w:after="0" w:afterAutospacing="0"/>
              <w:ind w:right="-334"/>
              <w:rPr>
                <w:rFonts w:ascii="Arial" w:hAnsi="Arial" w:cs="Arial"/>
                <w:bCs/>
                <w:sz w:val="22"/>
                <w:szCs w:val="22"/>
              </w:rPr>
            </w:pPr>
          </w:p>
          <w:p w14:paraId="55BE88B2" w14:textId="77777777" w:rsidR="00796C9E" w:rsidRPr="00E95BF7" w:rsidRDefault="00796C9E" w:rsidP="00962FFF">
            <w:pPr>
              <w:pStyle w:val="NormalWeb"/>
              <w:spacing w:before="0" w:beforeAutospacing="0" w:after="0" w:afterAutospacing="0"/>
              <w:ind w:right="-334"/>
              <w:rPr>
                <w:rFonts w:ascii="Arial" w:hAnsi="Arial" w:cs="Arial"/>
                <w:bCs/>
                <w:sz w:val="22"/>
                <w:szCs w:val="22"/>
              </w:rPr>
            </w:pPr>
          </w:p>
          <w:p w14:paraId="098EED3C" w14:textId="77777777" w:rsidR="00796C9E" w:rsidRPr="00E95BF7" w:rsidRDefault="00796C9E" w:rsidP="00962FFF">
            <w:pPr>
              <w:pStyle w:val="NormalWeb"/>
              <w:spacing w:before="0" w:beforeAutospacing="0" w:after="0" w:afterAutospacing="0"/>
              <w:ind w:right="-334"/>
              <w:rPr>
                <w:rFonts w:ascii="Arial" w:hAnsi="Arial" w:cs="Arial"/>
                <w:bCs/>
                <w:sz w:val="22"/>
                <w:szCs w:val="22"/>
              </w:rPr>
            </w:pPr>
          </w:p>
          <w:p w14:paraId="4B2FBEBC" w14:textId="77777777" w:rsidR="00796C9E" w:rsidRPr="00E95BF7" w:rsidRDefault="00796C9E" w:rsidP="00962FFF">
            <w:pPr>
              <w:pStyle w:val="NormalWeb"/>
              <w:spacing w:before="0" w:beforeAutospacing="0" w:after="0" w:afterAutospacing="0"/>
              <w:ind w:right="-334"/>
              <w:rPr>
                <w:rFonts w:ascii="Arial" w:hAnsi="Arial" w:cs="Arial"/>
                <w:bCs/>
                <w:sz w:val="22"/>
                <w:szCs w:val="22"/>
              </w:rPr>
            </w:pPr>
          </w:p>
          <w:p w14:paraId="01B50506" w14:textId="77777777" w:rsidR="00796C9E" w:rsidRPr="00E95BF7" w:rsidRDefault="00796C9E" w:rsidP="00962FFF">
            <w:pPr>
              <w:pStyle w:val="NormalWeb"/>
              <w:spacing w:before="0" w:beforeAutospacing="0" w:after="0" w:afterAutospacing="0"/>
              <w:ind w:right="-334"/>
              <w:rPr>
                <w:rFonts w:ascii="Arial" w:hAnsi="Arial" w:cs="Arial"/>
                <w:bCs/>
                <w:sz w:val="22"/>
                <w:szCs w:val="22"/>
              </w:rPr>
            </w:pPr>
          </w:p>
          <w:p w14:paraId="188E58AD" w14:textId="77777777" w:rsidR="00796C9E" w:rsidRPr="00E95BF7" w:rsidRDefault="00796C9E" w:rsidP="00962FFF">
            <w:pPr>
              <w:pStyle w:val="NormalWeb"/>
              <w:spacing w:before="0" w:beforeAutospacing="0" w:after="0" w:afterAutospacing="0"/>
              <w:ind w:right="-334"/>
              <w:rPr>
                <w:rFonts w:ascii="Arial" w:hAnsi="Arial" w:cs="Arial"/>
                <w:bCs/>
                <w:sz w:val="22"/>
                <w:szCs w:val="22"/>
              </w:rPr>
            </w:pPr>
          </w:p>
          <w:p w14:paraId="27EC9FBF" w14:textId="77777777" w:rsidR="00796C9E" w:rsidRPr="00E95BF7" w:rsidRDefault="00796C9E" w:rsidP="00962FFF">
            <w:pPr>
              <w:pStyle w:val="NormalWeb"/>
              <w:spacing w:before="0" w:beforeAutospacing="0" w:after="0" w:afterAutospacing="0"/>
              <w:ind w:right="-334"/>
              <w:rPr>
                <w:rFonts w:ascii="Arial" w:hAnsi="Arial" w:cs="Arial"/>
                <w:bCs/>
                <w:sz w:val="22"/>
                <w:szCs w:val="22"/>
              </w:rPr>
            </w:pPr>
          </w:p>
          <w:p w14:paraId="3BB92406" w14:textId="77777777" w:rsidR="00796C9E" w:rsidRPr="00E95BF7" w:rsidRDefault="00796C9E" w:rsidP="00962FFF">
            <w:pPr>
              <w:pStyle w:val="NormalWeb"/>
              <w:spacing w:before="0" w:beforeAutospacing="0" w:after="0" w:afterAutospacing="0"/>
              <w:ind w:right="-334"/>
              <w:rPr>
                <w:rFonts w:ascii="Arial" w:hAnsi="Arial" w:cs="Arial"/>
                <w:bCs/>
                <w:sz w:val="22"/>
                <w:szCs w:val="22"/>
              </w:rPr>
            </w:pPr>
          </w:p>
          <w:p w14:paraId="48A7D884" w14:textId="77777777" w:rsidR="00796C9E" w:rsidRPr="00E95BF7" w:rsidRDefault="00796C9E" w:rsidP="00962FFF">
            <w:pPr>
              <w:pStyle w:val="NormalWeb"/>
              <w:spacing w:before="0" w:beforeAutospacing="0" w:after="0" w:afterAutospacing="0"/>
              <w:ind w:right="-334"/>
              <w:rPr>
                <w:rFonts w:ascii="Arial" w:hAnsi="Arial" w:cs="Arial"/>
                <w:bCs/>
                <w:sz w:val="22"/>
                <w:szCs w:val="22"/>
              </w:rPr>
            </w:pPr>
          </w:p>
          <w:p w14:paraId="6A2A0DBA" w14:textId="77777777" w:rsidR="00796C9E" w:rsidRPr="00E95BF7" w:rsidRDefault="00796C9E" w:rsidP="00962FFF">
            <w:pPr>
              <w:pStyle w:val="NormalWeb"/>
              <w:spacing w:before="0" w:beforeAutospacing="0" w:after="0" w:afterAutospacing="0"/>
              <w:ind w:right="-334"/>
              <w:rPr>
                <w:rFonts w:ascii="Arial" w:hAnsi="Arial" w:cs="Arial"/>
                <w:bCs/>
                <w:sz w:val="22"/>
                <w:szCs w:val="22"/>
              </w:rPr>
            </w:pPr>
          </w:p>
        </w:tc>
      </w:tr>
      <w:tr w:rsidR="00796C9E" w:rsidRPr="00E95BF7" w14:paraId="38CC9805" w14:textId="77777777" w:rsidTr="00962FFF">
        <w:trPr>
          <w:trHeight w:val="479"/>
        </w:trPr>
        <w:tc>
          <w:tcPr>
            <w:tcW w:w="6768" w:type="dxa"/>
            <w:gridSpan w:val="2"/>
          </w:tcPr>
          <w:p w14:paraId="211A13DE" w14:textId="77777777" w:rsidR="00796C9E" w:rsidRPr="00E95BF7" w:rsidRDefault="00796C9E" w:rsidP="00962FFF">
            <w:pPr>
              <w:rPr>
                <w:rFonts w:ascii="Arial" w:hAnsi="Arial" w:cs="Arial"/>
              </w:rPr>
            </w:pPr>
            <w:r w:rsidRPr="00E95BF7">
              <w:rPr>
                <w:rFonts w:ascii="Arial" w:hAnsi="Arial" w:cs="Arial"/>
              </w:rPr>
              <w:t>External Examiner signature:</w:t>
            </w:r>
          </w:p>
        </w:tc>
        <w:tc>
          <w:tcPr>
            <w:tcW w:w="2088" w:type="dxa"/>
            <w:gridSpan w:val="2"/>
          </w:tcPr>
          <w:p w14:paraId="0078E3EC" w14:textId="77777777" w:rsidR="00796C9E" w:rsidRPr="00E95BF7" w:rsidRDefault="00796C9E" w:rsidP="00962FFF">
            <w:pPr>
              <w:rPr>
                <w:rFonts w:ascii="Arial" w:hAnsi="Arial" w:cs="Arial"/>
              </w:rPr>
            </w:pPr>
            <w:r w:rsidRPr="00E95BF7">
              <w:rPr>
                <w:rFonts w:ascii="Arial" w:hAnsi="Arial" w:cs="Arial"/>
              </w:rPr>
              <w:t>Date:</w:t>
            </w:r>
          </w:p>
        </w:tc>
      </w:tr>
      <w:bookmarkEnd w:id="0"/>
    </w:tbl>
    <w:p w14:paraId="1BF0D601" w14:textId="77777777" w:rsidR="00796C9E" w:rsidRDefault="00796C9E" w:rsidP="00796C9E"/>
    <w:p w14:paraId="014EAFAC" w14:textId="77777777" w:rsidR="00796C9E" w:rsidRDefault="00796C9E" w:rsidP="00796C9E">
      <w:pPr>
        <w:spacing w:after="0" w:line="240" w:lineRule="auto"/>
        <w:jc w:val="center"/>
        <w:rPr>
          <w:rFonts w:eastAsia="Times New Roman" w:cs="Times New Roman"/>
          <w:b/>
          <w:sz w:val="24"/>
          <w:szCs w:val="24"/>
          <w:u w:val="single"/>
          <w:lang w:eastAsia="en-GB"/>
        </w:rPr>
      </w:pPr>
    </w:p>
    <w:p w14:paraId="42B5FBA7" w14:textId="77777777" w:rsidR="00796C9E" w:rsidRDefault="00796C9E" w:rsidP="00796C9E">
      <w:pPr>
        <w:spacing w:after="0" w:line="240" w:lineRule="auto"/>
        <w:jc w:val="center"/>
        <w:rPr>
          <w:rFonts w:eastAsia="Times New Roman" w:cs="Times New Roman"/>
          <w:b/>
          <w:sz w:val="24"/>
          <w:szCs w:val="24"/>
          <w:u w:val="single"/>
          <w:lang w:eastAsia="en-GB"/>
        </w:rPr>
      </w:pPr>
    </w:p>
    <w:p w14:paraId="5A8408EA" w14:textId="77777777" w:rsidR="00796C9E" w:rsidRDefault="00796C9E" w:rsidP="00796C9E">
      <w:pPr>
        <w:spacing w:after="0" w:line="240" w:lineRule="auto"/>
        <w:jc w:val="center"/>
        <w:rPr>
          <w:rFonts w:eastAsia="Times New Roman" w:cs="Times New Roman"/>
          <w:b/>
          <w:sz w:val="24"/>
          <w:szCs w:val="24"/>
          <w:u w:val="single"/>
          <w:lang w:eastAsia="en-GB"/>
        </w:rPr>
      </w:pPr>
    </w:p>
    <w:p w14:paraId="1656D6BF" w14:textId="77777777" w:rsidR="00796C9E" w:rsidRDefault="00796C9E" w:rsidP="00796C9E">
      <w:pPr>
        <w:spacing w:after="0" w:line="240" w:lineRule="auto"/>
        <w:jc w:val="center"/>
        <w:rPr>
          <w:rFonts w:eastAsia="Times New Roman" w:cs="Times New Roman"/>
          <w:b/>
          <w:sz w:val="24"/>
          <w:szCs w:val="24"/>
          <w:u w:val="single"/>
          <w:lang w:eastAsia="en-GB"/>
        </w:rPr>
      </w:pPr>
    </w:p>
    <w:p w14:paraId="1C7919C8" w14:textId="77777777" w:rsidR="00796C9E" w:rsidRDefault="00796C9E" w:rsidP="00796C9E">
      <w:pPr>
        <w:spacing w:after="0" w:line="240" w:lineRule="auto"/>
        <w:jc w:val="center"/>
        <w:rPr>
          <w:rFonts w:eastAsia="Times New Roman" w:cs="Times New Roman"/>
          <w:b/>
          <w:sz w:val="24"/>
          <w:szCs w:val="24"/>
          <w:u w:val="single"/>
          <w:lang w:eastAsia="en-GB"/>
        </w:rPr>
      </w:pPr>
    </w:p>
    <w:p w14:paraId="6CDED091" w14:textId="77777777" w:rsidR="00796C9E" w:rsidRDefault="00796C9E" w:rsidP="00796C9E">
      <w:pPr>
        <w:spacing w:after="0" w:line="240" w:lineRule="auto"/>
        <w:jc w:val="center"/>
        <w:rPr>
          <w:rFonts w:eastAsia="Times New Roman" w:cs="Times New Roman"/>
          <w:b/>
          <w:sz w:val="24"/>
          <w:szCs w:val="24"/>
          <w:u w:val="single"/>
          <w:lang w:eastAsia="en-GB"/>
        </w:rPr>
      </w:pPr>
    </w:p>
    <w:p w14:paraId="3AF42C62" w14:textId="77777777" w:rsidR="00796C9E" w:rsidRDefault="00796C9E" w:rsidP="00796C9E">
      <w:pPr>
        <w:spacing w:after="0" w:line="240" w:lineRule="auto"/>
        <w:jc w:val="center"/>
        <w:rPr>
          <w:rFonts w:eastAsia="Times New Roman" w:cs="Times New Roman"/>
          <w:b/>
          <w:sz w:val="24"/>
          <w:szCs w:val="24"/>
          <w:u w:val="single"/>
          <w:lang w:eastAsia="en-GB"/>
        </w:rPr>
      </w:pPr>
    </w:p>
    <w:p w14:paraId="4457800C" w14:textId="77777777" w:rsidR="00796C9E" w:rsidRDefault="00796C9E" w:rsidP="00796C9E">
      <w:pPr>
        <w:spacing w:after="0" w:line="240" w:lineRule="auto"/>
        <w:jc w:val="center"/>
        <w:rPr>
          <w:rFonts w:eastAsia="Times New Roman" w:cs="Times New Roman"/>
          <w:b/>
          <w:sz w:val="24"/>
          <w:szCs w:val="24"/>
          <w:u w:val="single"/>
          <w:lang w:eastAsia="en-GB"/>
        </w:rPr>
      </w:pPr>
    </w:p>
    <w:p w14:paraId="6BD81B08" w14:textId="77777777" w:rsidR="00796C9E" w:rsidRDefault="00796C9E" w:rsidP="00796C9E">
      <w:pPr>
        <w:spacing w:after="0" w:line="240" w:lineRule="auto"/>
        <w:jc w:val="center"/>
        <w:rPr>
          <w:rFonts w:eastAsia="Times New Roman" w:cs="Times New Roman"/>
          <w:b/>
          <w:sz w:val="24"/>
          <w:szCs w:val="24"/>
          <w:u w:val="single"/>
          <w:lang w:eastAsia="en-GB"/>
        </w:rPr>
      </w:pPr>
    </w:p>
    <w:p w14:paraId="5C91F778" w14:textId="77777777" w:rsidR="00796C9E" w:rsidRDefault="00796C9E" w:rsidP="00796C9E">
      <w:pPr>
        <w:spacing w:after="0" w:line="240" w:lineRule="auto"/>
        <w:jc w:val="center"/>
        <w:rPr>
          <w:rFonts w:eastAsia="Times New Roman" w:cs="Times New Roman"/>
          <w:b/>
          <w:sz w:val="24"/>
          <w:szCs w:val="24"/>
          <w:u w:val="single"/>
          <w:lang w:eastAsia="en-GB"/>
        </w:rPr>
      </w:pPr>
    </w:p>
    <w:p w14:paraId="66CF9048" w14:textId="77777777" w:rsidR="00796C9E" w:rsidRDefault="00796C9E" w:rsidP="00796C9E">
      <w:pPr>
        <w:spacing w:after="0" w:line="240" w:lineRule="auto"/>
        <w:jc w:val="center"/>
        <w:rPr>
          <w:rFonts w:eastAsia="Times New Roman" w:cs="Times New Roman"/>
          <w:b/>
          <w:sz w:val="24"/>
          <w:szCs w:val="24"/>
          <w:u w:val="single"/>
          <w:lang w:eastAsia="en-GB"/>
        </w:rPr>
      </w:pPr>
    </w:p>
    <w:p w14:paraId="43DF0441" w14:textId="77777777" w:rsidR="00796C9E" w:rsidRDefault="00796C9E" w:rsidP="00796C9E">
      <w:pPr>
        <w:spacing w:after="0" w:line="240" w:lineRule="auto"/>
        <w:jc w:val="center"/>
        <w:rPr>
          <w:rFonts w:eastAsia="Times New Roman" w:cs="Times New Roman"/>
          <w:b/>
          <w:sz w:val="24"/>
          <w:szCs w:val="24"/>
          <w:u w:val="single"/>
          <w:lang w:eastAsia="en-GB"/>
        </w:rPr>
      </w:pPr>
    </w:p>
    <w:p w14:paraId="5DB3133E" w14:textId="77777777" w:rsidR="00796C9E" w:rsidRDefault="00796C9E" w:rsidP="00796C9E">
      <w:pPr>
        <w:spacing w:after="0" w:line="240" w:lineRule="auto"/>
        <w:jc w:val="center"/>
        <w:rPr>
          <w:rFonts w:eastAsia="Times New Roman" w:cs="Times New Roman"/>
          <w:b/>
          <w:sz w:val="24"/>
          <w:szCs w:val="24"/>
          <w:u w:val="single"/>
          <w:lang w:eastAsia="en-GB"/>
        </w:rPr>
      </w:pPr>
    </w:p>
    <w:p w14:paraId="39F6255D" w14:textId="77777777" w:rsidR="00796C9E" w:rsidRDefault="00796C9E" w:rsidP="00796C9E">
      <w:pPr>
        <w:spacing w:after="0" w:line="240" w:lineRule="auto"/>
        <w:jc w:val="center"/>
        <w:rPr>
          <w:rFonts w:eastAsia="Times New Roman" w:cs="Times New Roman"/>
          <w:b/>
          <w:sz w:val="24"/>
          <w:szCs w:val="24"/>
          <w:u w:val="single"/>
          <w:lang w:eastAsia="en-GB"/>
        </w:rPr>
      </w:pPr>
    </w:p>
    <w:p w14:paraId="33043395" w14:textId="77777777" w:rsidR="00796C9E" w:rsidRDefault="00796C9E" w:rsidP="00796C9E">
      <w:pPr>
        <w:spacing w:after="0" w:line="240" w:lineRule="auto"/>
        <w:jc w:val="center"/>
        <w:rPr>
          <w:rFonts w:eastAsia="Times New Roman" w:cs="Times New Roman"/>
          <w:b/>
          <w:sz w:val="24"/>
          <w:szCs w:val="24"/>
          <w:u w:val="single"/>
          <w:lang w:eastAsia="en-GB"/>
        </w:rPr>
      </w:pPr>
    </w:p>
    <w:p w14:paraId="433BA9F4" w14:textId="77777777" w:rsidR="00796C9E" w:rsidRDefault="00796C9E" w:rsidP="00796C9E">
      <w:pPr>
        <w:spacing w:after="0" w:line="240" w:lineRule="auto"/>
        <w:jc w:val="center"/>
        <w:rPr>
          <w:rFonts w:eastAsia="Times New Roman" w:cs="Times New Roman"/>
          <w:b/>
          <w:sz w:val="24"/>
          <w:szCs w:val="24"/>
          <w:u w:val="single"/>
          <w:lang w:eastAsia="en-GB"/>
        </w:rPr>
      </w:pPr>
    </w:p>
    <w:p w14:paraId="62F3D2C6" w14:textId="77777777" w:rsidR="00796C9E" w:rsidRDefault="00796C9E" w:rsidP="00796C9E">
      <w:pPr>
        <w:spacing w:after="0" w:line="240" w:lineRule="auto"/>
        <w:jc w:val="center"/>
        <w:rPr>
          <w:rFonts w:eastAsia="Times New Roman" w:cs="Times New Roman"/>
          <w:b/>
          <w:sz w:val="24"/>
          <w:szCs w:val="24"/>
          <w:u w:val="single"/>
          <w:lang w:eastAsia="en-GB"/>
        </w:rPr>
      </w:pPr>
    </w:p>
    <w:p w14:paraId="3EE9EDAA" w14:textId="77777777" w:rsidR="00796C9E" w:rsidRDefault="00796C9E" w:rsidP="00796C9E">
      <w:pPr>
        <w:spacing w:after="0" w:line="240" w:lineRule="auto"/>
        <w:jc w:val="center"/>
        <w:rPr>
          <w:rFonts w:eastAsia="Times New Roman" w:cs="Times New Roman"/>
          <w:b/>
          <w:sz w:val="24"/>
          <w:szCs w:val="24"/>
          <w:u w:val="single"/>
          <w:lang w:eastAsia="en-GB"/>
        </w:rPr>
      </w:pPr>
    </w:p>
    <w:p w14:paraId="2F4F76A3" w14:textId="77777777" w:rsidR="00796C9E" w:rsidRDefault="00796C9E" w:rsidP="00796C9E">
      <w:pPr>
        <w:spacing w:after="0" w:line="240" w:lineRule="auto"/>
        <w:jc w:val="center"/>
        <w:rPr>
          <w:rFonts w:eastAsia="Times New Roman" w:cs="Times New Roman"/>
          <w:b/>
          <w:sz w:val="24"/>
          <w:szCs w:val="24"/>
          <w:u w:val="single"/>
          <w:lang w:eastAsia="en-GB"/>
        </w:rPr>
      </w:pPr>
    </w:p>
    <w:p w14:paraId="168729ED" w14:textId="77777777" w:rsidR="00796C9E" w:rsidRDefault="00796C9E" w:rsidP="00796C9E">
      <w:pPr>
        <w:spacing w:after="0" w:line="240" w:lineRule="auto"/>
        <w:jc w:val="center"/>
        <w:rPr>
          <w:rFonts w:eastAsia="Times New Roman" w:cs="Times New Roman"/>
          <w:b/>
          <w:sz w:val="24"/>
          <w:szCs w:val="24"/>
          <w:u w:val="single"/>
          <w:lang w:eastAsia="en-GB"/>
        </w:rPr>
      </w:pPr>
    </w:p>
    <w:p w14:paraId="5A60335A" w14:textId="77777777" w:rsidR="00796C9E" w:rsidRDefault="00796C9E" w:rsidP="00796C9E">
      <w:pPr>
        <w:spacing w:after="0" w:line="240" w:lineRule="auto"/>
        <w:jc w:val="center"/>
        <w:rPr>
          <w:rFonts w:eastAsia="Times New Roman" w:cs="Times New Roman"/>
          <w:b/>
          <w:sz w:val="24"/>
          <w:szCs w:val="24"/>
          <w:u w:val="single"/>
          <w:lang w:eastAsia="en-GB"/>
        </w:rPr>
      </w:pPr>
    </w:p>
    <w:p w14:paraId="379EDDC3" w14:textId="77777777" w:rsidR="00796C9E" w:rsidRDefault="00796C9E" w:rsidP="00796C9E">
      <w:pPr>
        <w:spacing w:after="0" w:line="240" w:lineRule="auto"/>
        <w:jc w:val="center"/>
        <w:rPr>
          <w:rFonts w:eastAsia="Times New Roman" w:cs="Times New Roman"/>
          <w:b/>
          <w:sz w:val="24"/>
          <w:szCs w:val="24"/>
          <w:u w:val="single"/>
          <w:lang w:eastAsia="en-GB"/>
        </w:rPr>
      </w:pPr>
    </w:p>
    <w:p w14:paraId="64AE420D" w14:textId="77777777" w:rsidR="00796C9E" w:rsidRDefault="00796C9E" w:rsidP="00796C9E">
      <w:pPr>
        <w:spacing w:after="0" w:line="240" w:lineRule="auto"/>
        <w:jc w:val="center"/>
        <w:rPr>
          <w:rFonts w:eastAsia="Times New Roman" w:cs="Times New Roman"/>
          <w:b/>
          <w:sz w:val="24"/>
          <w:szCs w:val="24"/>
          <w:u w:val="single"/>
          <w:lang w:eastAsia="en-GB"/>
        </w:rPr>
      </w:pPr>
    </w:p>
    <w:p w14:paraId="0C28E01E" w14:textId="77777777" w:rsidR="00796C9E" w:rsidRDefault="00796C9E" w:rsidP="00796C9E">
      <w:pPr>
        <w:spacing w:after="0" w:line="240" w:lineRule="auto"/>
        <w:jc w:val="center"/>
        <w:rPr>
          <w:rFonts w:eastAsia="Times New Roman" w:cs="Times New Roman"/>
          <w:b/>
          <w:sz w:val="24"/>
          <w:szCs w:val="24"/>
          <w:u w:val="single"/>
          <w:lang w:eastAsia="en-GB"/>
        </w:rPr>
      </w:pPr>
    </w:p>
    <w:p w14:paraId="172A87E3" w14:textId="77777777" w:rsidR="00796C9E" w:rsidRDefault="00796C9E" w:rsidP="00796C9E">
      <w:pPr>
        <w:spacing w:after="0" w:line="240" w:lineRule="auto"/>
        <w:jc w:val="center"/>
        <w:rPr>
          <w:rFonts w:eastAsia="Times New Roman" w:cs="Times New Roman"/>
          <w:b/>
          <w:sz w:val="24"/>
          <w:szCs w:val="24"/>
          <w:u w:val="single"/>
          <w:lang w:eastAsia="en-GB"/>
        </w:rPr>
      </w:pPr>
    </w:p>
    <w:p w14:paraId="55ABD0A7" w14:textId="77777777" w:rsidR="00796C9E" w:rsidRDefault="00796C9E" w:rsidP="00796C9E">
      <w:pPr>
        <w:spacing w:after="0" w:line="240" w:lineRule="auto"/>
        <w:jc w:val="center"/>
        <w:rPr>
          <w:rFonts w:eastAsia="Times New Roman" w:cs="Times New Roman"/>
          <w:b/>
          <w:sz w:val="24"/>
          <w:szCs w:val="24"/>
          <w:u w:val="single"/>
          <w:lang w:eastAsia="en-GB"/>
        </w:rPr>
      </w:pPr>
    </w:p>
    <w:p w14:paraId="3B70718E" w14:textId="77777777" w:rsidR="00796C9E" w:rsidRDefault="00796C9E" w:rsidP="00796C9E">
      <w:pPr>
        <w:spacing w:after="0" w:line="240" w:lineRule="auto"/>
        <w:jc w:val="center"/>
        <w:rPr>
          <w:rFonts w:eastAsia="Times New Roman" w:cs="Times New Roman"/>
          <w:b/>
          <w:sz w:val="24"/>
          <w:szCs w:val="24"/>
          <w:u w:val="single"/>
          <w:lang w:eastAsia="en-GB"/>
        </w:rPr>
      </w:pPr>
    </w:p>
    <w:p w14:paraId="63C13B16" w14:textId="77777777" w:rsidR="00796C9E" w:rsidRDefault="00796C9E" w:rsidP="00796C9E">
      <w:pPr>
        <w:spacing w:after="0" w:line="240" w:lineRule="auto"/>
        <w:jc w:val="center"/>
        <w:rPr>
          <w:rFonts w:eastAsia="Times New Roman" w:cs="Times New Roman"/>
          <w:b/>
          <w:sz w:val="24"/>
          <w:szCs w:val="24"/>
          <w:u w:val="single"/>
          <w:lang w:eastAsia="en-GB"/>
        </w:rPr>
      </w:pPr>
    </w:p>
    <w:p w14:paraId="0704A76B" w14:textId="77777777" w:rsidR="00796C9E" w:rsidRDefault="00796C9E" w:rsidP="00796C9E">
      <w:pPr>
        <w:spacing w:after="0" w:line="240" w:lineRule="auto"/>
        <w:jc w:val="center"/>
        <w:rPr>
          <w:rFonts w:eastAsia="Times New Roman" w:cs="Times New Roman"/>
          <w:b/>
          <w:sz w:val="24"/>
          <w:szCs w:val="24"/>
          <w:u w:val="single"/>
          <w:lang w:eastAsia="en-GB"/>
        </w:rPr>
      </w:pPr>
    </w:p>
    <w:p w14:paraId="589760FA" w14:textId="77777777" w:rsidR="00796C9E" w:rsidRDefault="00796C9E" w:rsidP="00796C9E">
      <w:pPr>
        <w:spacing w:after="0" w:line="240" w:lineRule="auto"/>
        <w:jc w:val="center"/>
        <w:rPr>
          <w:rFonts w:eastAsia="Times New Roman" w:cs="Times New Roman"/>
          <w:b/>
          <w:sz w:val="24"/>
          <w:szCs w:val="24"/>
          <w:u w:val="single"/>
          <w:lang w:eastAsia="en-GB"/>
        </w:rPr>
      </w:pPr>
    </w:p>
    <w:p w14:paraId="42703DFF" w14:textId="77777777" w:rsidR="00796C9E" w:rsidRDefault="00796C9E" w:rsidP="00796C9E">
      <w:pPr>
        <w:spacing w:after="0" w:line="240" w:lineRule="auto"/>
        <w:jc w:val="center"/>
        <w:rPr>
          <w:rFonts w:eastAsia="Times New Roman" w:cs="Times New Roman"/>
          <w:b/>
          <w:sz w:val="24"/>
          <w:szCs w:val="24"/>
          <w:u w:val="single"/>
          <w:lang w:eastAsia="en-GB"/>
        </w:rPr>
      </w:pPr>
    </w:p>
    <w:p w14:paraId="3E55CF58" w14:textId="77777777" w:rsidR="007130F4" w:rsidRDefault="007130F4" w:rsidP="00796C9E">
      <w:pPr>
        <w:spacing w:after="0"/>
        <w:rPr>
          <w:b/>
          <w:u w:val="single"/>
        </w:rPr>
      </w:pPr>
    </w:p>
    <w:p w14:paraId="5939B4A1" w14:textId="70A67EA7" w:rsidR="009C0E2F" w:rsidRPr="00877D60" w:rsidRDefault="009C0E2F" w:rsidP="00312524">
      <w:pPr>
        <w:jc w:val="center"/>
        <w:rPr>
          <w:b/>
          <w:u w:val="single"/>
        </w:rPr>
      </w:pPr>
      <w:r w:rsidRPr="00877D60">
        <w:rPr>
          <w:b/>
          <w:u w:val="single"/>
        </w:rPr>
        <w:t>C</w:t>
      </w:r>
      <w:r w:rsidR="00795CFE" w:rsidRPr="00877D60">
        <w:rPr>
          <w:b/>
          <w:u w:val="single"/>
        </w:rPr>
        <w:t>an theurgy be considered a form of magic?</w:t>
      </w:r>
    </w:p>
    <w:p w14:paraId="618224B5" w14:textId="13A20606" w:rsidR="000E196D" w:rsidRDefault="00810A82" w:rsidP="00877D60">
      <w:pPr>
        <w:spacing w:before="240"/>
      </w:pPr>
      <w:r>
        <w:t>I</w:t>
      </w:r>
      <w:r w:rsidR="005E4F5A">
        <w:t xml:space="preserve">n </w:t>
      </w:r>
      <w:r w:rsidR="005E4F5A" w:rsidRPr="005E4F5A">
        <w:rPr>
          <w:i/>
        </w:rPr>
        <w:t>The Golden Bough</w:t>
      </w:r>
      <w:r w:rsidR="005E4F5A">
        <w:t xml:space="preserve">, </w:t>
      </w:r>
      <w:r>
        <w:t xml:space="preserve">Frazer </w:t>
      </w:r>
      <w:r w:rsidR="000B69E6">
        <w:t>attempted to define</w:t>
      </w:r>
      <w:r w:rsidR="005E4F5A">
        <w:t xml:space="preserve"> the difference between magic and religion in the classical world as being one where magic sought to dominate and coerce natural forces in accord with the determination of the magician, whereas religion attempted to appease and gain favour </w:t>
      </w:r>
      <w:r w:rsidR="00074275">
        <w:t xml:space="preserve">with the all-powerful; </w:t>
      </w:r>
      <w:r w:rsidR="000D67EE">
        <w:t>Frazer acknowledged, however,</w:t>
      </w:r>
      <w:r w:rsidR="00074275">
        <w:t xml:space="preserve"> that priestly </w:t>
      </w:r>
      <w:r w:rsidR="00E63240">
        <w:t>religious-</w:t>
      </w:r>
      <w:r w:rsidR="00074275">
        <w:t>activities are, at times, barely distinguishable from those of the magician.</w:t>
      </w:r>
      <w:r w:rsidR="00074275">
        <w:rPr>
          <w:rStyle w:val="FootnoteReference"/>
        </w:rPr>
        <w:footnoteReference w:id="1"/>
      </w:r>
      <w:r w:rsidR="00074275">
        <w:t xml:space="preserve">  </w:t>
      </w:r>
    </w:p>
    <w:p w14:paraId="0A34DA21" w14:textId="49CDD60B" w:rsidR="00B70449" w:rsidRDefault="00EC3E6F">
      <w:r>
        <w:t xml:space="preserve">In </w:t>
      </w:r>
      <w:r w:rsidR="0032396A" w:rsidRPr="00521627">
        <w:rPr>
          <w:i/>
        </w:rPr>
        <w:t>De Mysteriis</w:t>
      </w:r>
      <w:r w:rsidR="006412C2">
        <w:t>,</w:t>
      </w:r>
      <w:r w:rsidR="0032396A">
        <w:t xml:space="preserve"> </w:t>
      </w:r>
      <w:r w:rsidR="00521627">
        <w:t xml:space="preserve">under the </w:t>
      </w:r>
      <w:r w:rsidR="00FB63EE">
        <w:t>Egyptian</w:t>
      </w:r>
      <w:r w:rsidR="00521627">
        <w:t xml:space="preserve"> name of Abamon, </w:t>
      </w:r>
      <w:r w:rsidR="0032396A">
        <w:t>Iamblichus attempt</w:t>
      </w:r>
      <w:r w:rsidR="00FD55AB">
        <w:t>ed</w:t>
      </w:r>
      <w:r w:rsidR="0032396A">
        <w:t xml:space="preserve"> to a</w:t>
      </w:r>
      <w:r w:rsidR="00521627">
        <w:t>ddress</w:t>
      </w:r>
      <w:r w:rsidR="0032396A">
        <w:t xml:space="preserve"> a series of </w:t>
      </w:r>
      <w:r w:rsidR="00521627">
        <w:t>concerns</w:t>
      </w:r>
      <w:r w:rsidR="00FD55AB">
        <w:t xml:space="preserve"> </w:t>
      </w:r>
      <w:r w:rsidR="0032396A">
        <w:t xml:space="preserve">put </w:t>
      </w:r>
      <w:r w:rsidR="00FD55AB">
        <w:t xml:space="preserve">in writing </w:t>
      </w:r>
      <w:r w:rsidR="0032396A">
        <w:t>to h</w:t>
      </w:r>
      <w:r w:rsidR="00521627">
        <w:t>is student</w:t>
      </w:r>
      <w:r w:rsidR="00FD55AB">
        <w:t>, Anebo,</w:t>
      </w:r>
      <w:r w:rsidR="005E4F5A">
        <w:t xml:space="preserve"> </w:t>
      </w:r>
      <w:r w:rsidR="0032396A">
        <w:t xml:space="preserve">by </w:t>
      </w:r>
      <w:r>
        <w:t>Porphyr</w:t>
      </w:r>
      <w:r w:rsidR="005E4F5A">
        <w:t>y</w:t>
      </w:r>
      <w:r w:rsidR="005E4F5A" w:rsidRPr="00FD55AB">
        <w:t>.</w:t>
      </w:r>
      <w:r w:rsidR="005E4F5A" w:rsidRPr="00FD55AB">
        <w:rPr>
          <w:rStyle w:val="FootnoteReference"/>
        </w:rPr>
        <w:footnoteReference w:id="2"/>
      </w:r>
      <w:r w:rsidR="005E4F5A">
        <w:t xml:space="preserve">  </w:t>
      </w:r>
      <w:r w:rsidR="004E087D">
        <w:t xml:space="preserve">According to Clarke, </w:t>
      </w:r>
      <w:r w:rsidR="005E4F5A">
        <w:t>Porphyry</w:t>
      </w:r>
      <w:r w:rsidR="0032396A">
        <w:t xml:space="preserve"> </w:t>
      </w:r>
      <w:r w:rsidR="004E087D">
        <w:t>had misgivings</w:t>
      </w:r>
      <w:r w:rsidR="0032396A">
        <w:t xml:space="preserve"> </w:t>
      </w:r>
      <w:r w:rsidR="00521627">
        <w:t>abou</w:t>
      </w:r>
      <w:r w:rsidR="000767B7">
        <w:t>t Iamblichus’</w:t>
      </w:r>
      <w:r w:rsidR="0032396A">
        <w:t xml:space="preserve"> </w:t>
      </w:r>
      <w:r>
        <w:t>theurgy</w:t>
      </w:r>
      <w:r w:rsidR="00E63240">
        <w:t>,</w:t>
      </w:r>
      <w:r w:rsidR="004E087D">
        <w:t xml:space="preserve"> whose practices he saw as involving </w:t>
      </w:r>
      <w:r w:rsidR="0032396A">
        <w:t xml:space="preserve">unsavoury </w:t>
      </w:r>
      <w:r w:rsidR="00A63F90">
        <w:t xml:space="preserve">Egyptian </w:t>
      </w:r>
      <w:r w:rsidR="0032396A">
        <w:t>magical practices.</w:t>
      </w:r>
      <w:r w:rsidR="00521627">
        <w:rPr>
          <w:rStyle w:val="FootnoteReference"/>
        </w:rPr>
        <w:footnoteReference w:id="3"/>
      </w:r>
      <w:r w:rsidR="00E14AD6">
        <w:t xml:space="preserve"> </w:t>
      </w:r>
      <w:r w:rsidR="000D67EE">
        <w:t xml:space="preserve"> </w:t>
      </w:r>
      <w:r w:rsidR="005E0D92">
        <w:t>Porphyry was not alone in this view</w:t>
      </w:r>
      <w:r w:rsidR="00DD7BF3">
        <w:t xml:space="preserve">.  </w:t>
      </w:r>
      <w:r w:rsidR="005E0D92">
        <w:t>Lewis conveys that ‘in antiquity, some Christian critics of pagan philosophy saw “theurgy” as merely a fancy term for magic’</w:t>
      </w:r>
      <w:r w:rsidR="00F7002B">
        <w:t>, an</w:t>
      </w:r>
      <w:r w:rsidR="00DD7BF3">
        <w:t>d points to</w:t>
      </w:r>
      <w:r w:rsidR="005E0D92">
        <w:t xml:space="preserve"> </w:t>
      </w:r>
      <w:r w:rsidR="00F7002B">
        <w:t xml:space="preserve">Augustine’s scornful view that, under the respectable name of </w:t>
      </w:r>
      <w:r w:rsidR="00DD7BF3">
        <w:t>‘“</w:t>
      </w:r>
      <w:r w:rsidR="00F7002B">
        <w:t>theurgy</w:t>
      </w:r>
      <w:r w:rsidR="00DD7BF3">
        <w:t>”’</w:t>
      </w:r>
      <w:r w:rsidR="00F7002B">
        <w:t xml:space="preserve">, nothing better than </w:t>
      </w:r>
      <w:r w:rsidR="00DD7BF3">
        <w:t>‘“</w:t>
      </w:r>
      <w:r w:rsidR="00F7002B">
        <w:t>goetic magic</w:t>
      </w:r>
      <w:r w:rsidR="00DD7BF3">
        <w:t>”’</w:t>
      </w:r>
      <w:r w:rsidR="00767A75">
        <w:t>,</w:t>
      </w:r>
      <w:r w:rsidR="00F7002B">
        <w:t xml:space="preserve"> was being practiced</w:t>
      </w:r>
      <w:r w:rsidR="00DD7BF3">
        <w:t>.</w:t>
      </w:r>
      <w:r w:rsidR="00DD7BF3">
        <w:rPr>
          <w:rStyle w:val="FootnoteReference"/>
        </w:rPr>
        <w:footnoteReference w:id="4"/>
      </w:r>
      <w:r w:rsidR="00767A75">
        <w:t xml:space="preserve">  </w:t>
      </w:r>
      <w:r w:rsidR="00B70449">
        <w:t>Iamblichus himself was resolute that there was a difference between</w:t>
      </w:r>
      <w:r w:rsidR="004D4FF0">
        <w:t xml:space="preserve"> </w:t>
      </w:r>
      <w:r w:rsidR="00767A75">
        <w:t xml:space="preserve">the sort of  </w:t>
      </w:r>
      <w:r w:rsidR="004D4FF0">
        <w:t xml:space="preserve">magic </w:t>
      </w:r>
      <w:r w:rsidR="00767A75">
        <w:t xml:space="preserve">that was mere sorcery </w:t>
      </w:r>
      <w:r w:rsidR="00767A75" w:rsidRPr="00B20251">
        <w:rPr>
          <w:i/>
        </w:rPr>
        <w:t>(goeteia</w:t>
      </w:r>
      <w:r w:rsidR="00767A75">
        <w:t xml:space="preserve">) </w:t>
      </w:r>
      <w:r w:rsidR="004D4FF0">
        <w:t>and</w:t>
      </w:r>
      <w:r w:rsidR="00B70449">
        <w:t xml:space="preserve"> theurgy which was practiced in a framework of philosophy and sacred rites</w:t>
      </w:r>
      <w:r w:rsidR="004D4FF0">
        <w:t>.</w:t>
      </w:r>
      <w:r w:rsidR="00B70449">
        <w:rPr>
          <w:rStyle w:val="FootnoteReference"/>
        </w:rPr>
        <w:footnoteReference w:id="5"/>
      </w:r>
      <w:r w:rsidR="004D4FF0">
        <w:t xml:space="preserve">  </w:t>
      </w:r>
    </w:p>
    <w:p w14:paraId="3A231A52" w14:textId="4865B12C" w:rsidR="0032396A" w:rsidRDefault="00AF1083">
      <w:r>
        <w:t xml:space="preserve">This essay investigates whether </w:t>
      </w:r>
      <w:r w:rsidR="000767B7">
        <w:t xml:space="preserve">the rituals and practices of </w:t>
      </w:r>
      <w:r w:rsidR="00E33BCD">
        <w:t xml:space="preserve">theurgy </w:t>
      </w:r>
      <w:r w:rsidR="005E4F5A">
        <w:t xml:space="preserve">reveal </w:t>
      </w:r>
      <w:r w:rsidR="000767B7">
        <w:t>themselves</w:t>
      </w:r>
      <w:r w:rsidR="005E4F5A">
        <w:t xml:space="preserve"> </w:t>
      </w:r>
      <w:r w:rsidR="000D67EE">
        <w:t>to be</w:t>
      </w:r>
      <w:r w:rsidR="005E4F5A">
        <w:t xml:space="preserve"> form</w:t>
      </w:r>
      <w:r w:rsidR="000767B7">
        <w:t>s</w:t>
      </w:r>
      <w:r w:rsidR="00E33BCD">
        <w:t xml:space="preserve"> of magic</w:t>
      </w:r>
      <w:r w:rsidR="00767A75">
        <w:t>.</w:t>
      </w:r>
      <w:r w:rsidR="005E4F5A">
        <w:t xml:space="preserve"> </w:t>
      </w:r>
      <w:r w:rsidR="00E33BCD">
        <w:t xml:space="preserve"> </w:t>
      </w:r>
      <w:r w:rsidR="00FB63EE">
        <w:t>To</w:t>
      </w:r>
      <w:r w:rsidR="0032396A">
        <w:t xml:space="preserve"> address the question, theurgy and magic</w:t>
      </w:r>
      <w:r w:rsidR="00BF2901">
        <w:t xml:space="preserve"> </w:t>
      </w:r>
      <w:r w:rsidR="0032396A">
        <w:t>must first be de</w:t>
      </w:r>
      <w:r w:rsidR="00E63240">
        <w:t>scrib</w:t>
      </w:r>
      <w:r w:rsidR="000D67EE">
        <w:t>ed</w:t>
      </w:r>
      <w:r w:rsidR="0032396A">
        <w:t xml:space="preserve">.  </w:t>
      </w:r>
    </w:p>
    <w:p w14:paraId="2E1BE2C2" w14:textId="77777777" w:rsidR="00257E90" w:rsidRDefault="00257E90" w:rsidP="007130F4">
      <w:pPr>
        <w:spacing w:after="0"/>
      </w:pPr>
    </w:p>
    <w:p w14:paraId="0875E0D3" w14:textId="77777777" w:rsidR="000D67EE" w:rsidRDefault="00FD55AB" w:rsidP="00C03645">
      <w:pPr>
        <w:rPr>
          <w:b/>
        </w:rPr>
      </w:pPr>
      <w:r>
        <w:rPr>
          <w:b/>
        </w:rPr>
        <w:t>T</w:t>
      </w:r>
      <w:r w:rsidR="007350D1">
        <w:rPr>
          <w:b/>
        </w:rPr>
        <w:t>heurgy.</w:t>
      </w:r>
    </w:p>
    <w:p w14:paraId="14E13961" w14:textId="1E60AED9" w:rsidR="005F0987" w:rsidRPr="000D67EE" w:rsidRDefault="000D67EE" w:rsidP="00C03645">
      <w:pPr>
        <w:rPr>
          <w:b/>
        </w:rPr>
      </w:pPr>
      <w:r>
        <w:t>Dodds charted that t</w:t>
      </w:r>
      <w:r w:rsidR="006D48B8">
        <w:t>he Chaldean Oracles laid the foundations for theurgy</w:t>
      </w:r>
      <w:r w:rsidR="006412C2">
        <w:t>;</w:t>
      </w:r>
      <w:r w:rsidR="006D48B8">
        <w:rPr>
          <w:rStyle w:val="FootnoteReference"/>
        </w:rPr>
        <w:footnoteReference w:id="6"/>
      </w:r>
      <w:r w:rsidR="006D48B8">
        <w:t xml:space="preserve"> </w:t>
      </w:r>
      <w:r w:rsidR="006412C2">
        <w:t>a</w:t>
      </w:r>
      <w:r>
        <w:t>nd</w:t>
      </w:r>
      <w:r w:rsidR="006412C2">
        <w:t>,</w:t>
      </w:r>
      <w:r w:rsidR="00CB0642">
        <w:t xml:space="preserve"> Lewis </w:t>
      </w:r>
      <w:r>
        <w:t>describe</w:t>
      </w:r>
      <w:r w:rsidR="00CB0642">
        <w:t>s that</w:t>
      </w:r>
      <w:r w:rsidR="006412C2">
        <w:t xml:space="preserve"> theurgy was informed by Greek and Egyptian traditions.</w:t>
      </w:r>
      <w:r w:rsidR="006412C2">
        <w:rPr>
          <w:rStyle w:val="FootnoteReference"/>
        </w:rPr>
        <w:footnoteReference w:id="7"/>
      </w:r>
      <w:r w:rsidR="006412C2">
        <w:t xml:space="preserve">  </w:t>
      </w:r>
      <w:r>
        <w:t xml:space="preserve">According to </w:t>
      </w:r>
      <w:r w:rsidR="000F1C84">
        <w:t>Shaw</w:t>
      </w:r>
      <w:r>
        <w:t xml:space="preserve">, </w:t>
      </w:r>
      <w:r w:rsidR="000F1C84">
        <w:t>t</w:t>
      </w:r>
      <w:r w:rsidR="005F0987">
        <w:t>h</w:t>
      </w:r>
      <w:r w:rsidR="000F1C84">
        <w:t xml:space="preserve">e </w:t>
      </w:r>
      <w:r w:rsidR="00CB0642">
        <w:t xml:space="preserve">term </w:t>
      </w:r>
      <w:r w:rsidR="00CB0642" w:rsidRPr="00CB0642">
        <w:rPr>
          <w:i/>
        </w:rPr>
        <w:t>theourgia</w:t>
      </w:r>
      <w:r w:rsidR="00CB0642">
        <w:t xml:space="preserve"> </w:t>
      </w:r>
      <w:r w:rsidR="00371839">
        <w:t xml:space="preserve">(god-work) </w:t>
      </w:r>
      <w:r w:rsidR="00CB0642">
        <w:t xml:space="preserve">was first used by Platonists of the second century to ‘describe the deifying power of the </w:t>
      </w:r>
      <w:r w:rsidR="009D4336">
        <w:t xml:space="preserve">Chaldean </w:t>
      </w:r>
      <w:r w:rsidR="00CB0642">
        <w:t>rituals’</w:t>
      </w:r>
      <w:r w:rsidR="00186589">
        <w:t xml:space="preserve"> and </w:t>
      </w:r>
      <w:r w:rsidR="001A3BE7">
        <w:t>it holds a qualitatively different meaning to</w:t>
      </w:r>
      <w:r w:rsidR="001A3BE7" w:rsidRPr="00371839">
        <w:rPr>
          <w:i/>
        </w:rPr>
        <w:t xml:space="preserve"> theologia</w:t>
      </w:r>
      <w:r w:rsidR="001A3BE7">
        <w:t xml:space="preserve"> (god-talk). </w:t>
      </w:r>
      <w:r w:rsidR="004F4116">
        <w:rPr>
          <w:rStyle w:val="FootnoteReference"/>
        </w:rPr>
        <w:footnoteReference w:id="8"/>
      </w:r>
      <w:r w:rsidR="006D48B8">
        <w:t xml:space="preserve"> </w:t>
      </w:r>
      <w:r>
        <w:t xml:space="preserve"> Shaw confirms that</w:t>
      </w:r>
      <w:r w:rsidR="001A3BE7">
        <w:t xml:space="preserve"> Iamblichus w</w:t>
      </w:r>
      <w:r w:rsidR="00186589">
        <w:t>as keen to demonstrate</w:t>
      </w:r>
      <w:r w:rsidR="001A3BE7">
        <w:t xml:space="preserve"> the </w:t>
      </w:r>
      <w:r>
        <w:t xml:space="preserve">philosophical substance of the </w:t>
      </w:r>
      <w:r w:rsidR="001A3BE7">
        <w:t>Chaldean rites</w:t>
      </w:r>
      <w:r>
        <w:t xml:space="preserve">, ensuring they were integral to the </w:t>
      </w:r>
      <w:r w:rsidR="001A3BE7">
        <w:t>sacred practice of theurgy which was, accordingly,</w:t>
      </w:r>
      <w:r w:rsidR="00E63240">
        <w:t xml:space="preserve"> </w:t>
      </w:r>
      <w:r w:rsidR="001A3BE7">
        <w:lastRenderedPageBreak/>
        <w:t>‘intimately tied to the invocation of the natural powers of the cosmos’</w:t>
      </w:r>
      <w:r w:rsidR="00BE5D7D">
        <w:t>,</w:t>
      </w:r>
      <w:r w:rsidR="00371839">
        <w:rPr>
          <w:rStyle w:val="FootnoteReference"/>
        </w:rPr>
        <w:footnoteReference w:id="9"/>
      </w:r>
      <w:r w:rsidR="00BE5D7D">
        <w:t xml:space="preserve"> and w</w:t>
      </w:r>
      <w:r w:rsidR="00D83E0C">
        <w:t>as</w:t>
      </w:r>
      <w:r w:rsidR="008B22F0">
        <w:t xml:space="preserve"> </w:t>
      </w:r>
      <w:r w:rsidR="00BE5D7D">
        <w:t xml:space="preserve">given expression </w:t>
      </w:r>
      <w:r w:rsidR="008E0C36">
        <w:t xml:space="preserve">through </w:t>
      </w:r>
      <w:r w:rsidR="00986434">
        <w:t xml:space="preserve">ritual and </w:t>
      </w:r>
      <w:r w:rsidR="00BE5D7D">
        <w:t>symbolism</w:t>
      </w:r>
      <w:r w:rsidR="008B22F0">
        <w:t>.</w:t>
      </w:r>
      <w:r w:rsidR="008B22F0">
        <w:rPr>
          <w:rStyle w:val="FootnoteReference"/>
        </w:rPr>
        <w:footnoteReference w:id="10"/>
      </w:r>
    </w:p>
    <w:p w14:paraId="3A141B80" w14:textId="41AEC77D" w:rsidR="00082CF6" w:rsidRDefault="00186589" w:rsidP="00082CF6">
      <w:r>
        <w:t>I</w:t>
      </w:r>
      <w:r w:rsidR="00ED200F">
        <w:t>n the late 3</w:t>
      </w:r>
      <w:r w:rsidR="00ED200F" w:rsidRPr="00A356EB">
        <w:rPr>
          <w:vertAlign w:val="superscript"/>
        </w:rPr>
        <w:t>rd</w:t>
      </w:r>
      <w:r w:rsidR="00ED200F">
        <w:t xml:space="preserve"> century some Platonists began to claim that the soul was pure and untarnished by corporeality and that heaven </w:t>
      </w:r>
      <w:r w:rsidR="00D83E0C">
        <w:t>wa</w:t>
      </w:r>
      <w:r w:rsidR="00ED200F">
        <w:t>s its rightful abode</w:t>
      </w:r>
      <w:r>
        <w:t>, Shaw tells</w:t>
      </w:r>
      <w:r w:rsidR="002F77EF" w:rsidRPr="002F77EF">
        <w:t xml:space="preserve"> </w:t>
      </w:r>
      <w:r w:rsidR="002F77EF">
        <w:t>that</w:t>
      </w:r>
      <w:r w:rsidR="00BE5D7D">
        <w:t>,</w:t>
      </w:r>
      <w:r w:rsidR="002F77EF">
        <w:t xml:space="preserve"> f</w:t>
      </w:r>
      <w:r w:rsidR="002F77EF" w:rsidRPr="002D3BA7">
        <w:t>or</w:t>
      </w:r>
      <w:r w:rsidR="002F77EF">
        <w:t xml:space="preserve"> </w:t>
      </w:r>
      <w:r w:rsidR="002F77EF" w:rsidRPr="002D3BA7">
        <w:t>Iamblichus,</w:t>
      </w:r>
      <w:r w:rsidR="002F77EF">
        <w:t xml:space="preserve"> this teaching was an anathema;</w:t>
      </w:r>
      <w:r w:rsidR="002F77EF" w:rsidRPr="002D3BA7">
        <w:t xml:space="preserve"> </w:t>
      </w:r>
      <w:r w:rsidR="00D83E0C">
        <w:t xml:space="preserve">rather, </w:t>
      </w:r>
      <w:r w:rsidR="002F77EF">
        <w:t xml:space="preserve">the </w:t>
      </w:r>
      <w:r w:rsidR="00210EA7">
        <w:t xml:space="preserve">theurgical position </w:t>
      </w:r>
      <w:r w:rsidR="00E63240">
        <w:t>wa</w:t>
      </w:r>
      <w:r w:rsidR="00210EA7">
        <w:t xml:space="preserve">s that </w:t>
      </w:r>
      <w:r w:rsidR="002F77EF">
        <w:t>s</w:t>
      </w:r>
      <w:r w:rsidR="002F77EF" w:rsidRPr="002D3BA7">
        <w:t xml:space="preserve">oul has </w:t>
      </w:r>
      <w:r w:rsidR="002F77EF">
        <w:t xml:space="preserve">a </w:t>
      </w:r>
      <w:r w:rsidR="002F77EF" w:rsidRPr="002D3BA7">
        <w:t xml:space="preserve">dual </w:t>
      </w:r>
      <w:r w:rsidR="00FB63EE" w:rsidRPr="002D3BA7">
        <w:t xml:space="preserve">purpose </w:t>
      </w:r>
      <w:r w:rsidR="00FB63EE">
        <w:t>-</w:t>
      </w:r>
      <w:r w:rsidR="002F77EF">
        <w:t xml:space="preserve"> </w:t>
      </w:r>
      <w:r w:rsidR="00D83E0C">
        <w:t xml:space="preserve">both </w:t>
      </w:r>
      <w:r w:rsidR="002F77EF" w:rsidRPr="002D3BA7">
        <w:t>divine and corporeal</w:t>
      </w:r>
      <w:r w:rsidR="00E63240">
        <w:t xml:space="preserve"> and that,</w:t>
      </w:r>
      <w:r w:rsidR="00BE5D7D">
        <w:t xml:space="preserve"> through the soul’s duality</w:t>
      </w:r>
      <w:r w:rsidR="00E63240">
        <w:t>,</w:t>
      </w:r>
      <w:r w:rsidR="00BE5D7D">
        <w:t xml:space="preserve"> divinisation is possible.</w:t>
      </w:r>
      <w:r w:rsidR="00ED200F">
        <w:rPr>
          <w:rStyle w:val="FootnoteReference"/>
        </w:rPr>
        <w:footnoteReference w:id="11"/>
      </w:r>
      <w:r w:rsidR="00ED200F">
        <w:t xml:space="preserve"> </w:t>
      </w:r>
    </w:p>
    <w:p w14:paraId="573E4FF4" w14:textId="70C96FB0" w:rsidR="00082CF6" w:rsidRDefault="00210EA7" w:rsidP="00082CF6">
      <w:r>
        <w:t>Dillon s</w:t>
      </w:r>
      <w:r w:rsidR="00E63240">
        <w:t>ees</w:t>
      </w:r>
      <w:r>
        <w:t xml:space="preserve"> theurgy as arising from</w:t>
      </w:r>
      <w:r w:rsidR="00B37009">
        <w:t xml:space="preserve"> a search for</w:t>
      </w:r>
      <w:r w:rsidR="00082CF6">
        <w:t xml:space="preserve"> the </w:t>
      </w:r>
      <w:r w:rsidR="00C06BF2">
        <w:t xml:space="preserve">appropriate </w:t>
      </w:r>
      <w:r w:rsidR="00082CF6">
        <w:t xml:space="preserve">way </w:t>
      </w:r>
      <w:r w:rsidR="00C06BF2">
        <w:t xml:space="preserve">for philosophers </w:t>
      </w:r>
      <w:r w:rsidR="00D575AA">
        <w:t xml:space="preserve">to interact with divine entities </w:t>
      </w:r>
      <w:r w:rsidR="00C03645">
        <w:t>and influence them to bring about desired outcomes</w:t>
      </w:r>
      <w:r w:rsidR="004C4964">
        <w:t>.</w:t>
      </w:r>
      <w:r w:rsidR="004C4964">
        <w:rPr>
          <w:rStyle w:val="FootnoteReference"/>
        </w:rPr>
        <w:footnoteReference w:id="12"/>
      </w:r>
      <w:r w:rsidR="004C4964">
        <w:t xml:space="preserve"> </w:t>
      </w:r>
      <w:r>
        <w:t xml:space="preserve"> </w:t>
      </w:r>
      <w:r w:rsidR="00082CF6">
        <w:t>For Iamblichus,</w:t>
      </w:r>
      <w:r w:rsidR="00C47CB7">
        <w:t xml:space="preserve"> </w:t>
      </w:r>
      <w:r w:rsidR="00082CF6">
        <w:t xml:space="preserve"> the divine could not be </w:t>
      </w:r>
      <w:r w:rsidR="00E63240">
        <w:t>forced to act</w:t>
      </w:r>
      <w:r w:rsidR="00082CF6">
        <w:t xml:space="preserve"> or brought down by humans; rather, through ‘invocation and rites</w:t>
      </w:r>
      <w:r w:rsidR="00B37009">
        <w:t>’ theurgists</w:t>
      </w:r>
      <w:r w:rsidR="00082CF6">
        <w:t xml:space="preserve"> </w:t>
      </w:r>
      <w:r w:rsidR="00B37009">
        <w:t>‘</w:t>
      </w:r>
      <w:r w:rsidR="00082CF6">
        <w:t>ascend</w:t>
      </w:r>
      <w:r w:rsidR="00B37009">
        <w:t xml:space="preserve"> </w:t>
      </w:r>
      <w:r w:rsidR="00082CF6">
        <w:t xml:space="preserve">to the superior beings and attach </w:t>
      </w:r>
      <w:r w:rsidR="00082CF6" w:rsidRPr="00646852">
        <w:t>themselves to them by assimilation and appropriation’</w:t>
      </w:r>
      <w:r w:rsidR="00082CF6">
        <w:t>.</w:t>
      </w:r>
      <w:r w:rsidR="00082CF6">
        <w:rPr>
          <w:rStyle w:val="FootnoteReference"/>
          <w:b/>
        </w:rPr>
        <w:footnoteReference w:id="13"/>
      </w:r>
      <w:r w:rsidR="00082CF6">
        <w:rPr>
          <w:b/>
        </w:rPr>
        <w:t xml:space="preserve"> </w:t>
      </w:r>
      <w:r w:rsidR="00082CF6">
        <w:t xml:space="preserve"> </w:t>
      </w:r>
    </w:p>
    <w:p w14:paraId="62B6CC21" w14:textId="685080F0" w:rsidR="00C524D6" w:rsidRDefault="00C524D6">
      <w:r>
        <w:t xml:space="preserve">Lewis </w:t>
      </w:r>
      <w:r w:rsidR="00514038">
        <w:t>dr</w:t>
      </w:r>
      <w:r w:rsidR="00E63240">
        <w:t>a</w:t>
      </w:r>
      <w:r w:rsidR="00514038">
        <w:t>ws attention to the fact</w:t>
      </w:r>
      <w:r>
        <w:t xml:space="preserve"> that scholars have </w:t>
      </w:r>
      <w:r w:rsidR="00EF3E65">
        <w:t>named the sorts of ways theurgists manifest</w:t>
      </w:r>
      <w:r w:rsidR="00E63240">
        <w:t>ed</w:t>
      </w:r>
      <w:r w:rsidR="00EF3E65">
        <w:t xml:space="preserve"> the powers of the gods (for example; through oracles, visions, meteorological influence, and foreknowledge), </w:t>
      </w:r>
      <w:r w:rsidR="00EF3E65">
        <w:rPr>
          <w:rStyle w:val="FootnoteReference"/>
        </w:rPr>
        <w:footnoteReference w:id="14"/>
      </w:r>
      <w:r w:rsidR="00EF3E65">
        <w:t xml:space="preserve"> and</w:t>
      </w:r>
      <w:r w:rsidR="00031298">
        <w:t xml:space="preserve"> ascended to </w:t>
      </w:r>
      <w:proofErr w:type="spellStart"/>
      <w:r w:rsidR="00031298" w:rsidRPr="00031298">
        <w:rPr>
          <w:i/>
        </w:rPr>
        <w:t>unio</w:t>
      </w:r>
      <w:proofErr w:type="spellEnd"/>
      <w:r w:rsidR="00031298" w:rsidRPr="00031298">
        <w:rPr>
          <w:i/>
        </w:rPr>
        <w:t xml:space="preserve"> </w:t>
      </w:r>
      <w:proofErr w:type="spellStart"/>
      <w:r w:rsidR="00031298" w:rsidRPr="00031298">
        <w:rPr>
          <w:i/>
        </w:rPr>
        <w:t>mystica</w:t>
      </w:r>
      <w:proofErr w:type="spellEnd"/>
      <w:r w:rsidR="00EF3E65">
        <w:rPr>
          <w:i/>
        </w:rPr>
        <w:t>;</w:t>
      </w:r>
      <w:r w:rsidR="00D43F2F">
        <w:rPr>
          <w:i/>
        </w:rPr>
        <w:t xml:space="preserve"> </w:t>
      </w:r>
      <w:r w:rsidR="00D43F2F" w:rsidRPr="00D43F2F">
        <w:t>for example</w:t>
      </w:r>
      <w:r w:rsidR="00EF3E65">
        <w:t>, by:</w:t>
      </w:r>
    </w:p>
    <w:p w14:paraId="34EB90EA" w14:textId="51F9C5E6" w:rsidR="00EF3E65" w:rsidRDefault="00C524D6" w:rsidP="00C524D6">
      <w:pPr>
        <w:ind w:left="720"/>
        <w:rPr>
          <w:sz w:val="20"/>
          <w:szCs w:val="20"/>
        </w:rPr>
      </w:pPr>
      <w:r w:rsidRPr="00687710">
        <w:rPr>
          <w:sz w:val="20"/>
          <w:szCs w:val="20"/>
        </w:rPr>
        <w:t>‘</w:t>
      </w:r>
      <w:r w:rsidR="00D43F2F" w:rsidRPr="00687710">
        <w:rPr>
          <w:sz w:val="20"/>
          <w:szCs w:val="20"/>
        </w:rPr>
        <w:t>mystical contemplation</w:t>
      </w:r>
      <w:r w:rsidR="00EF3E65" w:rsidRPr="00687710">
        <w:rPr>
          <w:sz w:val="20"/>
          <w:szCs w:val="20"/>
        </w:rPr>
        <w:t xml:space="preserve"> .  .  . </w:t>
      </w:r>
      <w:r w:rsidR="00D43F2F" w:rsidRPr="00687710">
        <w:rPr>
          <w:sz w:val="20"/>
          <w:szCs w:val="20"/>
        </w:rPr>
        <w:t xml:space="preserve"> </w:t>
      </w:r>
      <w:r w:rsidR="00031298" w:rsidRPr="00687710">
        <w:rPr>
          <w:sz w:val="20"/>
          <w:szCs w:val="20"/>
        </w:rPr>
        <w:t>more mechanical techniques</w:t>
      </w:r>
      <w:r w:rsidRPr="00687710">
        <w:rPr>
          <w:sz w:val="20"/>
          <w:szCs w:val="20"/>
        </w:rPr>
        <w:t xml:space="preserve">, including </w:t>
      </w:r>
      <w:r w:rsidR="00D43F2F" w:rsidRPr="00687710">
        <w:rPr>
          <w:sz w:val="20"/>
          <w:szCs w:val="20"/>
        </w:rPr>
        <w:t>the practitioner</w:t>
      </w:r>
      <w:r w:rsidRPr="00687710">
        <w:rPr>
          <w:sz w:val="20"/>
          <w:szCs w:val="20"/>
        </w:rPr>
        <w:t xml:space="preserve"> employing specific words, animating statues, conjuring spirits, making hissing or popping noises, or employing stones, symbols, and a mystical spinning top, the lynx wheel’.</w:t>
      </w:r>
      <w:r w:rsidRPr="00687710">
        <w:rPr>
          <w:rStyle w:val="FootnoteReference"/>
          <w:sz w:val="20"/>
          <w:szCs w:val="20"/>
        </w:rPr>
        <w:footnoteReference w:id="15"/>
      </w:r>
      <w:r w:rsidRPr="00687710">
        <w:rPr>
          <w:sz w:val="20"/>
          <w:szCs w:val="20"/>
        </w:rPr>
        <w:t xml:space="preserve">  </w:t>
      </w:r>
    </w:p>
    <w:p w14:paraId="7629E9CF" w14:textId="77777777" w:rsidR="007130F4" w:rsidRPr="00687710" w:rsidRDefault="007130F4" w:rsidP="00A46826">
      <w:pPr>
        <w:spacing w:after="0" w:line="240" w:lineRule="auto"/>
        <w:ind w:left="720"/>
        <w:rPr>
          <w:sz w:val="20"/>
          <w:szCs w:val="20"/>
        </w:rPr>
      </w:pPr>
    </w:p>
    <w:p w14:paraId="4369F816" w14:textId="21D365F4" w:rsidR="00C03645" w:rsidRDefault="00EF3E65" w:rsidP="00C524D6">
      <w:r>
        <w:t xml:space="preserve">Lewis poses, however, that scholars </w:t>
      </w:r>
      <w:r w:rsidR="00C31723">
        <w:t xml:space="preserve"> </w:t>
      </w:r>
      <w:r w:rsidR="00E63240">
        <w:t>‘</w:t>
      </w:r>
      <w:r w:rsidR="00C31723">
        <w:t>failed to comment at length on their social significance’</w:t>
      </w:r>
      <w:r w:rsidR="00E63240">
        <w:t>,</w:t>
      </w:r>
      <w:r w:rsidR="00C31723">
        <w:t xml:space="preserve"> </w:t>
      </w:r>
      <w:r w:rsidR="00FD55AB">
        <w:rPr>
          <w:rStyle w:val="FootnoteReference"/>
        </w:rPr>
        <w:footnoteReference w:id="16"/>
      </w:r>
      <w:r w:rsidR="00D83E0C">
        <w:t xml:space="preserve"> which were also fundamental aspects of</w:t>
      </w:r>
      <w:r w:rsidR="00EC7147">
        <w:t xml:space="preserve"> many of the</w:t>
      </w:r>
      <w:r w:rsidR="00D83E0C">
        <w:t xml:space="preserve"> rituals of the Greek Magical Papyri.</w:t>
      </w:r>
      <w:r w:rsidR="00D83E0C">
        <w:rPr>
          <w:rStyle w:val="FootnoteReference"/>
        </w:rPr>
        <w:footnoteReference w:id="17"/>
      </w:r>
    </w:p>
    <w:p w14:paraId="1DBDB2FE" w14:textId="7359F804" w:rsidR="001C59D5" w:rsidRDefault="00DD593D">
      <w:r>
        <w:t xml:space="preserve">Iamblichus </w:t>
      </w:r>
      <w:r w:rsidR="00E63240">
        <w:t>reveals</w:t>
      </w:r>
      <w:r>
        <w:t xml:space="preserve"> </w:t>
      </w:r>
      <w:r w:rsidR="00E63240">
        <w:t>different</w:t>
      </w:r>
      <w:r>
        <w:t xml:space="preserve"> </w:t>
      </w:r>
      <w:r w:rsidR="0098547E">
        <w:t>grade</w:t>
      </w:r>
      <w:r>
        <w:t>s of</w:t>
      </w:r>
      <w:r w:rsidR="00E63240">
        <w:t xml:space="preserve"> theurgic</w:t>
      </w:r>
      <w:r>
        <w:t xml:space="preserve"> </w:t>
      </w:r>
      <w:r w:rsidR="001C59D5">
        <w:t xml:space="preserve">knowledge and </w:t>
      </w:r>
      <w:r>
        <w:t>communion with divinity: ‘sometimes we share in the god’s lowest power, sometimes in his intermediate, and sometimes in his primary power’.</w:t>
      </w:r>
      <w:r>
        <w:rPr>
          <w:rStyle w:val="FootnoteReference"/>
        </w:rPr>
        <w:footnoteReference w:id="18"/>
      </w:r>
      <w:r>
        <w:t xml:space="preserve">  </w:t>
      </w:r>
      <w:r w:rsidR="0098547E">
        <w:t>Similarly</w:t>
      </w:r>
      <w:r>
        <w:t xml:space="preserve">, </w:t>
      </w:r>
      <w:r w:rsidR="00FD55AB">
        <w:t>Shephard</w:t>
      </w:r>
      <w:r w:rsidR="00514038">
        <w:t>, acknowledging the role of magic,</w:t>
      </w:r>
      <w:r w:rsidR="00E63240">
        <w:t xml:space="preserve"> also</w:t>
      </w:r>
      <w:r w:rsidR="00FD55AB">
        <w:t xml:space="preserve"> </w:t>
      </w:r>
      <w:r w:rsidR="0098547E">
        <w:t>notes</w:t>
      </w:r>
      <w:r w:rsidR="00EF3E65">
        <w:t xml:space="preserve"> three levels of theurg</w:t>
      </w:r>
      <w:r w:rsidR="00B20251">
        <w:t>y</w:t>
      </w:r>
      <w:r w:rsidR="00EF3E65">
        <w:t>:</w:t>
      </w:r>
    </w:p>
    <w:p w14:paraId="6739109D" w14:textId="648EFD89" w:rsidR="00975EFD" w:rsidRDefault="00EF3E65" w:rsidP="00B20251">
      <w:pPr>
        <w:ind w:left="720"/>
      </w:pPr>
      <w:r w:rsidRPr="00687710">
        <w:rPr>
          <w:sz w:val="20"/>
          <w:szCs w:val="20"/>
        </w:rPr>
        <w:t>‘pure ritual ‘white magic’, theurgy which uses some kind of ritual and raises the soul to the level of the intellectual and to the lowest point of the intelligible, and finally theurgy which is</w:t>
      </w:r>
      <w:r>
        <w:t xml:space="preserve"> </w:t>
      </w:r>
      <w:r w:rsidRPr="00687710">
        <w:rPr>
          <w:sz w:val="20"/>
          <w:szCs w:val="20"/>
        </w:rPr>
        <w:t>not really ritual at a</w:t>
      </w:r>
      <w:r w:rsidR="001C59D5" w:rsidRPr="00687710">
        <w:rPr>
          <w:sz w:val="20"/>
          <w:szCs w:val="20"/>
        </w:rPr>
        <w:t>l</w:t>
      </w:r>
      <w:r w:rsidRPr="00687710">
        <w:rPr>
          <w:sz w:val="20"/>
          <w:szCs w:val="20"/>
        </w:rPr>
        <w:t>l but brings about a union of the ‘one in the soul’ with the higher intelligibles and with the First Hypostasis’.</w:t>
      </w:r>
      <w:r w:rsidRPr="00687710">
        <w:rPr>
          <w:rStyle w:val="FootnoteReference"/>
          <w:sz w:val="20"/>
          <w:szCs w:val="20"/>
        </w:rPr>
        <w:footnoteReference w:id="19"/>
      </w:r>
    </w:p>
    <w:p w14:paraId="423D1AB7" w14:textId="667ABBA5" w:rsidR="007350D1" w:rsidRDefault="00FD55AB">
      <w:pPr>
        <w:rPr>
          <w:b/>
        </w:rPr>
      </w:pPr>
      <w:r>
        <w:rPr>
          <w:b/>
        </w:rPr>
        <w:lastRenderedPageBreak/>
        <w:t>M</w:t>
      </w:r>
      <w:r w:rsidR="007350D1">
        <w:rPr>
          <w:b/>
        </w:rPr>
        <w:t>agic.</w:t>
      </w:r>
    </w:p>
    <w:p w14:paraId="1E2CF47F" w14:textId="27449889" w:rsidR="00557349" w:rsidRPr="00557349" w:rsidRDefault="00536BA7" w:rsidP="00557349">
      <w:r>
        <w:t xml:space="preserve">Attempts to </w:t>
      </w:r>
      <w:r w:rsidR="00090B88">
        <w:t>characterise</w:t>
      </w:r>
      <w:r>
        <w:t xml:space="preserve"> ‘magic’ have </w:t>
      </w:r>
      <w:r w:rsidR="00E325DD">
        <w:t>been problematic</w:t>
      </w:r>
      <w:r w:rsidR="00514038">
        <w:t>; as seen above, Frazer considered that it involved the manipulation of natural forces</w:t>
      </w:r>
      <w:r w:rsidR="00090B88">
        <w:t>; this view has persisted</w:t>
      </w:r>
      <w:r w:rsidR="0098547E">
        <w:t>,</w:t>
      </w:r>
      <w:r w:rsidR="00090B88">
        <w:t xml:space="preserve"> with the Oxford English Dictionary offering </w:t>
      </w:r>
      <w:r w:rsidR="0098547E">
        <w:t>a</w:t>
      </w:r>
      <w:r w:rsidR="00751C2E">
        <w:t xml:space="preserve"> </w:t>
      </w:r>
      <w:r w:rsidR="00090B88">
        <w:t>definition</w:t>
      </w:r>
      <w:r w:rsidR="00751C2E">
        <w:t>s</w:t>
      </w:r>
      <w:r w:rsidR="00090B88">
        <w:t xml:space="preserve"> of magic as</w:t>
      </w:r>
      <w:r w:rsidR="00557349">
        <w:t xml:space="preserve"> </w:t>
      </w:r>
      <w:r w:rsidR="00090B88" w:rsidRPr="00687710">
        <w:rPr>
          <w:sz w:val="20"/>
          <w:szCs w:val="20"/>
        </w:rPr>
        <w:t>‘</w:t>
      </w:r>
      <w:r w:rsidR="00090B88" w:rsidRPr="00557349">
        <w:t>the supposed art of influencing the course of events by the occult control of nature or of spirits, witchcraft’</w:t>
      </w:r>
      <w:r w:rsidR="0098547E">
        <w:t>;</w:t>
      </w:r>
      <w:r w:rsidR="00557349" w:rsidRPr="00557349">
        <w:t xml:space="preserve"> </w:t>
      </w:r>
      <w:r w:rsidR="00557349">
        <w:t>but</w:t>
      </w:r>
      <w:r w:rsidR="0098547E">
        <w:t>,</w:t>
      </w:r>
      <w:r w:rsidR="00557349">
        <w:t xml:space="preserve"> also</w:t>
      </w:r>
      <w:r w:rsidR="0098547E">
        <w:t>, as</w:t>
      </w:r>
      <w:r w:rsidR="00557349">
        <w:t xml:space="preserve"> ‘an inexplicable or remarkable influence; an enchanting quality or phenomenon’.</w:t>
      </w:r>
      <w:r w:rsidR="000C0898" w:rsidRPr="00557349">
        <w:rPr>
          <w:rStyle w:val="FootnoteReference"/>
        </w:rPr>
        <w:footnoteReference w:id="20"/>
      </w:r>
      <w:r w:rsidR="00557349">
        <w:t xml:space="preserve"> </w:t>
      </w:r>
    </w:p>
    <w:p w14:paraId="006150E4" w14:textId="29E155EF" w:rsidR="00FD55AB" w:rsidRDefault="00DF1A5B">
      <w:r>
        <w:t xml:space="preserve">Collins </w:t>
      </w:r>
      <w:r w:rsidR="0098547E">
        <w:t>explain</w:t>
      </w:r>
      <w:r>
        <w:t>s that, amongst academics, magic can be seen as ‘objective and material’ or, alternatively, as ‘subjective and psychological’</w:t>
      </w:r>
      <w:r w:rsidR="00CE4627">
        <w:t>;</w:t>
      </w:r>
      <w:r>
        <w:rPr>
          <w:rStyle w:val="FootnoteReference"/>
        </w:rPr>
        <w:footnoteReference w:id="21"/>
      </w:r>
      <w:r>
        <w:t xml:space="preserve"> </w:t>
      </w:r>
      <w:r w:rsidR="00D8126B">
        <w:t xml:space="preserve"> </w:t>
      </w:r>
      <w:r w:rsidR="00CE4627">
        <w:t>on the other hand, Wax draws attention to the main ways of studying magic as being either ‘intellective’ or ‘moral’.</w:t>
      </w:r>
      <w:r w:rsidR="00CE4627">
        <w:rPr>
          <w:rStyle w:val="FootnoteReference"/>
        </w:rPr>
        <w:footnoteReference w:id="22"/>
      </w:r>
      <w:r w:rsidR="00CE4627">
        <w:t xml:space="preserve">  </w:t>
      </w:r>
      <w:r w:rsidR="0027201D">
        <w:t>Mauss confidently state</w:t>
      </w:r>
      <w:r w:rsidR="00EC7147">
        <w:t>s</w:t>
      </w:r>
      <w:r w:rsidR="0027201D">
        <w:t xml:space="preserve"> that magic ‘forms a distinct class of phenomena’ and it is ‘also susceptible to clear definition’</w:t>
      </w:r>
      <w:r w:rsidR="00E325DD">
        <w:t>;</w:t>
      </w:r>
      <w:r w:rsidR="008C233B">
        <w:rPr>
          <w:rStyle w:val="FootnoteReference"/>
        </w:rPr>
        <w:footnoteReference w:id="23"/>
      </w:r>
      <w:r w:rsidR="0027201D">
        <w:t xml:space="preserve">  </w:t>
      </w:r>
      <w:r w:rsidR="00536BA7">
        <w:t>Fowler</w:t>
      </w:r>
      <w:r w:rsidR="0027201D">
        <w:t xml:space="preserve">, </w:t>
      </w:r>
      <w:r w:rsidR="00CD152C">
        <w:t>though</w:t>
      </w:r>
      <w:r w:rsidR="0027201D">
        <w:t xml:space="preserve">, finds it is difficult to define </w:t>
      </w:r>
      <w:r w:rsidR="00536BA7">
        <w:t xml:space="preserve"> </w:t>
      </w:r>
      <w:r w:rsidR="0027201D">
        <w:t>‘magic’</w:t>
      </w:r>
      <w:r w:rsidR="00CD152C">
        <w:t xml:space="preserve"> and</w:t>
      </w:r>
      <w:r w:rsidR="008C233B">
        <w:t xml:space="preserve"> identi</w:t>
      </w:r>
      <w:r w:rsidR="00CD152C">
        <w:t>fies</w:t>
      </w:r>
      <w:r w:rsidR="008C233B">
        <w:t xml:space="preserve">  </w:t>
      </w:r>
      <w:r w:rsidR="0027201D">
        <w:t>that</w:t>
      </w:r>
      <w:r w:rsidR="0098547E">
        <w:t>,</w:t>
      </w:r>
      <w:r w:rsidR="0027201D">
        <w:t xml:space="preserve"> while it is</w:t>
      </w:r>
      <w:r w:rsidR="008A5263">
        <w:t xml:space="preserve"> regularly perceived to concern itself with bringing identified goals into manifestation</w:t>
      </w:r>
      <w:r w:rsidR="0027201D">
        <w:t>,</w:t>
      </w:r>
      <w:r w:rsidR="008A5263">
        <w:t xml:space="preserve"> this is also true of ‘important Greek rituals that are not normally thought of as magical’</w:t>
      </w:r>
      <w:r w:rsidR="008C233B">
        <w:t>.</w:t>
      </w:r>
      <w:r w:rsidR="008C233B">
        <w:rPr>
          <w:rStyle w:val="FootnoteReference"/>
        </w:rPr>
        <w:footnoteReference w:id="24"/>
      </w:r>
      <w:r w:rsidR="008C233B">
        <w:t xml:space="preserve">  Both Mauss and Fowler, however, point to </w:t>
      </w:r>
      <w:r w:rsidR="00A0282D">
        <w:t>social factors</w:t>
      </w:r>
      <w:r w:rsidR="007B22F1">
        <w:t xml:space="preserve"> as</w:t>
      </w:r>
      <w:r w:rsidR="008A5263">
        <w:t xml:space="preserve"> </w:t>
      </w:r>
      <w:r w:rsidR="008C233B">
        <w:t>determining</w:t>
      </w:r>
      <w:r w:rsidR="008A5263">
        <w:t xml:space="preserve"> whether </w:t>
      </w:r>
      <w:r w:rsidR="00A0282D">
        <w:t xml:space="preserve">certain </w:t>
      </w:r>
      <w:r w:rsidR="008A5263">
        <w:t>ritual</w:t>
      </w:r>
      <w:r w:rsidR="00A0282D">
        <w:t>s</w:t>
      </w:r>
      <w:r w:rsidR="008A5263">
        <w:t xml:space="preserve"> might be described as magic</w:t>
      </w:r>
      <w:r w:rsidR="00A0282D">
        <w:t>al</w:t>
      </w:r>
      <w:r w:rsidR="007B22F1">
        <w:t>,</w:t>
      </w:r>
      <w:r w:rsidR="008A5263">
        <w:rPr>
          <w:rStyle w:val="FootnoteReference"/>
        </w:rPr>
        <w:footnoteReference w:id="25"/>
      </w:r>
      <w:r w:rsidR="008C233B">
        <w:t xml:space="preserve">  </w:t>
      </w:r>
      <w:r w:rsidR="007B22F1">
        <w:t>with Mauss</w:t>
      </w:r>
      <w:r w:rsidR="0098547E">
        <w:t xml:space="preserve"> stat</w:t>
      </w:r>
      <w:r w:rsidR="007B22F1">
        <w:t>ing that it is ‘</w:t>
      </w:r>
      <w:r w:rsidR="007B22F1" w:rsidRPr="007B22F1">
        <w:rPr>
          <w:i/>
        </w:rPr>
        <w:t>any rite which does not play a part in organized</w:t>
      </w:r>
      <w:r w:rsidR="007B22F1">
        <w:rPr>
          <w:i/>
        </w:rPr>
        <w:t xml:space="preserve"> cults </w:t>
      </w:r>
      <w:r w:rsidR="007B22F1">
        <w:t>– it is private, secret, mysterious’</w:t>
      </w:r>
      <w:r w:rsidR="00762ECC">
        <w:t xml:space="preserve"> and</w:t>
      </w:r>
      <w:r w:rsidR="007B22F1">
        <w:t xml:space="preserve"> i</w:t>
      </w:r>
      <w:r w:rsidR="00762ECC">
        <w:t>s shown as distinct from cult or religion by ‘the circumstances in which the rites occur, which in turn determine the place they occupy in the totality of social customs’</w:t>
      </w:r>
      <w:r w:rsidR="007B22F1">
        <w:t>.</w:t>
      </w:r>
      <w:r w:rsidR="007B22F1">
        <w:rPr>
          <w:rStyle w:val="FootnoteReference"/>
        </w:rPr>
        <w:footnoteReference w:id="26"/>
      </w:r>
      <w:r>
        <w:t xml:space="preserve">  </w:t>
      </w:r>
      <w:r w:rsidR="00A1188D">
        <w:t xml:space="preserve">In contrast, </w:t>
      </w:r>
      <w:r w:rsidR="00CD152C">
        <w:t>Anderson</w:t>
      </w:r>
      <w:r w:rsidR="00A1188D">
        <w:t xml:space="preserve"> considers that</w:t>
      </w:r>
      <w:r w:rsidR="002508E4">
        <w:t xml:space="preserve"> </w:t>
      </w:r>
      <w:r w:rsidR="00A1188D">
        <w:t>magic is not a distinct, ‘cross-cultural entity’</w:t>
      </w:r>
      <w:r w:rsidR="0098547E">
        <w:t xml:space="preserve"> and, </w:t>
      </w:r>
      <w:r w:rsidR="002508E4">
        <w:t>therefore,</w:t>
      </w:r>
      <w:r w:rsidR="00A1188D">
        <w:t xml:space="preserve"> does not exist; rather, it is ‘merely the practical, working side of dealing with supernatural entities’.</w:t>
      </w:r>
      <w:r w:rsidR="00A1188D">
        <w:rPr>
          <w:rStyle w:val="FootnoteReference"/>
        </w:rPr>
        <w:footnoteReference w:id="27"/>
      </w:r>
    </w:p>
    <w:p w14:paraId="43141080" w14:textId="2EEC604B" w:rsidR="00EA32C8" w:rsidRDefault="000007DA">
      <w:r>
        <w:t>For Collins, unless the setting and cultural milieu of the Classical era is understood , it is hard to define what the Greeks at that time perceived to be magic</w:t>
      </w:r>
      <w:r w:rsidR="00115480">
        <w:t>;</w:t>
      </w:r>
      <w:r>
        <w:t xml:space="preserve"> </w:t>
      </w:r>
      <w:r>
        <w:rPr>
          <w:rStyle w:val="FootnoteReference"/>
        </w:rPr>
        <w:footnoteReference w:id="28"/>
      </w:r>
      <w:r>
        <w:t xml:space="preserve"> </w:t>
      </w:r>
      <w:r w:rsidR="00115480">
        <w:t xml:space="preserve">he reveals </w:t>
      </w:r>
      <w:r w:rsidR="00D8126B">
        <w:t>that labels</w:t>
      </w:r>
      <w:r w:rsidR="001E5904">
        <w:t xml:space="preserve"> such as ‘magos’ (practitioner of magic) and ‘goes’ (sorcerer)</w:t>
      </w:r>
      <w:r w:rsidR="00D8126B">
        <w:t xml:space="preserve"> were variously and fluidly used by ‘elite intellectuals’ to the point where they were applied without discrimination or distinction</w:t>
      </w:r>
      <w:r w:rsidR="00E43691">
        <w:t>,</w:t>
      </w:r>
      <w:r w:rsidR="00D8126B">
        <w:t xml:space="preserve"> </w:t>
      </w:r>
      <w:r w:rsidR="00115480">
        <w:t>so that</w:t>
      </w:r>
      <w:r w:rsidR="00D8126B">
        <w:t xml:space="preserve"> </w:t>
      </w:r>
      <w:r w:rsidR="00115480">
        <w:t>the</w:t>
      </w:r>
      <w:r w:rsidR="0098547E">
        <w:t xml:space="preserve"> terms</w:t>
      </w:r>
      <w:r w:rsidR="00115480">
        <w:t xml:space="preserve"> lost</w:t>
      </w:r>
      <w:r w:rsidR="00D8126B">
        <w:t xml:space="preserve"> </w:t>
      </w:r>
      <w:r>
        <w:t xml:space="preserve">their </w:t>
      </w:r>
      <w:r w:rsidR="00D8126B">
        <w:t>meaning</w:t>
      </w:r>
      <w:r w:rsidR="00115480">
        <w:t>.</w:t>
      </w:r>
      <w:r w:rsidR="001E5904">
        <w:rPr>
          <w:rStyle w:val="FootnoteReference"/>
        </w:rPr>
        <w:footnoteReference w:id="29"/>
      </w:r>
      <w:r w:rsidR="004058C2">
        <w:t xml:space="preserve"> </w:t>
      </w:r>
      <w:r w:rsidR="00115480">
        <w:t xml:space="preserve"> Collins </w:t>
      </w:r>
      <w:r w:rsidR="0098547E">
        <w:t xml:space="preserve">also </w:t>
      </w:r>
      <w:r w:rsidR="00115480">
        <w:t>posed that</w:t>
      </w:r>
      <w:r w:rsidR="00383103">
        <w:t xml:space="preserve"> it is pertinent to ask at what point a</w:t>
      </w:r>
      <w:r w:rsidR="0098547E">
        <w:t xml:space="preserve"> ritual</w:t>
      </w:r>
      <w:r w:rsidR="00383103">
        <w:t xml:space="preserve"> item</w:t>
      </w:r>
      <w:r w:rsidR="00D8126B">
        <w:t xml:space="preserve"> </w:t>
      </w:r>
      <w:r w:rsidR="00383103">
        <w:t>becomes magical</w:t>
      </w:r>
      <w:r w:rsidR="00210EA7">
        <w:t>,</w:t>
      </w:r>
      <w:r w:rsidR="00E43691">
        <w:t xml:space="preserve"> </w:t>
      </w:r>
      <w:r w:rsidR="00210EA7">
        <w:t>bearing in mind that</w:t>
      </w:r>
      <w:r w:rsidR="00E43691">
        <w:t xml:space="preserve"> </w:t>
      </w:r>
      <w:r w:rsidR="00EA32C8">
        <w:t>the natural world was imbued with the divine</w:t>
      </w:r>
      <w:r w:rsidR="0098547E">
        <w:t>, and that</w:t>
      </w:r>
      <w:r w:rsidR="00EA32C8">
        <w:t xml:space="preserve"> the causes of magical occurrences</w:t>
      </w:r>
      <w:r w:rsidR="00D90804">
        <w:t xml:space="preserve"> and</w:t>
      </w:r>
      <w:r w:rsidR="00EA32C8">
        <w:t xml:space="preserve"> nature of social contexts within which they occurred</w:t>
      </w:r>
      <w:r w:rsidR="0098547E">
        <w:t xml:space="preserve"> were pertinent</w:t>
      </w:r>
      <w:r w:rsidR="00EA32C8">
        <w:t>.</w:t>
      </w:r>
      <w:r w:rsidR="00EA32C8">
        <w:rPr>
          <w:rStyle w:val="FootnoteReference"/>
        </w:rPr>
        <w:footnoteReference w:id="30"/>
      </w:r>
    </w:p>
    <w:p w14:paraId="2343CB35" w14:textId="77777777" w:rsidR="000E123D" w:rsidRDefault="000E123D" w:rsidP="00130815"/>
    <w:p w14:paraId="7C9B87BC" w14:textId="77777777" w:rsidR="0098547E" w:rsidRDefault="0098547E" w:rsidP="00130815">
      <w:pPr>
        <w:rPr>
          <w:b/>
        </w:rPr>
      </w:pPr>
    </w:p>
    <w:p w14:paraId="30100D68" w14:textId="3D36DBD0" w:rsidR="000E123D" w:rsidRDefault="00210EA7" w:rsidP="00130815">
      <w:pPr>
        <w:rPr>
          <w:b/>
        </w:rPr>
      </w:pPr>
      <w:r>
        <w:rPr>
          <w:b/>
        </w:rPr>
        <w:lastRenderedPageBreak/>
        <w:t>T</w:t>
      </w:r>
      <w:r w:rsidR="007350D1" w:rsidRPr="000E123D">
        <w:rPr>
          <w:b/>
        </w:rPr>
        <w:t xml:space="preserve">heurgy </w:t>
      </w:r>
      <w:r>
        <w:rPr>
          <w:b/>
        </w:rPr>
        <w:t xml:space="preserve">as </w:t>
      </w:r>
      <w:r w:rsidR="007350D1" w:rsidRPr="000E123D">
        <w:rPr>
          <w:b/>
        </w:rPr>
        <w:t xml:space="preserve">a form of magic?  </w:t>
      </w:r>
    </w:p>
    <w:p w14:paraId="75C14BD4" w14:textId="2967A018" w:rsidR="006A2C63" w:rsidRDefault="005A41A6" w:rsidP="006A2C63">
      <w:r>
        <w:t>For Dodds theurgy was crudely a ‘manifesto of irrationalism’ and ‘vulgar magic’;</w:t>
      </w:r>
      <w:r>
        <w:rPr>
          <w:rStyle w:val="FootnoteReference"/>
        </w:rPr>
        <w:footnoteReference w:id="31"/>
      </w:r>
      <w:r>
        <w:t xml:space="preserve">  it isn’t surprising, then, to learn from</w:t>
      </w:r>
      <w:r w:rsidRPr="00794A0E">
        <w:t xml:space="preserve"> </w:t>
      </w:r>
      <w:r>
        <w:t xml:space="preserve">Hankey that ‘the religion Dodds embraced was strictly and exclusively a </w:t>
      </w:r>
      <w:r w:rsidRPr="00E45B4B">
        <w:rPr>
          <w:i/>
        </w:rPr>
        <w:t>religio</w:t>
      </w:r>
      <w:r>
        <w:t xml:space="preserve"> </w:t>
      </w:r>
      <w:r w:rsidRPr="00E45B4B">
        <w:rPr>
          <w:i/>
        </w:rPr>
        <w:t>mentis</w:t>
      </w:r>
      <w:r>
        <w:t>, “severely intellectual” without ritual or sacrament’.</w:t>
      </w:r>
      <w:r>
        <w:rPr>
          <w:rStyle w:val="FootnoteReference"/>
        </w:rPr>
        <w:footnoteReference w:id="32"/>
      </w:r>
      <w:r>
        <w:t xml:space="preserve">  </w:t>
      </w:r>
      <w:r w:rsidR="00B35C6A">
        <w:t xml:space="preserve">Athanassiadi </w:t>
      </w:r>
      <w:r w:rsidR="000007DA">
        <w:t>describe</w:t>
      </w:r>
      <w:r w:rsidR="00B35C6A">
        <w:t>s that</w:t>
      </w:r>
      <w:r w:rsidR="000007DA">
        <w:t xml:space="preserve"> the practices of theurgical divination were seen as ‘the most representative and the most pernicious aspect of the pagan spirit’</w:t>
      </w:r>
      <w:r w:rsidR="00115480">
        <w:t>;</w:t>
      </w:r>
      <w:r w:rsidR="000007DA">
        <w:rPr>
          <w:rStyle w:val="FootnoteReference"/>
        </w:rPr>
        <w:footnoteReference w:id="33"/>
      </w:r>
      <w:r w:rsidR="000007DA">
        <w:t xml:space="preserve"> </w:t>
      </w:r>
      <w:r w:rsidR="00B35C6A">
        <w:t xml:space="preserve">because of Christian doctrine and ‘post-Iamblichan Neoplatonic evidence’, theurgy and magic </w:t>
      </w:r>
      <w:r w:rsidR="000C0898">
        <w:t>we</w:t>
      </w:r>
      <w:r w:rsidR="00B35C6A">
        <w:t xml:space="preserve">re </w:t>
      </w:r>
      <w:r w:rsidR="000C0898">
        <w:t>viewed as</w:t>
      </w:r>
      <w:r w:rsidR="00B35C6A">
        <w:t xml:space="preserve"> ‘resting on the same presuppositions and using some of the same methods in pursuit of different ends’</w:t>
      </w:r>
      <w:r w:rsidR="000007DA">
        <w:t>.</w:t>
      </w:r>
      <w:r w:rsidR="00B35C6A">
        <w:rPr>
          <w:rStyle w:val="FootnoteReference"/>
        </w:rPr>
        <w:footnoteReference w:id="34"/>
      </w:r>
      <w:r w:rsidR="00B35C6A">
        <w:t xml:space="preserve"> </w:t>
      </w:r>
      <w:r w:rsidR="000C0898">
        <w:t xml:space="preserve"> </w:t>
      </w:r>
      <w:r w:rsidR="006A2C63">
        <w:t xml:space="preserve">In Plato’s </w:t>
      </w:r>
      <w:r w:rsidR="006A2C63" w:rsidRPr="00140617">
        <w:rPr>
          <w:i/>
        </w:rPr>
        <w:t>Symposium</w:t>
      </w:r>
      <w:r w:rsidR="006A2C63">
        <w:t xml:space="preserve">, the continuum between the two are seen in the words of Diotima in her argument that Eros is not a god, but is: </w:t>
      </w:r>
    </w:p>
    <w:p w14:paraId="5BECE770" w14:textId="33898A5C" w:rsidR="006A2C63" w:rsidRPr="006A2C63" w:rsidRDefault="006A2C63" w:rsidP="006A2C63">
      <w:pPr>
        <w:ind w:left="720"/>
        <w:rPr>
          <w:sz w:val="20"/>
          <w:szCs w:val="20"/>
        </w:rPr>
      </w:pPr>
      <w:r w:rsidRPr="006A2C63">
        <w:rPr>
          <w:sz w:val="20"/>
          <w:szCs w:val="20"/>
        </w:rPr>
        <w:t xml:space="preserve">something between a mortal and an immortal . . . midway between what is divine and what is human . .   . he acts as an interpreter and means of communication between gods and men.  He takes requests and offerings to the gods, and brings back instruction and benefits in return.  Occupying this middle position he plays a vital role in holding the world together.  He is the medium of all worship, incantations, or any kind of divination or sorcery.  </w:t>
      </w:r>
      <w:r w:rsidRPr="006A2C63">
        <w:rPr>
          <w:rStyle w:val="FootnoteReference"/>
          <w:sz w:val="20"/>
          <w:szCs w:val="20"/>
        </w:rPr>
        <w:footnoteReference w:id="35"/>
      </w:r>
      <w:r w:rsidRPr="006A2C63">
        <w:rPr>
          <w:sz w:val="20"/>
          <w:szCs w:val="20"/>
        </w:rPr>
        <w:t xml:space="preserve">  </w:t>
      </w:r>
    </w:p>
    <w:p w14:paraId="2A77AB5A" w14:textId="77777777" w:rsidR="006A2C63" w:rsidRPr="006A2C63" w:rsidRDefault="006A2C63" w:rsidP="006A2C63">
      <w:pPr>
        <w:ind w:left="720"/>
        <w:rPr>
          <w:sz w:val="20"/>
          <w:szCs w:val="20"/>
        </w:rPr>
      </w:pPr>
      <w:r w:rsidRPr="006A2C63">
        <w:rPr>
          <w:sz w:val="20"/>
          <w:szCs w:val="20"/>
        </w:rPr>
        <w:t>.  .  .  .  He has his mother’s nature, and need is his constant companion.  On the other hand, from his father .  .  . He is intellectual, resourceful, a lover of wisdom his whole life through, a subtle magician, sorcerer and thinker.</w:t>
      </w:r>
      <w:r w:rsidRPr="006A2C63">
        <w:rPr>
          <w:rStyle w:val="FootnoteReference"/>
          <w:sz w:val="20"/>
          <w:szCs w:val="20"/>
        </w:rPr>
        <w:footnoteReference w:id="36"/>
      </w:r>
    </w:p>
    <w:p w14:paraId="33767036" w14:textId="77777777" w:rsidR="00B8219B" w:rsidRDefault="00B8219B" w:rsidP="00B8219B">
      <w:pPr>
        <w:spacing w:after="0"/>
      </w:pPr>
    </w:p>
    <w:p w14:paraId="750BD3F9" w14:textId="4A38A65E" w:rsidR="00A3438C" w:rsidRDefault="00956CF8" w:rsidP="00B8219B">
      <w:pPr>
        <w:spacing w:after="0"/>
      </w:pPr>
      <w:r>
        <w:t xml:space="preserve">Iamblichus </w:t>
      </w:r>
      <w:r w:rsidR="006A2C63">
        <w:t xml:space="preserve">himself, </w:t>
      </w:r>
      <w:r>
        <w:t xml:space="preserve">does not deny the potency of </w:t>
      </w:r>
      <w:r w:rsidR="000C0898">
        <w:t xml:space="preserve">the </w:t>
      </w:r>
      <w:r w:rsidR="00B52A86">
        <w:t xml:space="preserve">forms of divination shared by magician and theurgists alike, </w:t>
      </w:r>
      <w:r>
        <w:t>but he makes a clear distinction between divinely-inspired outcomes and those of the ‘vulgar throng, employing falsehood and deceit of an intolerable nature’</w:t>
      </w:r>
      <w:r w:rsidR="00897C76">
        <w:t>;</w:t>
      </w:r>
      <w:r>
        <w:rPr>
          <w:rStyle w:val="FootnoteReference"/>
        </w:rPr>
        <w:footnoteReference w:id="37"/>
      </w:r>
      <w:r>
        <w:t xml:space="preserve">  </w:t>
      </w:r>
      <w:r w:rsidR="00A3438C">
        <w:t>respond</w:t>
      </w:r>
      <w:r>
        <w:t>ing</w:t>
      </w:r>
      <w:r w:rsidR="00A3438C">
        <w:t xml:space="preserve"> to Porphyry as follows:</w:t>
      </w:r>
    </w:p>
    <w:p w14:paraId="7A53318C" w14:textId="77777777" w:rsidR="00B8219B" w:rsidRPr="000C0898" w:rsidRDefault="00B8219B" w:rsidP="00B8219B">
      <w:pPr>
        <w:spacing w:after="0"/>
      </w:pPr>
    </w:p>
    <w:p w14:paraId="54D0DA72" w14:textId="75B33AF1" w:rsidR="005852C5" w:rsidRDefault="00E61D38" w:rsidP="000C0898">
      <w:pPr>
        <w:ind w:left="720"/>
        <w:rPr>
          <w:sz w:val="20"/>
          <w:szCs w:val="20"/>
        </w:rPr>
      </w:pPr>
      <w:r w:rsidRPr="00687710">
        <w:rPr>
          <w:sz w:val="20"/>
          <w:szCs w:val="20"/>
        </w:rPr>
        <w:t>For there are some who overlook the whole procedure of effective contemplation .  .   and they disdain the order of sacred observance, its holiness and long-protracted endurance of toils, and, rejecting the customs, prayers and other rituals, they believe that the simple standing on the characters to be sufficient .  .  yet, how could anything noble or perfect result from this?  Or how can the eternal and truly existing essence of the gods</w:t>
      </w:r>
      <w:r w:rsidR="00E52D78" w:rsidRPr="00687710">
        <w:rPr>
          <w:sz w:val="20"/>
          <w:szCs w:val="20"/>
        </w:rPr>
        <w:t xml:space="preserve"> be united with ephemeral acts in sacred procedures?  Hence because of these things, such rash men go wholly astray, and are not worthy to be counted among diviners.</w:t>
      </w:r>
      <w:r w:rsidR="00956CF8" w:rsidRPr="00687710">
        <w:rPr>
          <w:rStyle w:val="FootnoteReference"/>
          <w:sz w:val="20"/>
          <w:szCs w:val="20"/>
        </w:rPr>
        <w:footnoteReference w:id="38"/>
      </w:r>
    </w:p>
    <w:p w14:paraId="77E9354B" w14:textId="77777777" w:rsidR="0098547E" w:rsidRPr="00687710" w:rsidRDefault="0098547E" w:rsidP="0098547E">
      <w:pPr>
        <w:spacing w:after="0"/>
        <w:ind w:left="720"/>
        <w:rPr>
          <w:sz w:val="20"/>
          <w:szCs w:val="20"/>
        </w:rPr>
      </w:pPr>
    </w:p>
    <w:p w14:paraId="23C10F5F" w14:textId="543E0FC1" w:rsidR="00B20049" w:rsidRDefault="00C47AFD" w:rsidP="00130815">
      <w:r>
        <w:t>A</w:t>
      </w:r>
      <w:r w:rsidR="00CC2E60">
        <w:t>long these lines, A</w:t>
      </w:r>
      <w:r w:rsidR="00DC4E1D">
        <w:t>ddey e</w:t>
      </w:r>
      <w:r w:rsidR="0098547E">
        <w:t>xplain</w:t>
      </w:r>
      <w:r w:rsidR="00CC2E60">
        <w:t>s</w:t>
      </w:r>
      <w:r w:rsidR="00DC4E1D">
        <w:t xml:space="preserve"> the importance </w:t>
      </w:r>
      <w:r w:rsidR="00CC10EE">
        <w:t xml:space="preserve">of ethics </w:t>
      </w:r>
      <w:r w:rsidR="00DC4E1D">
        <w:t>for Iamblichus</w:t>
      </w:r>
      <w:r w:rsidR="00CC10EE">
        <w:t>, who required for theurg</w:t>
      </w:r>
      <w:r w:rsidR="00CC2E60">
        <w:t>ical practice</w:t>
      </w:r>
      <w:r w:rsidR="00DC4E1D">
        <w:t xml:space="preserve"> ‘a soul which has attained perfect virtue’;</w:t>
      </w:r>
      <w:r w:rsidR="00DC4E1D">
        <w:rPr>
          <w:rStyle w:val="FootnoteReference"/>
        </w:rPr>
        <w:footnoteReference w:id="39"/>
      </w:r>
      <w:r w:rsidR="00DC4E1D">
        <w:t xml:space="preserve">  Similarly, Athanassiadi defines </w:t>
      </w:r>
      <w:r w:rsidR="00DC4E1D">
        <w:lastRenderedPageBreak/>
        <w:t>theurgy as</w:t>
      </w:r>
      <w:r w:rsidR="0098547E">
        <w:t xml:space="preserve"> the</w:t>
      </w:r>
      <w:r w:rsidR="00DC4E1D">
        <w:t xml:space="preserve"> ‘manifestation of an inner state of sanctity deriving from a combination of goodness and knowledge’.</w:t>
      </w:r>
      <w:r w:rsidR="00DC4E1D">
        <w:rPr>
          <w:rStyle w:val="FootnoteReference"/>
        </w:rPr>
        <w:footnoteReference w:id="40"/>
      </w:r>
      <w:r w:rsidR="00DC4E1D">
        <w:t xml:space="preserve"> </w:t>
      </w:r>
      <w:r w:rsidR="005B4B6B">
        <w:t xml:space="preserve">  While</w:t>
      </w:r>
      <w:r w:rsidR="00DC4E1D">
        <w:t xml:space="preserve"> Iamblichus was aware </w:t>
      </w:r>
      <w:r w:rsidR="00630D66">
        <w:t>of human imperfection</w:t>
      </w:r>
      <w:r w:rsidR="00DC4E1D">
        <w:t>, saying ‘not even a virtuous human character can easily be brought to the requisite level of purity’,</w:t>
      </w:r>
      <w:r w:rsidR="00DC4E1D">
        <w:rPr>
          <w:rStyle w:val="FootnoteReference"/>
        </w:rPr>
        <w:footnoteReference w:id="41"/>
      </w:r>
      <w:r w:rsidR="00DC4E1D">
        <w:t xml:space="preserve">  </w:t>
      </w:r>
      <w:r w:rsidR="005B4B6B">
        <w:t xml:space="preserve">he </w:t>
      </w:r>
      <w:r w:rsidR="00CC2E60">
        <w:t>w</w:t>
      </w:r>
      <w:r w:rsidR="005A41A6">
        <w:t>as</w:t>
      </w:r>
      <w:r w:rsidR="005B4B6B">
        <w:t xml:space="preserve"> shaped by</w:t>
      </w:r>
      <w:r w:rsidR="00DC4E1D">
        <w:t xml:space="preserve"> the Delphic </w:t>
      </w:r>
      <w:r w:rsidR="00CC10EE">
        <w:t>precept</w:t>
      </w:r>
      <w:r w:rsidR="00DC4E1D">
        <w:t xml:space="preserve"> “Know yourself”’</w:t>
      </w:r>
      <w:r w:rsidR="00CC10EE">
        <w:t>,</w:t>
      </w:r>
      <w:r w:rsidR="005A41A6">
        <w:rPr>
          <w:rStyle w:val="FootnoteReference"/>
        </w:rPr>
        <w:footnoteReference w:id="42"/>
      </w:r>
      <w:r w:rsidR="00CC10EE">
        <w:t xml:space="preserve"> </w:t>
      </w:r>
      <w:r w:rsidR="00630D66">
        <w:t>traceable</w:t>
      </w:r>
      <w:r w:rsidR="00CC10EE">
        <w:t xml:space="preserve"> to Socrates and Plato</w:t>
      </w:r>
      <w:r w:rsidR="00630D66">
        <w:t>,</w:t>
      </w:r>
      <w:r w:rsidR="00CC10EE">
        <w:t xml:space="preserve"> as described by Betz</w:t>
      </w:r>
      <w:r w:rsidR="005B4B6B">
        <w:t>.</w:t>
      </w:r>
      <w:r w:rsidR="00DC4E1D">
        <w:rPr>
          <w:rStyle w:val="FootnoteReference"/>
        </w:rPr>
        <w:footnoteReference w:id="43"/>
      </w:r>
      <w:r w:rsidR="00CC10EE">
        <w:t xml:space="preserve">  </w:t>
      </w:r>
      <w:r w:rsidR="005B4B6B">
        <w:t>I</w:t>
      </w:r>
      <w:r w:rsidR="00CC10EE">
        <w:t>nherently, then, theurgists</w:t>
      </w:r>
      <w:r w:rsidR="005B4B6B">
        <w:t xml:space="preserve"> were required to achieve virtue </w:t>
      </w:r>
      <w:r w:rsidR="00630D66">
        <w:t xml:space="preserve">by </w:t>
      </w:r>
      <w:r w:rsidR="004F1B4B">
        <w:t>developing</w:t>
      </w:r>
      <w:r w:rsidR="005B4B6B">
        <w:t xml:space="preserve"> </w:t>
      </w:r>
      <w:r w:rsidR="004F1B4B">
        <w:t xml:space="preserve">awareness of their personal human shadow, thus attaining a high level of </w:t>
      </w:r>
      <w:r w:rsidR="005B4B6B">
        <w:t>self-knowledge, or soul-knowledge,</w:t>
      </w:r>
      <w:r w:rsidR="005B4B6B">
        <w:rPr>
          <w:rStyle w:val="FootnoteReference"/>
        </w:rPr>
        <w:footnoteReference w:id="44"/>
      </w:r>
      <w:r w:rsidR="005B4B6B">
        <w:t xml:space="preserve"> </w:t>
      </w:r>
      <w:r w:rsidR="004F1B4B">
        <w:t xml:space="preserve">which was brought to perfection </w:t>
      </w:r>
      <w:r w:rsidR="00B8219B">
        <w:t>in</w:t>
      </w:r>
      <w:r w:rsidR="004F1B4B">
        <w:t xml:space="preserve"> </w:t>
      </w:r>
      <w:r w:rsidR="005B4B6B">
        <w:t>theurgical rit</w:t>
      </w:r>
      <w:r w:rsidR="00B8219B">
        <w:t>ual</w:t>
      </w:r>
      <w:r w:rsidR="004F1B4B">
        <w:t>.</w:t>
      </w:r>
      <w:r w:rsidR="005A41A6">
        <w:rPr>
          <w:rStyle w:val="FootnoteReference"/>
        </w:rPr>
        <w:footnoteReference w:id="45"/>
      </w:r>
      <w:r w:rsidR="004F1B4B">
        <w:t xml:space="preserve">  Th</w:t>
      </w:r>
      <w:r w:rsidR="00B8219B">
        <w:t>is</w:t>
      </w:r>
      <w:r w:rsidR="004F1B4B">
        <w:t xml:space="preserve"> sort of </w:t>
      </w:r>
      <w:r w:rsidR="00B8219B">
        <w:t>self-awareness</w:t>
      </w:r>
      <w:r w:rsidR="00D81D72">
        <w:t>, however, was not limited to theurgy; referring to the Greek Magical Papyri, Betz argues that ‘self-knowledge and self-control are no longer regarded as a matter of philosophical examination or moral exercise but as the outcome of magical initiation’.</w:t>
      </w:r>
    </w:p>
    <w:p w14:paraId="5B9D82BD" w14:textId="6F5EE56B" w:rsidR="00082CF6" w:rsidRDefault="00090B88" w:rsidP="00630D66">
      <w:pPr>
        <w:spacing w:after="0"/>
      </w:pPr>
      <w:r>
        <w:t>Frankfurter points out that terms such as ‘magic’, ‘sorcery’ or ‘wizardry’ are used to identify what ‘we’ don’t do and ‘suggests an “other” sphere of ritu</w:t>
      </w:r>
      <w:r w:rsidR="00456911">
        <w:t>a</w:t>
      </w:r>
      <w:r>
        <w:t>l that is appealingly esoteric, potentially subversive, and solely the perspective of the indigenous or biased person under examination’.</w:t>
      </w:r>
      <w:r>
        <w:rPr>
          <w:rStyle w:val="FootnoteReference"/>
        </w:rPr>
        <w:footnoteReference w:id="46"/>
      </w:r>
      <w:r>
        <w:t xml:space="preserve">  </w:t>
      </w:r>
      <w:r w:rsidR="00115480">
        <w:t>Iamblichus may not have been immune from tendency to promote one’s own</w:t>
      </w:r>
      <w:r w:rsidR="00C47AFD">
        <w:t xml:space="preserve"> </w:t>
      </w:r>
      <w:r w:rsidR="00115480">
        <w:t>belief</w:t>
      </w:r>
      <w:r w:rsidR="00082CF6">
        <w:t xml:space="preserve"> system above others, but it is important to bear in mind that the methods used in divination were less troubling for Iamblichus that the attitude with which they were enacted.  The Greek Magical Papyri demonstrate that a reverent approach to the gods </w:t>
      </w:r>
      <w:r w:rsidR="00C47AFD">
        <w:t>wa</w:t>
      </w:r>
      <w:r w:rsidR="00082CF6">
        <w:t xml:space="preserve">s not uniquely attached to theurgical practice; for </w:t>
      </w:r>
      <w:r w:rsidR="00FB63EE">
        <w:t>example,</w:t>
      </w:r>
      <w:r w:rsidR="00082CF6">
        <w:t xml:space="preserve"> in PMG III.494 – 611, lengthy symbolic preparations and supplications for suitable alignment and connection with the god Helios are demonstrated by the following fragment of the magical spell:</w:t>
      </w:r>
    </w:p>
    <w:p w14:paraId="3C0140CF" w14:textId="77777777" w:rsidR="00687710" w:rsidRDefault="00687710" w:rsidP="00687710">
      <w:pPr>
        <w:spacing w:after="0" w:line="240" w:lineRule="auto"/>
        <w:ind w:firstLine="720"/>
      </w:pPr>
    </w:p>
    <w:p w14:paraId="75ADC1A7" w14:textId="5ADF1A4F" w:rsidR="00687710" w:rsidRPr="00687710" w:rsidRDefault="00082CF6" w:rsidP="00687710">
      <w:pPr>
        <w:spacing w:after="0" w:line="240" w:lineRule="auto"/>
        <w:ind w:firstLine="720"/>
        <w:rPr>
          <w:sz w:val="20"/>
          <w:szCs w:val="20"/>
        </w:rPr>
      </w:pPr>
      <w:r w:rsidRPr="00687710">
        <w:rPr>
          <w:sz w:val="20"/>
          <w:szCs w:val="20"/>
        </w:rPr>
        <w:t xml:space="preserve">I have spoken your signs and symbols . . </w:t>
      </w:r>
    </w:p>
    <w:p w14:paraId="474DA90E" w14:textId="77777777" w:rsidR="00687710" w:rsidRPr="00687710" w:rsidRDefault="00687710" w:rsidP="00687710">
      <w:pPr>
        <w:spacing w:after="0" w:line="240" w:lineRule="auto"/>
        <w:ind w:firstLine="720"/>
        <w:rPr>
          <w:sz w:val="20"/>
          <w:szCs w:val="20"/>
        </w:rPr>
      </w:pPr>
    </w:p>
    <w:p w14:paraId="7B2CDFD7" w14:textId="1720258F" w:rsidR="00687710" w:rsidRPr="00687710" w:rsidRDefault="00082CF6" w:rsidP="00687710">
      <w:pPr>
        <w:spacing w:after="0" w:line="240" w:lineRule="auto"/>
        <w:ind w:firstLine="720"/>
        <w:rPr>
          <w:sz w:val="20"/>
          <w:szCs w:val="20"/>
        </w:rPr>
      </w:pPr>
      <w:r w:rsidRPr="00687710">
        <w:rPr>
          <w:sz w:val="20"/>
          <w:szCs w:val="20"/>
        </w:rPr>
        <w:t>Come to me in/your holy circuit of</w:t>
      </w:r>
    </w:p>
    <w:p w14:paraId="0CA26EE6" w14:textId="45EEF4A9" w:rsidR="00082CF6" w:rsidRPr="00687710" w:rsidRDefault="00082CF6" w:rsidP="00687710">
      <w:pPr>
        <w:spacing w:after="0" w:line="240" w:lineRule="auto"/>
        <w:ind w:firstLine="720"/>
        <w:rPr>
          <w:sz w:val="20"/>
          <w:szCs w:val="20"/>
        </w:rPr>
      </w:pPr>
      <w:r w:rsidRPr="00687710">
        <w:rPr>
          <w:sz w:val="20"/>
          <w:szCs w:val="20"/>
        </w:rPr>
        <w:t>The holy spirit, founder of the world,</w:t>
      </w:r>
    </w:p>
    <w:p w14:paraId="4E852E5E" w14:textId="77777777" w:rsidR="00082CF6" w:rsidRPr="00687710" w:rsidRDefault="00082CF6" w:rsidP="00082CF6">
      <w:pPr>
        <w:spacing w:after="0" w:line="240" w:lineRule="auto"/>
        <w:ind w:firstLine="720"/>
        <w:rPr>
          <w:sz w:val="20"/>
          <w:szCs w:val="20"/>
        </w:rPr>
      </w:pPr>
      <w:r w:rsidRPr="00687710">
        <w:rPr>
          <w:sz w:val="20"/>
          <w:szCs w:val="20"/>
        </w:rPr>
        <w:t>O god of gods, lord of the world, who have</w:t>
      </w:r>
    </w:p>
    <w:p w14:paraId="6650AA8E" w14:textId="77777777" w:rsidR="00082CF6" w:rsidRPr="00687710" w:rsidRDefault="00082CF6" w:rsidP="00082CF6">
      <w:pPr>
        <w:spacing w:after="0" w:line="240" w:lineRule="auto"/>
        <w:ind w:left="720"/>
        <w:rPr>
          <w:sz w:val="20"/>
          <w:szCs w:val="20"/>
        </w:rPr>
      </w:pPr>
      <w:r w:rsidRPr="00687710">
        <w:rPr>
          <w:sz w:val="20"/>
          <w:szCs w:val="20"/>
        </w:rPr>
        <w:t>Divided by your own divine spirit</w:t>
      </w:r>
    </w:p>
    <w:p w14:paraId="3FAC04B2" w14:textId="77777777" w:rsidR="00082CF6" w:rsidRPr="00687710" w:rsidRDefault="00082CF6" w:rsidP="00082CF6">
      <w:pPr>
        <w:spacing w:after="0" w:line="240" w:lineRule="auto"/>
        <w:ind w:left="720"/>
        <w:rPr>
          <w:sz w:val="20"/>
          <w:szCs w:val="20"/>
        </w:rPr>
      </w:pPr>
      <w:r w:rsidRPr="00687710">
        <w:rPr>
          <w:sz w:val="20"/>
          <w:szCs w:val="20"/>
        </w:rPr>
        <w:t>The universe; first from the firstborn you</w:t>
      </w:r>
    </w:p>
    <w:p w14:paraId="453CE4D9" w14:textId="77777777" w:rsidR="00082CF6" w:rsidRPr="00687710" w:rsidRDefault="00082CF6" w:rsidP="00082CF6">
      <w:pPr>
        <w:spacing w:after="0" w:line="240" w:lineRule="auto"/>
        <w:ind w:left="720"/>
        <w:rPr>
          <w:sz w:val="20"/>
          <w:szCs w:val="20"/>
        </w:rPr>
      </w:pPr>
      <w:r w:rsidRPr="00687710">
        <w:rPr>
          <w:sz w:val="20"/>
          <w:szCs w:val="20"/>
        </w:rPr>
        <w:t>Appeared, created carefully, from water</w:t>
      </w:r>
    </w:p>
    <w:p w14:paraId="4C243DE9" w14:textId="77777777" w:rsidR="00082CF6" w:rsidRPr="00687710" w:rsidRDefault="00082CF6" w:rsidP="00082CF6">
      <w:pPr>
        <w:spacing w:after="0" w:line="240" w:lineRule="auto"/>
        <w:ind w:left="720"/>
        <w:rPr>
          <w:sz w:val="20"/>
          <w:szCs w:val="20"/>
        </w:rPr>
      </w:pPr>
      <w:r w:rsidRPr="00687710">
        <w:rPr>
          <w:sz w:val="20"/>
          <w:szCs w:val="20"/>
        </w:rPr>
        <w:t>That’s turbulent, who founded all the world:</w:t>
      </w:r>
    </w:p>
    <w:p w14:paraId="2567EEC2" w14:textId="77777777" w:rsidR="00082CF6" w:rsidRPr="00687710" w:rsidRDefault="00082CF6" w:rsidP="00082CF6">
      <w:pPr>
        <w:spacing w:after="0" w:line="240" w:lineRule="auto"/>
        <w:ind w:left="720"/>
        <w:rPr>
          <w:sz w:val="20"/>
          <w:szCs w:val="20"/>
        </w:rPr>
      </w:pPr>
      <w:r w:rsidRPr="00687710">
        <w:rPr>
          <w:sz w:val="20"/>
          <w:szCs w:val="20"/>
        </w:rPr>
        <w:t>Abyss, earth/fire, water, air, and in turn</w:t>
      </w:r>
    </w:p>
    <w:p w14:paraId="1F3F5D86" w14:textId="77777777" w:rsidR="00082CF6" w:rsidRPr="00687710" w:rsidRDefault="00082CF6" w:rsidP="00082CF6">
      <w:pPr>
        <w:spacing w:after="0" w:line="240" w:lineRule="auto"/>
        <w:ind w:left="720"/>
        <w:rPr>
          <w:sz w:val="20"/>
          <w:szCs w:val="20"/>
        </w:rPr>
      </w:pPr>
      <w:r w:rsidRPr="00687710">
        <w:rPr>
          <w:sz w:val="20"/>
          <w:szCs w:val="20"/>
        </w:rPr>
        <w:t>Ether and roaring rivers, red-faced moon,</w:t>
      </w:r>
    </w:p>
    <w:p w14:paraId="5CF3975F" w14:textId="77777777" w:rsidR="00082CF6" w:rsidRPr="00687710" w:rsidRDefault="00082CF6" w:rsidP="00082CF6">
      <w:pPr>
        <w:spacing w:after="0" w:line="240" w:lineRule="auto"/>
        <w:ind w:left="720"/>
        <w:rPr>
          <w:sz w:val="20"/>
          <w:szCs w:val="20"/>
        </w:rPr>
      </w:pPr>
      <w:r w:rsidRPr="00687710">
        <w:rPr>
          <w:sz w:val="20"/>
          <w:szCs w:val="20"/>
        </w:rPr>
        <w:t>Heaven’s stars, morning stars, the whirling planets.</w:t>
      </w:r>
    </w:p>
    <w:p w14:paraId="08031279" w14:textId="77777777" w:rsidR="00082CF6" w:rsidRPr="00687710" w:rsidRDefault="00082CF6" w:rsidP="00082CF6">
      <w:pPr>
        <w:spacing w:after="0" w:line="240" w:lineRule="auto"/>
        <w:ind w:left="720"/>
        <w:rPr>
          <w:sz w:val="20"/>
          <w:szCs w:val="20"/>
        </w:rPr>
      </w:pPr>
      <w:r w:rsidRPr="00687710">
        <w:rPr>
          <w:sz w:val="20"/>
          <w:szCs w:val="20"/>
        </w:rPr>
        <w:t>’Tis by your counsels they attend all things.</w:t>
      </w:r>
      <w:r w:rsidRPr="00687710">
        <w:rPr>
          <w:rStyle w:val="FootnoteReference"/>
          <w:sz w:val="20"/>
          <w:szCs w:val="20"/>
        </w:rPr>
        <w:footnoteReference w:id="47"/>
      </w:r>
    </w:p>
    <w:p w14:paraId="03E4252E" w14:textId="12569EC1" w:rsidR="00115480" w:rsidRDefault="00115480" w:rsidP="00090B88"/>
    <w:p w14:paraId="0E284DD1" w14:textId="77777777" w:rsidR="006A2C63" w:rsidRDefault="006A2C63" w:rsidP="006A2C63">
      <w:r>
        <w:t xml:space="preserve">Himmelfarb notes that ‘The magical papyri often evoke high gods such as Helios’, thus bringing magic into similarity with ‘theurgy and with it philosophy – indeed the difference may be entirely in </w:t>
      </w:r>
      <w:r>
        <w:lastRenderedPageBreak/>
        <w:t>the eye of the beholder’,</w:t>
      </w:r>
      <w:r>
        <w:rPr>
          <w:rStyle w:val="FootnoteReference"/>
        </w:rPr>
        <w:footnoteReference w:id="48"/>
      </w:r>
      <w:r>
        <w:t xml:space="preserve"> and Fritz Graf is persuaded that the Mithras Liturgy of the Greek Magical Papyri is a ‘theurgical text’.</w:t>
      </w:r>
      <w:r>
        <w:rPr>
          <w:rStyle w:val="FootnoteReference"/>
        </w:rPr>
        <w:footnoteReference w:id="49"/>
      </w:r>
      <w:r w:rsidRPr="007F45BE">
        <w:t xml:space="preserve"> </w:t>
      </w:r>
    </w:p>
    <w:p w14:paraId="3138A635" w14:textId="10BB924A" w:rsidR="009C5868" w:rsidRDefault="00630D66" w:rsidP="009C5868">
      <w:r>
        <w:t xml:space="preserve">In confirmation, </w:t>
      </w:r>
      <w:r w:rsidR="00C86892">
        <w:t>Dillon</w:t>
      </w:r>
      <w:r w:rsidR="00F53941">
        <w:t xml:space="preserve"> sees no boundary between magic and theurgy; rather, the ‘real distinction is between magic/theurgy  . </w:t>
      </w:r>
      <w:r w:rsidR="009C5868">
        <w:t>. .</w:t>
      </w:r>
      <w:r w:rsidR="00F53941">
        <w:t xml:space="preserve"> and religion</w:t>
      </w:r>
      <w:r w:rsidR="009C5868">
        <w:t>’,</w:t>
      </w:r>
      <w:r w:rsidR="00F53941">
        <w:rPr>
          <w:rStyle w:val="FootnoteReference"/>
        </w:rPr>
        <w:footnoteReference w:id="50"/>
      </w:r>
      <w:r w:rsidR="00F53941">
        <w:t xml:space="preserve"> and </w:t>
      </w:r>
      <w:r w:rsidR="006C666A">
        <w:t xml:space="preserve">he </w:t>
      </w:r>
      <w:r w:rsidR="00F53941">
        <w:t xml:space="preserve">sees Iamblichus, </w:t>
      </w:r>
      <w:r w:rsidR="00F53941" w:rsidRPr="00F53941">
        <w:rPr>
          <w:i/>
        </w:rPr>
        <w:t>in De Mysteriis</w:t>
      </w:r>
      <w:r w:rsidR="00F53941">
        <w:t>,</w:t>
      </w:r>
      <w:r w:rsidR="009C5868">
        <w:t xml:space="preserve"> </w:t>
      </w:r>
      <w:r w:rsidR="00F53941">
        <w:t>to be ‘taking a stand in defence of “higher magic”’</w:t>
      </w:r>
      <w:r w:rsidR="006C666A">
        <w:t>,</w:t>
      </w:r>
      <w:r w:rsidR="00F53941">
        <w:rPr>
          <w:rStyle w:val="FootnoteReference"/>
        </w:rPr>
        <w:footnoteReference w:id="51"/>
      </w:r>
      <w:r w:rsidR="002B631B">
        <w:t>using t</w:t>
      </w:r>
      <w:r w:rsidR="00F53941">
        <w:t xml:space="preserve">he </w:t>
      </w:r>
      <w:r w:rsidR="002B631B">
        <w:t>magicians</w:t>
      </w:r>
      <w:r w:rsidR="00F53941">
        <w:t>’ techniques</w:t>
      </w:r>
      <w:r w:rsidR="002B631B">
        <w:t>, but doing so from an entirely different and honourable orientation</w:t>
      </w:r>
      <w:r w:rsidR="00F53941">
        <w:t xml:space="preserve"> by</w:t>
      </w:r>
      <w:r w:rsidR="002B631B">
        <w:t xml:space="preserve"> </w:t>
      </w:r>
      <w:r w:rsidR="00110EAC">
        <w:t>‘tuning in to the gods</w:t>
      </w:r>
      <w:r w:rsidR="00F53941">
        <w:t>’</w:t>
      </w:r>
      <w:r w:rsidR="00110EAC">
        <w:t xml:space="preserve"> </w:t>
      </w:r>
      <w:r w:rsidR="00F53941">
        <w:t>and</w:t>
      </w:r>
      <w:r w:rsidR="00110EAC">
        <w:t xml:space="preserve"> </w:t>
      </w:r>
      <w:r w:rsidR="00F53941">
        <w:t>‘</w:t>
      </w:r>
      <w:r w:rsidR="00110EAC">
        <w:t>by utilizing the symbola that they themselves have sown in the cosmos’.</w:t>
      </w:r>
      <w:r w:rsidR="00110EAC">
        <w:rPr>
          <w:rStyle w:val="FootnoteReference"/>
        </w:rPr>
        <w:footnoteReference w:id="52"/>
      </w:r>
      <w:r w:rsidR="002B631B">
        <w:t xml:space="preserve"> </w:t>
      </w:r>
      <w:r w:rsidR="00110EAC">
        <w:t xml:space="preserve"> </w:t>
      </w:r>
      <w:r w:rsidR="009C5868">
        <w:t>Finamore, on the other hand, posits that recent studies of Iamblichus’ work do not reveal illogical magical practices, but a blend of ‘rational Platonic philosophy combined with a coherent ritual practice’, named theurgy</w:t>
      </w:r>
      <w:r w:rsidR="00CD6B1F">
        <w:t>;</w:t>
      </w:r>
      <w:r w:rsidR="009C5868">
        <w:rPr>
          <w:rStyle w:val="FootnoteReference"/>
        </w:rPr>
        <w:footnoteReference w:id="53"/>
      </w:r>
      <w:r w:rsidR="00CD6B1F">
        <w:t xml:space="preserve"> but this view might fall into what Lewis describes as a ‘conviction that theurgy must be rescued from the charge of being “magic”’.</w:t>
      </w:r>
      <w:r w:rsidR="00CD6B1F">
        <w:rPr>
          <w:rStyle w:val="FootnoteReference"/>
        </w:rPr>
        <w:footnoteReference w:id="54"/>
      </w:r>
      <w:r w:rsidR="008C2643">
        <w:t xml:space="preserve"> Galtier aptly summarises that</w:t>
      </w:r>
      <w:r w:rsidR="008C2643" w:rsidRPr="00CD6B1F">
        <w:t xml:space="preserve"> </w:t>
      </w:r>
      <w:r w:rsidR="008C2643">
        <w:t>‘perhaps we never shall meet a human group whose behaviour is unadulteratedly magical, religious or scientific’.</w:t>
      </w:r>
      <w:r w:rsidR="008C2643">
        <w:rPr>
          <w:rStyle w:val="FootnoteReference"/>
        </w:rPr>
        <w:footnoteReference w:id="55"/>
      </w:r>
      <w:r w:rsidR="008C2643" w:rsidRPr="00390564">
        <w:t xml:space="preserve"> </w:t>
      </w:r>
    </w:p>
    <w:p w14:paraId="51733BC2" w14:textId="19DDE6D8" w:rsidR="00687710" w:rsidRDefault="008C2643" w:rsidP="00687710">
      <w:r>
        <w:t>In this vein, Hutton concludes that ‘it is certainly true that theurgy operated at the boundary between religion and magic,</w:t>
      </w:r>
      <w:r>
        <w:rPr>
          <w:rStyle w:val="FootnoteReference"/>
        </w:rPr>
        <w:footnoteReference w:id="56"/>
      </w:r>
      <w:r>
        <w:t xml:space="preserve"> and Shaw tells that ‘Iamblichus identifies the Invisible One of Platonism with the Egyptian Heka, the god of magic’.</w:t>
      </w:r>
      <w:r>
        <w:rPr>
          <w:rStyle w:val="FootnoteReference"/>
        </w:rPr>
        <w:footnoteReference w:id="57"/>
      </w:r>
      <w:r>
        <w:t xml:space="preserve">  </w:t>
      </w:r>
      <w:r w:rsidR="009C5868">
        <w:t>For Athanassiadi, Iamblichus ‘qualifies his defence of ritual by making its efficacy dependent on virtue</w:t>
      </w:r>
      <w:r w:rsidR="006C666A">
        <w:t xml:space="preserve"> .  .  </w:t>
      </w:r>
      <w:r w:rsidR="009C5868">
        <w:t xml:space="preserve">nevertheless the inescapable impression left even on a careful reader of the </w:t>
      </w:r>
      <w:r w:rsidR="009C5868" w:rsidRPr="00A370C2">
        <w:rPr>
          <w:i/>
        </w:rPr>
        <w:t>De Mysteriis</w:t>
      </w:r>
      <w:r w:rsidR="009C5868">
        <w:t xml:space="preserve"> is that Iamblichus is a ritualist</w:t>
      </w:r>
      <w:r w:rsidR="00630D66">
        <w:t>,</w:t>
      </w:r>
      <w:r w:rsidR="00630D66">
        <w:rPr>
          <w:rStyle w:val="FootnoteReference"/>
        </w:rPr>
        <w:footnoteReference w:id="58"/>
      </w:r>
      <w:r w:rsidR="009C5868">
        <w:t xml:space="preserve"> and magic is ‘sublimated under the name of theurgy’.</w:t>
      </w:r>
      <w:r w:rsidR="00630D66">
        <w:rPr>
          <w:rStyle w:val="FootnoteReference"/>
        </w:rPr>
        <w:footnoteReference w:id="59"/>
      </w:r>
      <w:r w:rsidR="009C5868">
        <w:t xml:space="preserve">  However</w:t>
      </w:r>
      <w:r w:rsidR="00687710">
        <w:t xml:space="preserve">, </w:t>
      </w:r>
      <w:r w:rsidR="009C5868">
        <w:t xml:space="preserve">she </w:t>
      </w:r>
      <w:r w:rsidR="00687710">
        <w:t>depicts</w:t>
      </w:r>
      <w:r>
        <w:t xml:space="preserve"> this magical</w:t>
      </w:r>
      <w:r w:rsidR="00CD6B1F">
        <w:t xml:space="preserve"> </w:t>
      </w:r>
      <w:r w:rsidR="00687710">
        <w:t>theurgy as primarily a ‘dynamic state of mind’,</w:t>
      </w:r>
      <w:r w:rsidR="00687710">
        <w:rPr>
          <w:rStyle w:val="FootnoteReference"/>
        </w:rPr>
        <w:footnoteReference w:id="60"/>
      </w:r>
      <w:r w:rsidR="00687710">
        <w:t xml:space="preserve"> implicitly, therefore, referring to its vibrant and interactive engagement with the divine energies it seeks to connect with</w:t>
      </w:r>
      <w:r w:rsidR="009C5868">
        <w:t>,</w:t>
      </w:r>
      <w:r w:rsidR="00687710">
        <w:t xml:space="preserve"> and going beyond intellec</w:t>
      </w:r>
      <w:r w:rsidR="00630D66">
        <w:t>t</w:t>
      </w:r>
      <w:r w:rsidR="00687710">
        <w:t xml:space="preserve"> to include the capacities of the whole person.</w:t>
      </w:r>
    </w:p>
    <w:p w14:paraId="136888D6" w14:textId="77777777" w:rsidR="00315612" w:rsidRDefault="00315612"/>
    <w:p w14:paraId="6BD0D276" w14:textId="77777777" w:rsidR="006C666A" w:rsidRDefault="006C666A">
      <w:pPr>
        <w:rPr>
          <w:b/>
        </w:rPr>
      </w:pPr>
    </w:p>
    <w:p w14:paraId="0081D812" w14:textId="77777777" w:rsidR="006C666A" w:rsidRDefault="006C666A">
      <w:pPr>
        <w:rPr>
          <w:b/>
        </w:rPr>
      </w:pPr>
    </w:p>
    <w:p w14:paraId="21B00296" w14:textId="77777777" w:rsidR="006C666A" w:rsidRDefault="006C666A">
      <w:pPr>
        <w:rPr>
          <w:b/>
        </w:rPr>
      </w:pPr>
    </w:p>
    <w:p w14:paraId="16DDA275" w14:textId="77777777" w:rsidR="006C666A" w:rsidRDefault="006C666A">
      <w:pPr>
        <w:rPr>
          <w:b/>
        </w:rPr>
      </w:pPr>
    </w:p>
    <w:p w14:paraId="241C5144" w14:textId="78600646" w:rsidR="004058C2" w:rsidRPr="00C73A94" w:rsidRDefault="00CD6B1F">
      <w:pPr>
        <w:rPr>
          <w:b/>
        </w:rPr>
      </w:pPr>
      <w:r w:rsidRPr="00C73A94">
        <w:rPr>
          <w:b/>
        </w:rPr>
        <w:lastRenderedPageBreak/>
        <w:t>Conclusion.</w:t>
      </w:r>
    </w:p>
    <w:p w14:paraId="4C1AA7A2" w14:textId="05427FE0" w:rsidR="00456911" w:rsidRDefault="00EB26CE">
      <w:r w:rsidRPr="00C73A94">
        <w:t>Theurgy has</w:t>
      </w:r>
      <w:r>
        <w:t xml:space="preserve"> been seen to have</w:t>
      </w:r>
      <w:r w:rsidRPr="00C73A94">
        <w:t xml:space="preserve"> awareness of the indescribable creative potency, or magic, of divinity</w:t>
      </w:r>
      <w:r>
        <w:t xml:space="preserve">. While </w:t>
      </w:r>
      <w:r w:rsidR="00CA082D">
        <w:t xml:space="preserve">Iamblichus sought distance from godless and exploitative </w:t>
      </w:r>
      <w:r w:rsidR="00557349">
        <w:t>manipulation</w:t>
      </w:r>
      <w:r w:rsidR="006C666A">
        <w:t>s</w:t>
      </w:r>
      <w:r w:rsidR="00557349">
        <w:t xml:space="preserve"> of </w:t>
      </w:r>
      <w:r>
        <w:t>an</w:t>
      </w:r>
      <w:r w:rsidR="00315612" w:rsidRPr="00C73A94">
        <w:t xml:space="preserve"> animated world </w:t>
      </w:r>
      <w:r>
        <w:t xml:space="preserve">which </w:t>
      </w:r>
      <w:r w:rsidR="00315612" w:rsidRPr="00C73A94">
        <w:t>enable</w:t>
      </w:r>
      <w:r w:rsidR="00CA082D">
        <w:t>s</w:t>
      </w:r>
      <w:r w:rsidR="00315612" w:rsidRPr="00C73A94">
        <w:t xml:space="preserve"> the virtuous and unholy alike to be ‘filled with spiritual influences’</w:t>
      </w:r>
      <w:r>
        <w:t>,</w:t>
      </w:r>
      <w:r w:rsidR="00315612" w:rsidRPr="00C73A94">
        <w:rPr>
          <w:rStyle w:val="FootnoteReference"/>
        </w:rPr>
        <w:footnoteReference w:id="61"/>
      </w:r>
      <w:r w:rsidR="00315612" w:rsidRPr="00C73A94">
        <w:t xml:space="preserve"> </w:t>
      </w:r>
      <w:r>
        <w:t>t</w:t>
      </w:r>
      <w:r w:rsidRPr="00C73A94">
        <w:t xml:space="preserve">heurgy </w:t>
      </w:r>
      <w:r>
        <w:t>wa</w:t>
      </w:r>
      <w:r w:rsidRPr="00C73A94">
        <w:t>s not alone in seeking morally-motivated a</w:t>
      </w:r>
      <w:r>
        <w:t>lignment</w:t>
      </w:r>
      <w:r w:rsidRPr="00C73A94">
        <w:t xml:space="preserve"> with </w:t>
      </w:r>
      <w:r>
        <w:t xml:space="preserve">the divine </w:t>
      </w:r>
      <w:r w:rsidRPr="00C73A94">
        <w:t>power</w:t>
      </w:r>
      <w:r>
        <w:t xml:space="preserve"> of the gods.  Moreover, w</w:t>
      </w:r>
      <w:r w:rsidR="00557349">
        <w:t xml:space="preserve">ith the term ‘magic’ </w:t>
      </w:r>
      <w:r w:rsidR="006C666A">
        <w:t xml:space="preserve">evading definition, </w:t>
      </w:r>
      <w:r w:rsidR="00557349">
        <w:t>and with little scholarly agreement as to whether theurgy falls into the class of ‘magic’, a</w:t>
      </w:r>
      <w:r w:rsidR="006C666A">
        <w:t>n irrefutable</w:t>
      </w:r>
      <w:r w:rsidR="00557349">
        <w:t xml:space="preserve"> view cannot be </w:t>
      </w:r>
      <w:r w:rsidR="006C666A">
        <w:t>arrived at</w:t>
      </w:r>
      <w:r>
        <w:t>.</w:t>
      </w:r>
      <w:r w:rsidRPr="00C73A94">
        <w:t xml:space="preserve"> </w:t>
      </w:r>
      <w:r w:rsidR="006C666A">
        <w:t xml:space="preserve"> </w:t>
      </w:r>
      <w:r>
        <w:t>Ho</w:t>
      </w:r>
      <w:r w:rsidR="00686D84">
        <w:t>wever, o</w:t>
      </w:r>
      <w:r>
        <w:t xml:space="preserve">n </w:t>
      </w:r>
      <w:r w:rsidR="00686D84">
        <w:t>balance</w:t>
      </w:r>
      <w:r>
        <w:t xml:space="preserve">, </w:t>
      </w:r>
      <w:r w:rsidR="006C666A">
        <w:t>it is concluded</w:t>
      </w:r>
      <w:r w:rsidR="008C2643">
        <w:t xml:space="preserve"> </w:t>
      </w:r>
      <w:r>
        <w:t xml:space="preserve">that theurgy cannot escape </w:t>
      </w:r>
      <w:r w:rsidR="006C666A">
        <w:t>being considered a form of</w:t>
      </w:r>
      <w:r w:rsidR="008C2643">
        <w:t xml:space="preserve"> </w:t>
      </w:r>
      <w:r w:rsidR="00686D84">
        <w:t xml:space="preserve">ethical </w:t>
      </w:r>
      <w:r>
        <w:t>magic.</w:t>
      </w:r>
    </w:p>
    <w:p w14:paraId="63307124" w14:textId="6672CF28" w:rsidR="006274DE" w:rsidRDefault="006274DE"/>
    <w:p w14:paraId="5D821F60" w14:textId="63FA8AA7" w:rsidR="006274DE" w:rsidRDefault="006274DE"/>
    <w:p w14:paraId="1DA60E46" w14:textId="067E5299" w:rsidR="006274DE" w:rsidRDefault="006274DE"/>
    <w:p w14:paraId="37336FC7" w14:textId="4B5407F9" w:rsidR="006274DE" w:rsidRDefault="006274DE"/>
    <w:p w14:paraId="72474CF3" w14:textId="77777777" w:rsidR="006274DE" w:rsidRDefault="006274DE" w:rsidP="006274DE">
      <w:pPr>
        <w:pStyle w:val="FootnoteText"/>
        <w:rPr>
          <w:b/>
          <w:sz w:val="22"/>
          <w:szCs w:val="22"/>
        </w:rPr>
      </w:pPr>
    </w:p>
    <w:p w14:paraId="63A325E5" w14:textId="77777777" w:rsidR="006274DE" w:rsidRDefault="006274DE" w:rsidP="006274DE">
      <w:pPr>
        <w:pStyle w:val="FootnoteText"/>
        <w:rPr>
          <w:b/>
          <w:sz w:val="22"/>
          <w:szCs w:val="22"/>
        </w:rPr>
      </w:pPr>
    </w:p>
    <w:p w14:paraId="44718B47" w14:textId="77777777" w:rsidR="006274DE" w:rsidRDefault="006274DE" w:rsidP="006274DE">
      <w:pPr>
        <w:pStyle w:val="FootnoteText"/>
        <w:rPr>
          <w:b/>
          <w:sz w:val="22"/>
          <w:szCs w:val="22"/>
        </w:rPr>
      </w:pPr>
    </w:p>
    <w:p w14:paraId="329C6012" w14:textId="77777777" w:rsidR="006274DE" w:rsidRDefault="006274DE" w:rsidP="006274DE">
      <w:pPr>
        <w:pStyle w:val="FootnoteText"/>
        <w:rPr>
          <w:b/>
          <w:sz w:val="22"/>
          <w:szCs w:val="22"/>
        </w:rPr>
      </w:pPr>
    </w:p>
    <w:p w14:paraId="0D6FFF94" w14:textId="77777777" w:rsidR="006274DE" w:rsidRDefault="006274DE" w:rsidP="006274DE">
      <w:pPr>
        <w:pStyle w:val="FootnoteText"/>
        <w:rPr>
          <w:b/>
          <w:sz w:val="22"/>
          <w:szCs w:val="22"/>
        </w:rPr>
      </w:pPr>
    </w:p>
    <w:p w14:paraId="226B23E9" w14:textId="77777777" w:rsidR="006274DE" w:rsidRDefault="006274DE" w:rsidP="006274DE">
      <w:pPr>
        <w:pStyle w:val="FootnoteText"/>
        <w:rPr>
          <w:b/>
          <w:sz w:val="22"/>
          <w:szCs w:val="22"/>
        </w:rPr>
      </w:pPr>
    </w:p>
    <w:p w14:paraId="4D480413" w14:textId="77777777" w:rsidR="006274DE" w:rsidRDefault="006274DE" w:rsidP="006274DE">
      <w:pPr>
        <w:pStyle w:val="FootnoteText"/>
        <w:rPr>
          <w:b/>
          <w:sz w:val="22"/>
          <w:szCs w:val="22"/>
        </w:rPr>
      </w:pPr>
    </w:p>
    <w:p w14:paraId="1846D585" w14:textId="77777777" w:rsidR="006274DE" w:rsidRDefault="006274DE" w:rsidP="006274DE">
      <w:pPr>
        <w:pStyle w:val="FootnoteText"/>
        <w:rPr>
          <w:b/>
          <w:sz w:val="22"/>
          <w:szCs w:val="22"/>
        </w:rPr>
      </w:pPr>
    </w:p>
    <w:p w14:paraId="1728509F" w14:textId="77777777" w:rsidR="006274DE" w:rsidRDefault="006274DE" w:rsidP="006274DE">
      <w:pPr>
        <w:pStyle w:val="FootnoteText"/>
        <w:rPr>
          <w:b/>
          <w:sz w:val="22"/>
          <w:szCs w:val="22"/>
        </w:rPr>
      </w:pPr>
    </w:p>
    <w:p w14:paraId="09829E24" w14:textId="77777777" w:rsidR="006274DE" w:rsidRDefault="006274DE" w:rsidP="006274DE">
      <w:pPr>
        <w:pStyle w:val="FootnoteText"/>
        <w:rPr>
          <w:b/>
          <w:sz w:val="22"/>
          <w:szCs w:val="22"/>
        </w:rPr>
      </w:pPr>
    </w:p>
    <w:p w14:paraId="67C6B2C6" w14:textId="77777777" w:rsidR="006274DE" w:rsidRDefault="006274DE" w:rsidP="006274DE">
      <w:pPr>
        <w:pStyle w:val="FootnoteText"/>
        <w:rPr>
          <w:b/>
          <w:sz w:val="22"/>
          <w:szCs w:val="22"/>
        </w:rPr>
      </w:pPr>
    </w:p>
    <w:p w14:paraId="49B425F4" w14:textId="77777777" w:rsidR="006274DE" w:rsidRDefault="006274DE" w:rsidP="006274DE">
      <w:pPr>
        <w:pStyle w:val="FootnoteText"/>
        <w:rPr>
          <w:b/>
          <w:sz w:val="22"/>
          <w:szCs w:val="22"/>
        </w:rPr>
      </w:pPr>
    </w:p>
    <w:p w14:paraId="4C1D7D82" w14:textId="77777777" w:rsidR="006274DE" w:rsidRDefault="006274DE" w:rsidP="006274DE">
      <w:pPr>
        <w:pStyle w:val="FootnoteText"/>
        <w:rPr>
          <w:b/>
          <w:sz w:val="22"/>
          <w:szCs w:val="22"/>
        </w:rPr>
      </w:pPr>
    </w:p>
    <w:p w14:paraId="0ECDD8FD" w14:textId="77777777" w:rsidR="006274DE" w:rsidRDefault="006274DE" w:rsidP="006274DE">
      <w:pPr>
        <w:pStyle w:val="FootnoteText"/>
        <w:rPr>
          <w:b/>
          <w:sz w:val="22"/>
          <w:szCs w:val="22"/>
        </w:rPr>
      </w:pPr>
    </w:p>
    <w:p w14:paraId="3FAF8AF7" w14:textId="77777777" w:rsidR="006274DE" w:rsidRDefault="006274DE" w:rsidP="006274DE">
      <w:pPr>
        <w:pStyle w:val="FootnoteText"/>
        <w:rPr>
          <w:b/>
          <w:sz w:val="22"/>
          <w:szCs w:val="22"/>
        </w:rPr>
      </w:pPr>
    </w:p>
    <w:p w14:paraId="72505AE2" w14:textId="77777777" w:rsidR="006274DE" w:rsidRDefault="006274DE" w:rsidP="006274DE">
      <w:pPr>
        <w:pStyle w:val="FootnoteText"/>
        <w:rPr>
          <w:b/>
          <w:sz w:val="22"/>
          <w:szCs w:val="22"/>
        </w:rPr>
      </w:pPr>
    </w:p>
    <w:p w14:paraId="257FC16B" w14:textId="77777777" w:rsidR="006274DE" w:rsidRDefault="006274DE" w:rsidP="006274DE">
      <w:pPr>
        <w:pStyle w:val="FootnoteText"/>
        <w:rPr>
          <w:b/>
          <w:sz w:val="22"/>
          <w:szCs w:val="22"/>
        </w:rPr>
      </w:pPr>
    </w:p>
    <w:p w14:paraId="7D09BCCC" w14:textId="77777777" w:rsidR="006274DE" w:rsidRDefault="006274DE" w:rsidP="006274DE">
      <w:pPr>
        <w:pStyle w:val="FootnoteText"/>
        <w:rPr>
          <w:b/>
          <w:sz w:val="22"/>
          <w:szCs w:val="22"/>
        </w:rPr>
      </w:pPr>
    </w:p>
    <w:p w14:paraId="136B04FB" w14:textId="77777777" w:rsidR="006274DE" w:rsidRDefault="006274DE" w:rsidP="006274DE">
      <w:pPr>
        <w:pStyle w:val="FootnoteText"/>
        <w:rPr>
          <w:b/>
          <w:sz w:val="22"/>
          <w:szCs w:val="22"/>
        </w:rPr>
      </w:pPr>
    </w:p>
    <w:p w14:paraId="32164FC2" w14:textId="77777777" w:rsidR="006274DE" w:rsidRDefault="006274DE" w:rsidP="006274DE">
      <w:pPr>
        <w:pStyle w:val="FootnoteText"/>
        <w:rPr>
          <w:b/>
          <w:sz w:val="22"/>
          <w:szCs w:val="22"/>
        </w:rPr>
      </w:pPr>
    </w:p>
    <w:p w14:paraId="6AE8A97F" w14:textId="77777777" w:rsidR="006274DE" w:rsidRDefault="006274DE" w:rsidP="006274DE">
      <w:pPr>
        <w:pStyle w:val="FootnoteText"/>
        <w:rPr>
          <w:b/>
          <w:sz w:val="22"/>
          <w:szCs w:val="22"/>
        </w:rPr>
      </w:pPr>
    </w:p>
    <w:p w14:paraId="0380F2CE" w14:textId="77777777" w:rsidR="006274DE" w:rsidRDefault="006274DE" w:rsidP="006274DE">
      <w:pPr>
        <w:pStyle w:val="FootnoteText"/>
        <w:rPr>
          <w:b/>
          <w:sz w:val="22"/>
          <w:szCs w:val="22"/>
        </w:rPr>
      </w:pPr>
    </w:p>
    <w:p w14:paraId="71D4627E" w14:textId="77777777" w:rsidR="006274DE" w:rsidRDefault="006274DE" w:rsidP="006274DE">
      <w:pPr>
        <w:pStyle w:val="FootnoteText"/>
        <w:rPr>
          <w:b/>
          <w:sz w:val="22"/>
          <w:szCs w:val="22"/>
        </w:rPr>
      </w:pPr>
    </w:p>
    <w:p w14:paraId="78065D12" w14:textId="77777777" w:rsidR="006274DE" w:rsidRDefault="006274DE" w:rsidP="006274DE">
      <w:pPr>
        <w:pStyle w:val="FootnoteText"/>
        <w:rPr>
          <w:b/>
          <w:sz w:val="22"/>
          <w:szCs w:val="22"/>
        </w:rPr>
      </w:pPr>
    </w:p>
    <w:p w14:paraId="130E6685" w14:textId="77777777" w:rsidR="006274DE" w:rsidRDefault="006274DE" w:rsidP="006274DE">
      <w:pPr>
        <w:pStyle w:val="FootnoteText"/>
        <w:rPr>
          <w:b/>
          <w:sz w:val="22"/>
          <w:szCs w:val="22"/>
        </w:rPr>
      </w:pPr>
    </w:p>
    <w:p w14:paraId="01791A0C" w14:textId="77777777" w:rsidR="006274DE" w:rsidRDefault="006274DE" w:rsidP="006274DE">
      <w:pPr>
        <w:pStyle w:val="FootnoteText"/>
        <w:rPr>
          <w:b/>
          <w:sz w:val="22"/>
          <w:szCs w:val="22"/>
        </w:rPr>
      </w:pPr>
    </w:p>
    <w:p w14:paraId="0EE575A6" w14:textId="77777777" w:rsidR="006274DE" w:rsidRDefault="006274DE" w:rsidP="006274DE">
      <w:pPr>
        <w:pStyle w:val="FootnoteText"/>
        <w:rPr>
          <w:b/>
          <w:sz w:val="22"/>
          <w:szCs w:val="22"/>
        </w:rPr>
      </w:pPr>
    </w:p>
    <w:p w14:paraId="70793AE6" w14:textId="77777777" w:rsidR="006274DE" w:rsidRDefault="006274DE" w:rsidP="006274DE">
      <w:pPr>
        <w:pStyle w:val="FootnoteText"/>
        <w:rPr>
          <w:b/>
          <w:sz w:val="22"/>
          <w:szCs w:val="22"/>
        </w:rPr>
      </w:pPr>
    </w:p>
    <w:p w14:paraId="1A0330EB" w14:textId="77777777" w:rsidR="006274DE" w:rsidRDefault="006274DE" w:rsidP="006274DE">
      <w:pPr>
        <w:pStyle w:val="FootnoteText"/>
        <w:rPr>
          <w:b/>
          <w:sz w:val="22"/>
          <w:szCs w:val="22"/>
        </w:rPr>
      </w:pPr>
    </w:p>
    <w:p w14:paraId="33D11400" w14:textId="77777777" w:rsidR="006274DE" w:rsidRDefault="006274DE" w:rsidP="006274DE">
      <w:pPr>
        <w:pStyle w:val="FootnoteText"/>
        <w:rPr>
          <w:b/>
          <w:sz w:val="22"/>
          <w:szCs w:val="22"/>
        </w:rPr>
      </w:pPr>
    </w:p>
    <w:p w14:paraId="4A62BC29" w14:textId="77777777" w:rsidR="006274DE" w:rsidRDefault="006274DE" w:rsidP="006274DE">
      <w:pPr>
        <w:pStyle w:val="FootnoteText"/>
        <w:rPr>
          <w:b/>
          <w:sz w:val="22"/>
          <w:szCs w:val="22"/>
        </w:rPr>
      </w:pPr>
    </w:p>
    <w:p w14:paraId="553147A8" w14:textId="77777777" w:rsidR="006274DE" w:rsidRDefault="006274DE" w:rsidP="006274DE">
      <w:pPr>
        <w:pStyle w:val="FootnoteText"/>
        <w:rPr>
          <w:b/>
          <w:sz w:val="22"/>
          <w:szCs w:val="22"/>
        </w:rPr>
      </w:pPr>
    </w:p>
    <w:p w14:paraId="59CD7764" w14:textId="77777777" w:rsidR="006274DE" w:rsidRDefault="006274DE" w:rsidP="006274DE">
      <w:pPr>
        <w:pStyle w:val="FootnoteText"/>
        <w:rPr>
          <w:b/>
          <w:sz w:val="22"/>
          <w:szCs w:val="22"/>
        </w:rPr>
      </w:pPr>
    </w:p>
    <w:p w14:paraId="56F6C7AB" w14:textId="5E96C9ED" w:rsidR="006274DE" w:rsidRPr="0068461F" w:rsidRDefault="006274DE" w:rsidP="006274DE">
      <w:pPr>
        <w:pStyle w:val="FootnoteText"/>
        <w:rPr>
          <w:b/>
          <w:sz w:val="22"/>
          <w:szCs w:val="22"/>
        </w:rPr>
      </w:pPr>
      <w:r w:rsidRPr="0068461F">
        <w:rPr>
          <w:b/>
          <w:sz w:val="22"/>
          <w:szCs w:val="22"/>
        </w:rPr>
        <w:lastRenderedPageBreak/>
        <w:t>Bibliography</w:t>
      </w:r>
    </w:p>
    <w:p w14:paraId="5456BF44" w14:textId="77777777" w:rsidR="006274DE" w:rsidRPr="0068461F" w:rsidRDefault="006274DE" w:rsidP="006274DE">
      <w:pPr>
        <w:pStyle w:val="FootnoteText"/>
        <w:rPr>
          <w:sz w:val="22"/>
          <w:szCs w:val="22"/>
        </w:rPr>
      </w:pPr>
    </w:p>
    <w:p w14:paraId="1EF46CDF" w14:textId="77777777" w:rsidR="006274DE" w:rsidRPr="0068461F" w:rsidRDefault="006274DE" w:rsidP="006274DE">
      <w:pPr>
        <w:pStyle w:val="FootnoteText"/>
        <w:rPr>
          <w:sz w:val="22"/>
          <w:szCs w:val="22"/>
        </w:rPr>
      </w:pPr>
      <w:r w:rsidRPr="0068461F">
        <w:rPr>
          <w:sz w:val="22"/>
          <w:szCs w:val="22"/>
        </w:rPr>
        <w:t xml:space="preserve">Addey, </w:t>
      </w:r>
      <w:r>
        <w:rPr>
          <w:sz w:val="22"/>
          <w:szCs w:val="22"/>
        </w:rPr>
        <w:t>Crystal,</w:t>
      </w:r>
      <w:r w:rsidRPr="0068461F">
        <w:rPr>
          <w:sz w:val="22"/>
          <w:szCs w:val="22"/>
        </w:rPr>
        <w:t xml:space="preserve"> </w:t>
      </w:r>
      <w:r w:rsidRPr="0068461F">
        <w:rPr>
          <w:i/>
          <w:sz w:val="22"/>
          <w:szCs w:val="22"/>
        </w:rPr>
        <w:t>Divination and Theurgy in Neoplatonism: Oracles of the gods,</w:t>
      </w:r>
      <w:r w:rsidRPr="0068461F">
        <w:rPr>
          <w:sz w:val="22"/>
          <w:szCs w:val="22"/>
        </w:rPr>
        <w:t xml:space="preserve"> &lt;</w:t>
      </w:r>
      <w:hyperlink r:id="rId9" w:history="1">
        <w:r w:rsidRPr="0068461F">
          <w:rPr>
            <w:rStyle w:val="Hyperlink"/>
            <w:sz w:val="22"/>
            <w:szCs w:val="22"/>
          </w:rPr>
          <w:t>https://www.dawsonera.com:443/abstract/9781409451532</w:t>
        </w:r>
      </w:hyperlink>
      <w:r w:rsidRPr="0068461F">
        <w:rPr>
          <w:sz w:val="22"/>
          <w:szCs w:val="22"/>
        </w:rPr>
        <w:t>&gt;</w:t>
      </w:r>
    </w:p>
    <w:p w14:paraId="22016056" w14:textId="77777777" w:rsidR="006274DE" w:rsidRPr="0068461F" w:rsidRDefault="006274DE" w:rsidP="006274DE">
      <w:pPr>
        <w:pStyle w:val="FootnoteText"/>
        <w:rPr>
          <w:sz w:val="22"/>
          <w:szCs w:val="22"/>
        </w:rPr>
      </w:pPr>
    </w:p>
    <w:p w14:paraId="29D974FF" w14:textId="77777777" w:rsidR="006274DE" w:rsidRPr="0068461F" w:rsidRDefault="006274DE" w:rsidP="006274DE">
      <w:pPr>
        <w:pStyle w:val="FootnoteText"/>
        <w:rPr>
          <w:sz w:val="22"/>
          <w:szCs w:val="22"/>
        </w:rPr>
      </w:pPr>
      <w:r w:rsidRPr="0068461F">
        <w:rPr>
          <w:sz w:val="22"/>
          <w:szCs w:val="22"/>
        </w:rPr>
        <w:t>Anderson,</w:t>
      </w:r>
      <w:r>
        <w:rPr>
          <w:sz w:val="22"/>
          <w:szCs w:val="22"/>
        </w:rPr>
        <w:t xml:space="preserve"> Eugene,</w:t>
      </w:r>
      <w:r w:rsidRPr="0068461F">
        <w:rPr>
          <w:sz w:val="22"/>
          <w:szCs w:val="22"/>
        </w:rPr>
        <w:t xml:space="preserve"> </w:t>
      </w:r>
      <w:r w:rsidRPr="0068461F">
        <w:rPr>
          <w:i/>
          <w:sz w:val="22"/>
          <w:szCs w:val="22"/>
        </w:rPr>
        <w:t xml:space="preserve">Magic, Science and Religion: Useful Labels in the Past? Useless in the Present? </w:t>
      </w:r>
      <w:r>
        <w:rPr>
          <w:sz w:val="22"/>
          <w:szCs w:val="22"/>
        </w:rPr>
        <w:t>&lt;</w:t>
      </w:r>
      <w:hyperlink r:id="rId10" w:history="1">
        <w:r w:rsidRPr="00C36B40">
          <w:rPr>
            <w:rStyle w:val="Hyperlink"/>
            <w:sz w:val="22"/>
            <w:szCs w:val="22"/>
          </w:rPr>
          <w:t>http://www.krazykioti.com/articles/magic-science-and-religion/</w:t>
        </w:r>
      </w:hyperlink>
      <w:r>
        <w:rPr>
          <w:sz w:val="22"/>
          <w:szCs w:val="22"/>
        </w:rPr>
        <w:t>&gt;</w:t>
      </w:r>
    </w:p>
    <w:p w14:paraId="166A257E" w14:textId="77777777" w:rsidR="006274DE" w:rsidRPr="0068461F" w:rsidRDefault="006274DE" w:rsidP="006274DE">
      <w:pPr>
        <w:pStyle w:val="FootnoteText"/>
        <w:rPr>
          <w:sz w:val="22"/>
          <w:szCs w:val="22"/>
        </w:rPr>
      </w:pPr>
    </w:p>
    <w:p w14:paraId="012D17DD" w14:textId="77777777" w:rsidR="006274DE" w:rsidRPr="0068461F" w:rsidRDefault="006274DE" w:rsidP="006274DE">
      <w:pPr>
        <w:pStyle w:val="FootnoteText"/>
        <w:rPr>
          <w:sz w:val="22"/>
          <w:szCs w:val="22"/>
        </w:rPr>
      </w:pPr>
      <w:r w:rsidRPr="0068461F">
        <w:rPr>
          <w:sz w:val="22"/>
          <w:szCs w:val="22"/>
        </w:rPr>
        <w:t xml:space="preserve">Athanassiadi, </w:t>
      </w:r>
      <w:r>
        <w:rPr>
          <w:sz w:val="22"/>
          <w:szCs w:val="22"/>
        </w:rPr>
        <w:t xml:space="preserve">Polymnia, </w:t>
      </w:r>
      <w:r w:rsidRPr="0068461F">
        <w:rPr>
          <w:sz w:val="22"/>
          <w:szCs w:val="22"/>
        </w:rPr>
        <w:t xml:space="preserve">‘Dreams, Theurgy and Freelance Divination: The Testimony of Iamblichus’, </w:t>
      </w:r>
      <w:r w:rsidRPr="0068461F">
        <w:rPr>
          <w:i/>
          <w:sz w:val="22"/>
          <w:szCs w:val="22"/>
        </w:rPr>
        <w:t>The Journal of Roman Studies</w:t>
      </w:r>
      <w:r w:rsidRPr="0068461F">
        <w:rPr>
          <w:sz w:val="22"/>
          <w:szCs w:val="22"/>
        </w:rPr>
        <w:t>, Vol. 83</w:t>
      </w:r>
      <w:r>
        <w:rPr>
          <w:sz w:val="22"/>
          <w:szCs w:val="22"/>
        </w:rPr>
        <w:t>, pp. 115-130,</w:t>
      </w:r>
      <w:r w:rsidRPr="0068461F">
        <w:rPr>
          <w:sz w:val="22"/>
          <w:szCs w:val="22"/>
        </w:rPr>
        <w:t xml:space="preserve"> (1993)</w:t>
      </w:r>
    </w:p>
    <w:p w14:paraId="39F91888" w14:textId="77777777" w:rsidR="006274DE" w:rsidRPr="0068461F" w:rsidRDefault="006274DE" w:rsidP="006274DE">
      <w:pPr>
        <w:pStyle w:val="FootnoteText"/>
        <w:rPr>
          <w:sz w:val="22"/>
          <w:szCs w:val="22"/>
        </w:rPr>
      </w:pPr>
    </w:p>
    <w:p w14:paraId="242EE96F" w14:textId="77777777" w:rsidR="006274DE" w:rsidRPr="0068461F" w:rsidRDefault="006274DE" w:rsidP="006274DE">
      <w:pPr>
        <w:pStyle w:val="FootnoteText"/>
        <w:rPr>
          <w:sz w:val="22"/>
          <w:szCs w:val="22"/>
        </w:rPr>
      </w:pPr>
      <w:r w:rsidRPr="0068461F">
        <w:rPr>
          <w:sz w:val="22"/>
          <w:szCs w:val="22"/>
        </w:rPr>
        <w:t xml:space="preserve">Betz, </w:t>
      </w:r>
      <w:r>
        <w:rPr>
          <w:sz w:val="22"/>
          <w:szCs w:val="22"/>
        </w:rPr>
        <w:t xml:space="preserve">Hans, D., </w:t>
      </w:r>
      <w:r w:rsidRPr="0068461F">
        <w:rPr>
          <w:sz w:val="22"/>
          <w:szCs w:val="22"/>
        </w:rPr>
        <w:t xml:space="preserve">‘The Delphic Maxim “Know Yourself” in the Greek Magical Papyri’, </w:t>
      </w:r>
      <w:r w:rsidRPr="0068461F">
        <w:rPr>
          <w:i/>
          <w:sz w:val="22"/>
          <w:szCs w:val="22"/>
        </w:rPr>
        <w:t>History of Religions</w:t>
      </w:r>
      <w:r w:rsidRPr="0068461F">
        <w:rPr>
          <w:sz w:val="22"/>
          <w:szCs w:val="22"/>
        </w:rPr>
        <w:t>, Vol. 2 (2)</w:t>
      </w:r>
      <w:r>
        <w:rPr>
          <w:sz w:val="22"/>
          <w:szCs w:val="22"/>
        </w:rPr>
        <w:t>, pp. 156- 171</w:t>
      </w:r>
      <w:r w:rsidRPr="0068461F">
        <w:rPr>
          <w:sz w:val="22"/>
          <w:szCs w:val="22"/>
        </w:rPr>
        <w:t>, (Chicago: The University of Chicago Press, 1981)</w:t>
      </w:r>
    </w:p>
    <w:p w14:paraId="36BE05F7" w14:textId="77777777" w:rsidR="006274DE" w:rsidRPr="0068461F" w:rsidRDefault="006274DE" w:rsidP="006274DE">
      <w:pPr>
        <w:pStyle w:val="FootnoteText"/>
        <w:rPr>
          <w:sz w:val="22"/>
          <w:szCs w:val="22"/>
        </w:rPr>
      </w:pPr>
    </w:p>
    <w:p w14:paraId="32F7A8E0" w14:textId="77777777" w:rsidR="006274DE" w:rsidRPr="0068461F" w:rsidRDefault="006274DE" w:rsidP="006274DE">
      <w:r w:rsidRPr="0068461F">
        <w:t>Dieter Betz</w:t>
      </w:r>
      <w:r>
        <w:t xml:space="preserve">, Hans, D., </w:t>
      </w:r>
      <w:r w:rsidRPr="0068461F">
        <w:t xml:space="preserve">(ed.), </w:t>
      </w:r>
      <w:r w:rsidRPr="0068461F">
        <w:rPr>
          <w:i/>
        </w:rPr>
        <w:t>The Greek Magical Papyri in Translation: Including the Demotic Spells</w:t>
      </w:r>
      <w:r w:rsidRPr="0068461F">
        <w:t>, 2</w:t>
      </w:r>
      <w:r w:rsidRPr="0068461F">
        <w:rPr>
          <w:vertAlign w:val="superscript"/>
        </w:rPr>
        <w:t>nd</w:t>
      </w:r>
      <w:r w:rsidRPr="0068461F">
        <w:t xml:space="preserve"> edn. Vol. 1: Texts (Chicago: The University of Chicago Press, 1986 [1992])</w:t>
      </w:r>
    </w:p>
    <w:p w14:paraId="6216728A" w14:textId="77777777" w:rsidR="006274DE" w:rsidRPr="0068461F" w:rsidRDefault="006274DE" w:rsidP="006274DE">
      <w:pPr>
        <w:pStyle w:val="FootnoteText"/>
        <w:rPr>
          <w:sz w:val="22"/>
          <w:szCs w:val="22"/>
        </w:rPr>
      </w:pPr>
      <w:r w:rsidRPr="0068461F">
        <w:rPr>
          <w:sz w:val="22"/>
          <w:szCs w:val="22"/>
        </w:rPr>
        <w:t xml:space="preserve">Clarke, </w:t>
      </w:r>
      <w:r>
        <w:rPr>
          <w:sz w:val="22"/>
          <w:szCs w:val="22"/>
        </w:rPr>
        <w:t xml:space="preserve">Emma, C., </w:t>
      </w:r>
      <w:r w:rsidRPr="0068461F">
        <w:rPr>
          <w:sz w:val="22"/>
          <w:szCs w:val="22"/>
        </w:rPr>
        <w:t xml:space="preserve">John Dillon and Jackson P. Hershbell, </w:t>
      </w:r>
      <w:r w:rsidRPr="0068461F">
        <w:rPr>
          <w:i/>
          <w:sz w:val="22"/>
          <w:szCs w:val="22"/>
        </w:rPr>
        <w:t>Iamblichus: De</w:t>
      </w:r>
      <w:r w:rsidRPr="0068461F">
        <w:rPr>
          <w:sz w:val="22"/>
          <w:szCs w:val="22"/>
        </w:rPr>
        <w:t xml:space="preserve"> </w:t>
      </w:r>
      <w:r w:rsidRPr="0068461F">
        <w:rPr>
          <w:i/>
          <w:sz w:val="22"/>
          <w:szCs w:val="22"/>
        </w:rPr>
        <w:t>Mysteriis</w:t>
      </w:r>
      <w:r w:rsidRPr="0068461F">
        <w:rPr>
          <w:sz w:val="22"/>
          <w:szCs w:val="22"/>
        </w:rPr>
        <w:t xml:space="preserve"> (Atlanta: Society of Biblical Literature, 2003)</w:t>
      </w:r>
    </w:p>
    <w:p w14:paraId="1234F7D2" w14:textId="77777777" w:rsidR="006274DE" w:rsidRPr="0068461F" w:rsidRDefault="006274DE" w:rsidP="006274DE">
      <w:pPr>
        <w:pStyle w:val="FootnoteText"/>
        <w:rPr>
          <w:sz w:val="22"/>
          <w:szCs w:val="22"/>
        </w:rPr>
      </w:pPr>
    </w:p>
    <w:p w14:paraId="1513E50B" w14:textId="77777777" w:rsidR="006274DE" w:rsidRPr="0068461F" w:rsidRDefault="006274DE" w:rsidP="006274DE">
      <w:pPr>
        <w:pStyle w:val="FootnoteText"/>
        <w:rPr>
          <w:sz w:val="22"/>
          <w:szCs w:val="22"/>
        </w:rPr>
      </w:pPr>
      <w:r w:rsidRPr="0068461F">
        <w:rPr>
          <w:sz w:val="22"/>
          <w:szCs w:val="22"/>
        </w:rPr>
        <w:t>Collins,</w:t>
      </w:r>
      <w:r>
        <w:rPr>
          <w:sz w:val="22"/>
          <w:szCs w:val="22"/>
        </w:rPr>
        <w:t xml:space="preserve"> Derek,</w:t>
      </w:r>
      <w:r w:rsidRPr="0068461F">
        <w:rPr>
          <w:sz w:val="22"/>
          <w:szCs w:val="22"/>
        </w:rPr>
        <w:t xml:space="preserve"> ‘Nature, Cause, and Agency in Greek Magic’, </w:t>
      </w:r>
      <w:r w:rsidRPr="0068461F">
        <w:rPr>
          <w:i/>
          <w:sz w:val="22"/>
          <w:szCs w:val="22"/>
        </w:rPr>
        <w:t>Transactions of the American Philological Association</w:t>
      </w:r>
      <w:r w:rsidRPr="0068461F">
        <w:rPr>
          <w:sz w:val="22"/>
          <w:szCs w:val="22"/>
        </w:rPr>
        <w:t>, Vol. 133 (1),</w:t>
      </w:r>
      <w:r>
        <w:rPr>
          <w:sz w:val="22"/>
          <w:szCs w:val="22"/>
        </w:rPr>
        <w:t xml:space="preserve"> pp. 17-49,</w:t>
      </w:r>
      <w:r w:rsidRPr="0068461F">
        <w:rPr>
          <w:sz w:val="22"/>
          <w:szCs w:val="22"/>
        </w:rPr>
        <w:t xml:space="preserve"> (The John Hopkins University Press, 2003)</w:t>
      </w:r>
    </w:p>
    <w:p w14:paraId="3746A1DA" w14:textId="77777777" w:rsidR="006274DE" w:rsidRPr="0068461F" w:rsidRDefault="006274DE" w:rsidP="006274DE">
      <w:pPr>
        <w:pStyle w:val="FootnoteText"/>
        <w:rPr>
          <w:sz w:val="22"/>
          <w:szCs w:val="22"/>
        </w:rPr>
      </w:pPr>
    </w:p>
    <w:p w14:paraId="2BBBED48" w14:textId="77777777" w:rsidR="006274DE" w:rsidRPr="0068461F" w:rsidRDefault="006274DE" w:rsidP="006274DE">
      <w:pPr>
        <w:pStyle w:val="FootnoteText"/>
        <w:rPr>
          <w:rStyle w:val="Hyperlink"/>
          <w:sz w:val="22"/>
          <w:szCs w:val="22"/>
        </w:rPr>
      </w:pPr>
      <w:r w:rsidRPr="0068461F">
        <w:rPr>
          <w:sz w:val="22"/>
          <w:szCs w:val="22"/>
        </w:rPr>
        <w:t>Dillon,</w:t>
      </w:r>
      <w:r>
        <w:rPr>
          <w:sz w:val="22"/>
          <w:szCs w:val="22"/>
        </w:rPr>
        <w:t xml:space="preserve"> John,</w:t>
      </w:r>
      <w:r w:rsidRPr="0068461F">
        <w:rPr>
          <w:sz w:val="22"/>
          <w:szCs w:val="22"/>
        </w:rPr>
        <w:t xml:space="preserve"> ‘Iamblichus’ Defence of Theurgy: Some Reflections’, </w:t>
      </w:r>
      <w:r w:rsidRPr="0068461F">
        <w:rPr>
          <w:i/>
          <w:sz w:val="22"/>
          <w:szCs w:val="22"/>
        </w:rPr>
        <w:t xml:space="preserve">The International Journal of the Platonic Tradition, </w:t>
      </w:r>
      <w:r w:rsidRPr="0068461F">
        <w:rPr>
          <w:sz w:val="22"/>
          <w:szCs w:val="22"/>
        </w:rPr>
        <w:t xml:space="preserve">Vol. 1, </w:t>
      </w:r>
      <w:r>
        <w:rPr>
          <w:sz w:val="22"/>
          <w:szCs w:val="22"/>
        </w:rPr>
        <w:t xml:space="preserve">pp. 30-41, </w:t>
      </w:r>
      <w:r w:rsidRPr="0068461F">
        <w:rPr>
          <w:sz w:val="22"/>
          <w:szCs w:val="22"/>
        </w:rPr>
        <w:t>(Brill</w:t>
      </w:r>
      <w:r>
        <w:rPr>
          <w:sz w:val="22"/>
          <w:szCs w:val="22"/>
        </w:rPr>
        <w:t xml:space="preserve"> Online</w:t>
      </w:r>
      <w:r w:rsidRPr="0068461F">
        <w:rPr>
          <w:sz w:val="22"/>
          <w:szCs w:val="22"/>
        </w:rPr>
        <w:t>, 2007), &lt;</w:t>
      </w:r>
      <w:hyperlink r:id="rId11" w:history="1">
        <w:r w:rsidRPr="0068461F">
          <w:rPr>
            <w:rStyle w:val="Hyperlink"/>
            <w:sz w:val="22"/>
            <w:szCs w:val="22"/>
          </w:rPr>
          <w:t>http://booksandjournals.brillonline.com/docserver/18725082/v1n1_splitsection3.pdf?expires=1531672520&amp;id=id&amp;accname=guest&amp;checksum=EDE1F946CDE48C3E69732376425FC71B</w:t>
        </w:r>
      </w:hyperlink>
      <w:r w:rsidRPr="0068461F">
        <w:rPr>
          <w:rStyle w:val="Hyperlink"/>
          <w:sz w:val="22"/>
          <w:szCs w:val="22"/>
        </w:rPr>
        <w:t>&gt;</w:t>
      </w:r>
    </w:p>
    <w:p w14:paraId="638AA8C3" w14:textId="77777777" w:rsidR="006274DE" w:rsidRPr="0068461F" w:rsidRDefault="006274DE" w:rsidP="006274DE">
      <w:pPr>
        <w:pStyle w:val="FootnoteText"/>
        <w:rPr>
          <w:sz w:val="22"/>
          <w:szCs w:val="22"/>
        </w:rPr>
      </w:pPr>
    </w:p>
    <w:p w14:paraId="5979373A" w14:textId="77777777" w:rsidR="006274DE" w:rsidRPr="0068461F" w:rsidRDefault="006274DE" w:rsidP="006274DE">
      <w:pPr>
        <w:pStyle w:val="FootnoteText"/>
        <w:rPr>
          <w:sz w:val="22"/>
          <w:szCs w:val="22"/>
        </w:rPr>
      </w:pPr>
      <w:r w:rsidRPr="0068461F">
        <w:rPr>
          <w:sz w:val="22"/>
          <w:szCs w:val="22"/>
        </w:rPr>
        <w:t xml:space="preserve">Dodds, </w:t>
      </w:r>
      <w:proofErr w:type="spellStart"/>
      <w:r>
        <w:rPr>
          <w:sz w:val="22"/>
          <w:szCs w:val="22"/>
        </w:rPr>
        <w:t>E.R.,</w:t>
      </w:r>
      <w:r w:rsidRPr="0068461F">
        <w:rPr>
          <w:sz w:val="22"/>
          <w:szCs w:val="22"/>
        </w:rPr>
        <w:t>Theurgy</w:t>
      </w:r>
      <w:proofErr w:type="spellEnd"/>
      <w:r w:rsidRPr="0068461F">
        <w:rPr>
          <w:sz w:val="22"/>
          <w:szCs w:val="22"/>
        </w:rPr>
        <w:t xml:space="preserve"> and its Relationship to Neoplatonism, </w:t>
      </w:r>
      <w:r w:rsidRPr="0068461F">
        <w:rPr>
          <w:i/>
          <w:sz w:val="22"/>
          <w:szCs w:val="22"/>
        </w:rPr>
        <w:t>The Journal of Roman Studies</w:t>
      </w:r>
      <w:r w:rsidRPr="0068461F">
        <w:rPr>
          <w:sz w:val="22"/>
          <w:szCs w:val="22"/>
        </w:rPr>
        <w:t>, Vol. 37</w:t>
      </w:r>
      <w:r>
        <w:rPr>
          <w:sz w:val="22"/>
          <w:szCs w:val="22"/>
        </w:rPr>
        <w:t xml:space="preserve">, </w:t>
      </w:r>
      <w:r w:rsidRPr="0068461F">
        <w:rPr>
          <w:sz w:val="22"/>
          <w:szCs w:val="22"/>
        </w:rPr>
        <w:t>(1 &amp; 2)</w:t>
      </w:r>
      <w:r>
        <w:rPr>
          <w:sz w:val="22"/>
          <w:szCs w:val="22"/>
        </w:rPr>
        <w:t>, pp. 55-69,</w:t>
      </w:r>
      <w:r w:rsidRPr="0068461F">
        <w:rPr>
          <w:sz w:val="22"/>
          <w:szCs w:val="22"/>
        </w:rPr>
        <w:t xml:space="preserve"> (Society for the Promotion of Roman Studies, 1947)</w:t>
      </w:r>
    </w:p>
    <w:p w14:paraId="1A48859D" w14:textId="77777777" w:rsidR="006274DE" w:rsidRPr="0068461F" w:rsidRDefault="006274DE" w:rsidP="006274DE">
      <w:pPr>
        <w:pStyle w:val="FootnoteText"/>
        <w:rPr>
          <w:sz w:val="22"/>
          <w:szCs w:val="22"/>
        </w:rPr>
      </w:pPr>
    </w:p>
    <w:p w14:paraId="6B3A8DD5" w14:textId="77777777" w:rsidR="006274DE" w:rsidRPr="0068461F" w:rsidRDefault="006274DE" w:rsidP="006274DE">
      <w:pPr>
        <w:pStyle w:val="FootnoteText"/>
        <w:rPr>
          <w:sz w:val="22"/>
          <w:szCs w:val="22"/>
        </w:rPr>
      </w:pPr>
      <w:r w:rsidRPr="0068461F">
        <w:rPr>
          <w:sz w:val="22"/>
          <w:szCs w:val="22"/>
        </w:rPr>
        <w:t xml:space="preserve">Finamore, </w:t>
      </w:r>
      <w:r>
        <w:rPr>
          <w:sz w:val="22"/>
          <w:szCs w:val="22"/>
        </w:rPr>
        <w:t xml:space="preserve">John, F., </w:t>
      </w:r>
      <w:r w:rsidRPr="0068461F">
        <w:rPr>
          <w:sz w:val="22"/>
          <w:szCs w:val="22"/>
        </w:rPr>
        <w:t xml:space="preserve">‘Reviewed Works: Theurgy and the Soul: The Neoplatonism of Iamblichus, by Gregory Shaw’, </w:t>
      </w:r>
      <w:r w:rsidRPr="0068461F">
        <w:rPr>
          <w:i/>
          <w:sz w:val="22"/>
          <w:szCs w:val="22"/>
        </w:rPr>
        <w:t>Speculum</w:t>
      </w:r>
      <w:r w:rsidRPr="0068461F">
        <w:rPr>
          <w:sz w:val="22"/>
          <w:szCs w:val="22"/>
        </w:rPr>
        <w:t>, Vol 73 (3),</w:t>
      </w:r>
      <w:r>
        <w:rPr>
          <w:sz w:val="22"/>
          <w:szCs w:val="22"/>
        </w:rPr>
        <w:t xml:space="preserve"> pp. 894-896,</w:t>
      </w:r>
      <w:r w:rsidRPr="0068461F">
        <w:rPr>
          <w:sz w:val="22"/>
          <w:szCs w:val="22"/>
        </w:rPr>
        <w:t xml:space="preserve"> (University of Chicago Press, 1998)</w:t>
      </w:r>
    </w:p>
    <w:p w14:paraId="40600E41" w14:textId="77777777" w:rsidR="006274DE" w:rsidRPr="0068461F" w:rsidRDefault="006274DE" w:rsidP="006274DE">
      <w:pPr>
        <w:pStyle w:val="FootnoteText"/>
        <w:rPr>
          <w:sz w:val="22"/>
          <w:szCs w:val="22"/>
        </w:rPr>
      </w:pPr>
    </w:p>
    <w:p w14:paraId="400FA06A" w14:textId="77777777" w:rsidR="006274DE" w:rsidRPr="0068461F" w:rsidRDefault="006274DE" w:rsidP="006274DE">
      <w:pPr>
        <w:pStyle w:val="FootnoteText"/>
        <w:rPr>
          <w:sz w:val="22"/>
          <w:szCs w:val="22"/>
        </w:rPr>
      </w:pPr>
      <w:r w:rsidRPr="0068461F">
        <w:rPr>
          <w:sz w:val="22"/>
          <w:szCs w:val="22"/>
        </w:rPr>
        <w:t xml:space="preserve">Fowler, </w:t>
      </w:r>
      <w:r>
        <w:rPr>
          <w:sz w:val="22"/>
          <w:szCs w:val="22"/>
        </w:rPr>
        <w:t xml:space="preserve">Robert, L., </w:t>
      </w:r>
      <w:r w:rsidRPr="0068461F">
        <w:rPr>
          <w:sz w:val="22"/>
          <w:szCs w:val="22"/>
        </w:rPr>
        <w:t xml:space="preserve">‘Greek Magic, Greek Religion’, in Richard Buxton (ed.), </w:t>
      </w:r>
      <w:r w:rsidRPr="0068461F">
        <w:rPr>
          <w:i/>
          <w:sz w:val="22"/>
          <w:szCs w:val="22"/>
        </w:rPr>
        <w:t>Oxford Readings in Greek Religion</w:t>
      </w:r>
      <w:r w:rsidRPr="0068461F">
        <w:rPr>
          <w:sz w:val="22"/>
          <w:szCs w:val="22"/>
        </w:rPr>
        <w:t xml:space="preserve"> (Oxford:  Oxford University Press, 2000)</w:t>
      </w:r>
    </w:p>
    <w:p w14:paraId="3289E351" w14:textId="77777777" w:rsidR="006274DE" w:rsidRPr="0068461F" w:rsidRDefault="006274DE" w:rsidP="006274DE">
      <w:pPr>
        <w:pStyle w:val="FootnoteText"/>
        <w:rPr>
          <w:sz w:val="22"/>
          <w:szCs w:val="22"/>
        </w:rPr>
      </w:pPr>
    </w:p>
    <w:p w14:paraId="6EE267F9" w14:textId="77777777" w:rsidR="006274DE" w:rsidRPr="0068461F" w:rsidRDefault="006274DE" w:rsidP="006274DE">
      <w:pPr>
        <w:pStyle w:val="FootnoteText"/>
        <w:rPr>
          <w:sz w:val="22"/>
          <w:szCs w:val="22"/>
        </w:rPr>
      </w:pPr>
      <w:r w:rsidRPr="0068461F">
        <w:rPr>
          <w:sz w:val="22"/>
          <w:szCs w:val="22"/>
        </w:rPr>
        <w:t xml:space="preserve">Frankfurter, </w:t>
      </w:r>
      <w:r>
        <w:rPr>
          <w:sz w:val="22"/>
          <w:szCs w:val="22"/>
        </w:rPr>
        <w:t xml:space="preserve">David, </w:t>
      </w:r>
      <w:r w:rsidRPr="0068461F">
        <w:rPr>
          <w:sz w:val="22"/>
          <w:szCs w:val="22"/>
        </w:rPr>
        <w:t xml:space="preserve">‘Comment: Panel Discussion: “Magic in the Ancient World” by Fritz Graf’, </w:t>
      </w:r>
      <w:r w:rsidRPr="0068461F">
        <w:rPr>
          <w:i/>
          <w:sz w:val="22"/>
          <w:szCs w:val="22"/>
        </w:rPr>
        <w:t>Numen</w:t>
      </w:r>
      <w:r w:rsidRPr="0068461F">
        <w:rPr>
          <w:sz w:val="22"/>
          <w:szCs w:val="22"/>
        </w:rPr>
        <w:t xml:space="preserve">, Vol. 46 (3), </w:t>
      </w:r>
      <w:r>
        <w:rPr>
          <w:sz w:val="22"/>
          <w:szCs w:val="22"/>
        </w:rPr>
        <w:t xml:space="preserve">pp. 291-325, </w:t>
      </w:r>
      <w:r w:rsidRPr="0068461F">
        <w:rPr>
          <w:sz w:val="22"/>
          <w:szCs w:val="22"/>
        </w:rPr>
        <w:t>(Brill Online, 1999),</w:t>
      </w:r>
      <w:bookmarkStart w:id="25" w:name="_Hlk519523833"/>
      <w:r w:rsidRPr="0068461F">
        <w:rPr>
          <w:sz w:val="22"/>
          <w:szCs w:val="22"/>
        </w:rPr>
        <w:t xml:space="preserve"> </w:t>
      </w:r>
      <w:bookmarkEnd w:id="25"/>
      <w:r w:rsidRPr="0068461F">
        <w:rPr>
          <w:sz w:val="22"/>
          <w:szCs w:val="22"/>
        </w:rPr>
        <w:t>&lt;</w:t>
      </w:r>
      <w:hyperlink r:id="rId12" w:history="1">
        <w:r w:rsidRPr="0068461F">
          <w:rPr>
            <w:rStyle w:val="Hyperlink"/>
            <w:sz w:val="22"/>
            <w:szCs w:val="22"/>
          </w:rPr>
          <w:t>https://www.jstor.org/stable/3270161</w:t>
        </w:r>
      </w:hyperlink>
      <w:r w:rsidRPr="0068461F">
        <w:rPr>
          <w:rStyle w:val="Hyperlink"/>
          <w:sz w:val="22"/>
          <w:szCs w:val="22"/>
        </w:rPr>
        <w:t>&gt;</w:t>
      </w:r>
      <w:r w:rsidRPr="00952C16">
        <w:rPr>
          <w:rStyle w:val="Hyperlink"/>
          <w:sz w:val="22"/>
          <w:szCs w:val="22"/>
          <w:u w:val="none"/>
        </w:rPr>
        <w:t xml:space="preserve"> </w:t>
      </w:r>
    </w:p>
    <w:p w14:paraId="7EBBBB95" w14:textId="77777777" w:rsidR="006274DE" w:rsidRPr="0068461F" w:rsidRDefault="006274DE" w:rsidP="006274DE">
      <w:pPr>
        <w:pStyle w:val="FootnoteText"/>
        <w:rPr>
          <w:sz w:val="22"/>
          <w:szCs w:val="22"/>
        </w:rPr>
      </w:pPr>
    </w:p>
    <w:p w14:paraId="03183459" w14:textId="77777777" w:rsidR="006274DE" w:rsidRPr="0068461F" w:rsidRDefault="006274DE" w:rsidP="006274DE">
      <w:pPr>
        <w:pStyle w:val="FootnoteText"/>
        <w:rPr>
          <w:sz w:val="22"/>
          <w:szCs w:val="22"/>
        </w:rPr>
      </w:pPr>
      <w:r w:rsidRPr="0068461F">
        <w:rPr>
          <w:sz w:val="22"/>
          <w:szCs w:val="22"/>
        </w:rPr>
        <w:t xml:space="preserve">Frazer, </w:t>
      </w:r>
      <w:r>
        <w:rPr>
          <w:sz w:val="22"/>
          <w:szCs w:val="22"/>
        </w:rPr>
        <w:t xml:space="preserve">James, </w:t>
      </w:r>
      <w:r w:rsidRPr="0068461F">
        <w:rPr>
          <w:i/>
          <w:sz w:val="22"/>
          <w:szCs w:val="22"/>
        </w:rPr>
        <w:t xml:space="preserve">The Golden Bough: A Study in Magic and Religion, </w:t>
      </w:r>
      <w:r w:rsidRPr="0068461F">
        <w:rPr>
          <w:sz w:val="22"/>
          <w:szCs w:val="22"/>
        </w:rPr>
        <w:t>Vol. 1 abridged edition  (New York: The Macmillan Company, 1922 [1925])</w:t>
      </w:r>
    </w:p>
    <w:p w14:paraId="529CFF7D" w14:textId="77777777" w:rsidR="006274DE" w:rsidRPr="0068461F" w:rsidRDefault="006274DE" w:rsidP="006274DE">
      <w:pPr>
        <w:pStyle w:val="FootnoteText"/>
        <w:rPr>
          <w:sz w:val="22"/>
          <w:szCs w:val="22"/>
        </w:rPr>
      </w:pPr>
    </w:p>
    <w:p w14:paraId="6C02515A" w14:textId="77777777" w:rsidR="006274DE" w:rsidRPr="0068461F" w:rsidRDefault="006274DE" w:rsidP="006274DE">
      <w:pPr>
        <w:pStyle w:val="FootnoteText"/>
        <w:rPr>
          <w:sz w:val="22"/>
          <w:szCs w:val="22"/>
        </w:rPr>
      </w:pPr>
      <w:r w:rsidRPr="0068461F">
        <w:rPr>
          <w:sz w:val="22"/>
          <w:szCs w:val="22"/>
        </w:rPr>
        <w:t xml:space="preserve">Galtier, </w:t>
      </w:r>
      <w:r>
        <w:rPr>
          <w:sz w:val="22"/>
          <w:szCs w:val="22"/>
        </w:rPr>
        <w:t xml:space="preserve">Charles, </w:t>
      </w:r>
      <w:r w:rsidRPr="0068461F">
        <w:rPr>
          <w:sz w:val="22"/>
          <w:szCs w:val="22"/>
        </w:rPr>
        <w:t xml:space="preserve">in Murray Wax and Rosalie Wax, ‘The Notion of Magic’, </w:t>
      </w:r>
      <w:r w:rsidRPr="0068461F">
        <w:rPr>
          <w:i/>
          <w:sz w:val="22"/>
          <w:szCs w:val="22"/>
        </w:rPr>
        <w:t>Current Anthropology</w:t>
      </w:r>
      <w:r w:rsidRPr="0068461F">
        <w:rPr>
          <w:sz w:val="22"/>
          <w:szCs w:val="22"/>
        </w:rPr>
        <w:t xml:space="preserve">, Vol. 4 (5), </w:t>
      </w:r>
      <w:r>
        <w:rPr>
          <w:sz w:val="22"/>
          <w:szCs w:val="22"/>
        </w:rPr>
        <w:t xml:space="preserve">pp. 495-518, </w:t>
      </w:r>
      <w:r w:rsidRPr="0068461F">
        <w:rPr>
          <w:sz w:val="22"/>
          <w:szCs w:val="22"/>
        </w:rPr>
        <w:t>(The University of Chicago Press, 1963)</w:t>
      </w:r>
    </w:p>
    <w:p w14:paraId="2FF7CC9A" w14:textId="77777777" w:rsidR="006274DE" w:rsidRPr="0068461F" w:rsidRDefault="006274DE" w:rsidP="006274DE">
      <w:pPr>
        <w:pStyle w:val="FootnoteText"/>
        <w:rPr>
          <w:sz w:val="22"/>
          <w:szCs w:val="22"/>
        </w:rPr>
      </w:pPr>
    </w:p>
    <w:p w14:paraId="507100CB" w14:textId="77777777" w:rsidR="006274DE" w:rsidRPr="0068461F" w:rsidRDefault="006274DE" w:rsidP="006274DE">
      <w:pPr>
        <w:pStyle w:val="FootnoteText"/>
        <w:rPr>
          <w:sz w:val="22"/>
          <w:szCs w:val="22"/>
        </w:rPr>
      </w:pPr>
      <w:r w:rsidRPr="0068461F">
        <w:rPr>
          <w:sz w:val="22"/>
          <w:szCs w:val="22"/>
        </w:rPr>
        <w:t xml:space="preserve">Graf, </w:t>
      </w:r>
      <w:r>
        <w:rPr>
          <w:sz w:val="22"/>
          <w:szCs w:val="22"/>
        </w:rPr>
        <w:t xml:space="preserve">Fritz, </w:t>
      </w:r>
      <w:r w:rsidRPr="0068461F">
        <w:rPr>
          <w:sz w:val="22"/>
          <w:szCs w:val="22"/>
        </w:rPr>
        <w:t xml:space="preserve">‘Response to Comments: Panel Discussion: “Magic in the Ancient World” by Fritz Graf’, </w:t>
      </w:r>
      <w:r w:rsidRPr="0068461F">
        <w:rPr>
          <w:i/>
          <w:sz w:val="22"/>
          <w:szCs w:val="22"/>
        </w:rPr>
        <w:t>Numen</w:t>
      </w:r>
      <w:r w:rsidRPr="0068461F">
        <w:rPr>
          <w:sz w:val="22"/>
          <w:szCs w:val="22"/>
        </w:rPr>
        <w:t>, Vol. 46 (3), (Brill, 1999)</w:t>
      </w:r>
      <w:r>
        <w:rPr>
          <w:sz w:val="22"/>
          <w:szCs w:val="22"/>
        </w:rPr>
        <w:t xml:space="preserve">, pp. 291-325, </w:t>
      </w:r>
      <w:r w:rsidRPr="0068461F">
        <w:rPr>
          <w:sz w:val="22"/>
          <w:szCs w:val="22"/>
        </w:rPr>
        <w:t>&lt;</w:t>
      </w:r>
      <w:hyperlink r:id="rId13" w:history="1">
        <w:r w:rsidRPr="0068461F">
          <w:rPr>
            <w:rStyle w:val="Hyperlink"/>
            <w:sz w:val="22"/>
            <w:szCs w:val="22"/>
          </w:rPr>
          <w:t>https://www.jstor.org/stable/3270161</w:t>
        </w:r>
      </w:hyperlink>
      <w:r w:rsidRPr="0068461F">
        <w:rPr>
          <w:rStyle w:val="Hyperlink"/>
          <w:sz w:val="22"/>
          <w:szCs w:val="22"/>
        </w:rPr>
        <w:t>&gt;</w:t>
      </w:r>
      <w:r>
        <w:rPr>
          <w:rStyle w:val="Hyperlink"/>
          <w:sz w:val="22"/>
          <w:szCs w:val="22"/>
        </w:rPr>
        <w:t xml:space="preserve">  </w:t>
      </w:r>
      <w:bookmarkStart w:id="26" w:name="_Hlk519523995"/>
    </w:p>
    <w:bookmarkEnd w:id="26"/>
    <w:p w14:paraId="1A384537" w14:textId="77777777" w:rsidR="006274DE" w:rsidRPr="0068461F" w:rsidRDefault="006274DE" w:rsidP="006274DE">
      <w:pPr>
        <w:pStyle w:val="FootnoteText"/>
        <w:rPr>
          <w:sz w:val="22"/>
          <w:szCs w:val="22"/>
        </w:rPr>
      </w:pPr>
    </w:p>
    <w:p w14:paraId="7BC3FDCF" w14:textId="77777777" w:rsidR="006274DE" w:rsidRPr="0068461F" w:rsidRDefault="006274DE" w:rsidP="006274DE">
      <w:pPr>
        <w:pStyle w:val="FootnoteText"/>
        <w:rPr>
          <w:sz w:val="22"/>
          <w:szCs w:val="22"/>
        </w:rPr>
      </w:pPr>
      <w:proofErr w:type="spellStart"/>
      <w:r w:rsidRPr="0068461F">
        <w:rPr>
          <w:sz w:val="22"/>
          <w:szCs w:val="22"/>
        </w:rPr>
        <w:t>Hankey,</w:t>
      </w:r>
      <w:r>
        <w:rPr>
          <w:sz w:val="22"/>
          <w:szCs w:val="22"/>
        </w:rPr>
        <w:t>Wayne</w:t>
      </w:r>
      <w:proofErr w:type="spellEnd"/>
      <w:r>
        <w:rPr>
          <w:sz w:val="22"/>
          <w:szCs w:val="22"/>
        </w:rPr>
        <w:t>,</w:t>
      </w:r>
      <w:r w:rsidRPr="0068461F">
        <w:rPr>
          <w:sz w:val="22"/>
          <w:szCs w:val="22"/>
        </w:rPr>
        <w:t xml:space="preserve"> ‘Re-Evaluating E.R. Dodds’ Platonism’, </w:t>
      </w:r>
      <w:r w:rsidRPr="0068461F">
        <w:rPr>
          <w:i/>
          <w:sz w:val="22"/>
          <w:szCs w:val="22"/>
        </w:rPr>
        <w:t>Harvard Studies in Classical Philology</w:t>
      </w:r>
      <w:r w:rsidRPr="0068461F">
        <w:rPr>
          <w:sz w:val="22"/>
          <w:szCs w:val="22"/>
        </w:rPr>
        <w:t>, Vol 103</w:t>
      </w:r>
      <w:r>
        <w:rPr>
          <w:sz w:val="22"/>
          <w:szCs w:val="22"/>
        </w:rPr>
        <w:t>, pp. 499-541,</w:t>
      </w:r>
      <w:r w:rsidRPr="0068461F">
        <w:rPr>
          <w:sz w:val="22"/>
          <w:szCs w:val="22"/>
        </w:rPr>
        <w:t xml:space="preserve"> (Harvard University, Department of Classics, 2007)</w:t>
      </w:r>
    </w:p>
    <w:p w14:paraId="28ECDC32" w14:textId="77777777" w:rsidR="006274DE" w:rsidRPr="0068461F" w:rsidRDefault="006274DE" w:rsidP="006274DE">
      <w:pPr>
        <w:pStyle w:val="FootnoteText"/>
        <w:rPr>
          <w:sz w:val="22"/>
          <w:szCs w:val="22"/>
        </w:rPr>
      </w:pPr>
    </w:p>
    <w:p w14:paraId="21C83685" w14:textId="77777777" w:rsidR="006274DE" w:rsidRPr="00952C16" w:rsidRDefault="006274DE" w:rsidP="006274DE">
      <w:pPr>
        <w:pStyle w:val="FootnoteText"/>
        <w:rPr>
          <w:sz w:val="22"/>
          <w:szCs w:val="22"/>
        </w:rPr>
      </w:pPr>
      <w:r w:rsidRPr="0068461F">
        <w:rPr>
          <w:sz w:val="22"/>
          <w:szCs w:val="22"/>
        </w:rPr>
        <w:t xml:space="preserve">Himmelfarb, </w:t>
      </w:r>
      <w:r>
        <w:rPr>
          <w:sz w:val="22"/>
          <w:szCs w:val="22"/>
        </w:rPr>
        <w:t xml:space="preserve">Martha, </w:t>
      </w:r>
      <w:r w:rsidRPr="0068461F">
        <w:rPr>
          <w:sz w:val="22"/>
          <w:szCs w:val="22"/>
        </w:rPr>
        <w:t xml:space="preserve">‘Comment by Martha Himmelfarb: Panel Discussion: “Magic in the Ancient World” by Fritz Graf’, </w:t>
      </w:r>
      <w:r w:rsidRPr="0068461F">
        <w:rPr>
          <w:i/>
          <w:sz w:val="22"/>
          <w:szCs w:val="22"/>
        </w:rPr>
        <w:t>Numen</w:t>
      </w:r>
      <w:r w:rsidRPr="0068461F">
        <w:rPr>
          <w:sz w:val="22"/>
          <w:szCs w:val="22"/>
        </w:rPr>
        <w:t xml:space="preserve">, Vol. 46 (3), </w:t>
      </w:r>
      <w:r>
        <w:rPr>
          <w:sz w:val="22"/>
          <w:szCs w:val="22"/>
        </w:rPr>
        <w:t xml:space="preserve">pp. 291-325, </w:t>
      </w:r>
      <w:r w:rsidRPr="0068461F">
        <w:rPr>
          <w:sz w:val="22"/>
          <w:szCs w:val="22"/>
        </w:rPr>
        <w:t>(Brill Online, 1999)</w:t>
      </w:r>
      <w:r>
        <w:rPr>
          <w:sz w:val="22"/>
          <w:szCs w:val="22"/>
        </w:rPr>
        <w:t>,</w:t>
      </w:r>
      <w:r w:rsidRPr="0068461F">
        <w:rPr>
          <w:sz w:val="22"/>
          <w:szCs w:val="22"/>
        </w:rPr>
        <w:t xml:space="preserve"> </w:t>
      </w:r>
      <w:bookmarkStart w:id="27" w:name="_Hlk519523812"/>
      <w:r w:rsidRPr="0068461F">
        <w:rPr>
          <w:sz w:val="22"/>
          <w:szCs w:val="22"/>
        </w:rPr>
        <w:t>&lt;</w:t>
      </w:r>
      <w:hyperlink r:id="rId14" w:history="1">
        <w:r w:rsidRPr="0068461F">
          <w:rPr>
            <w:rStyle w:val="Hyperlink"/>
            <w:sz w:val="22"/>
            <w:szCs w:val="22"/>
          </w:rPr>
          <w:t>https://www.jstor.org/stable/3270161</w:t>
        </w:r>
      </w:hyperlink>
      <w:r w:rsidRPr="0068461F">
        <w:rPr>
          <w:rStyle w:val="Hyperlink"/>
          <w:sz w:val="22"/>
          <w:szCs w:val="22"/>
        </w:rPr>
        <w:t>&gt;</w:t>
      </w:r>
      <w:r>
        <w:rPr>
          <w:rStyle w:val="Hyperlink"/>
          <w:sz w:val="22"/>
          <w:szCs w:val="22"/>
        </w:rPr>
        <w:t xml:space="preserve">  </w:t>
      </w:r>
      <w:bookmarkEnd w:id="27"/>
    </w:p>
    <w:p w14:paraId="18E04351" w14:textId="77777777" w:rsidR="006274DE" w:rsidRPr="0068461F" w:rsidRDefault="006274DE" w:rsidP="006274DE">
      <w:pPr>
        <w:pStyle w:val="FootnoteText"/>
        <w:rPr>
          <w:sz w:val="22"/>
          <w:szCs w:val="22"/>
        </w:rPr>
      </w:pPr>
    </w:p>
    <w:p w14:paraId="6E833A56" w14:textId="77777777" w:rsidR="006274DE" w:rsidRPr="0068461F" w:rsidRDefault="006274DE" w:rsidP="006274DE">
      <w:pPr>
        <w:pStyle w:val="FootnoteText"/>
        <w:rPr>
          <w:sz w:val="22"/>
          <w:szCs w:val="22"/>
        </w:rPr>
      </w:pPr>
      <w:r w:rsidRPr="0068461F">
        <w:rPr>
          <w:sz w:val="22"/>
          <w:szCs w:val="22"/>
        </w:rPr>
        <w:t>Hutton,</w:t>
      </w:r>
      <w:r>
        <w:rPr>
          <w:sz w:val="22"/>
          <w:szCs w:val="22"/>
        </w:rPr>
        <w:t xml:space="preserve"> Ronald,</w:t>
      </w:r>
      <w:r w:rsidRPr="0068461F">
        <w:rPr>
          <w:sz w:val="22"/>
          <w:szCs w:val="22"/>
        </w:rPr>
        <w:t xml:space="preserve"> ‘Paganism and Polemic: The Debate over the Origins of Modern Pagan Witchcraft’, </w:t>
      </w:r>
      <w:r w:rsidRPr="0068461F">
        <w:rPr>
          <w:i/>
          <w:sz w:val="22"/>
          <w:szCs w:val="22"/>
        </w:rPr>
        <w:t>Folklore</w:t>
      </w:r>
      <w:r w:rsidRPr="0068461F">
        <w:rPr>
          <w:sz w:val="22"/>
          <w:szCs w:val="22"/>
        </w:rPr>
        <w:t xml:space="preserve">, Vol. 111 (1), </w:t>
      </w:r>
      <w:r>
        <w:rPr>
          <w:sz w:val="22"/>
          <w:szCs w:val="22"/>
        </w:rPr>
        <w:t xml:space="preserve">pp. 103-117, </w:t>
      </w:r>
      <w:r w:rsidRPr="0068461F">
        <w:rPr>
          <w:sz w:val="22"/>
          <w:szCs w:val="22"/>
        </w:rPr>
        <w:t>(Taylor Francis Ltd, 2000)</w:t>
      </w:r>
    </w:p>
    <w:p w14:paraId="3B61F31F" w14:textId="77777777" w:rsidR="006274DE" w:rsidRPr="0068461F" w:rsidRDefault="006274DE" w:rsidP="006274DE">
      <w:pPr>
        <w:spacing w:after="0" w:line="240" w:lineRule="auto"/>
      </w:pPr>
    </w:p>
    <w:p w14:paraId="37B8CC19" w14:textId="77777777" w:rsidR="006274DE" w:rsidRPr="0068461F" w:rsidRDefault="006274DE" w:rsidP="006274DE">
      <w:pPr>
        <w:pStyle w:val="FootnoteText"/>
        <w:rPr>
          <w:sz w:val="22"/>
          <w:szCs w:val="22"/>
        </w:rPr>
      </w:pPr>
      <w:r w:rsidRPr="0068461F">
        <w:rPr>
          <w:sz w:val="22"/>
          <w:szCs w:val="22"/>
        </w:rPr>
        <w:t xml:space="preserve">Lewis, </w:t>
      </w:r>
      <w:r>
        <w:rPr>
          <w:sz w:val="22"/>
          <w:szCs w:val="22"/>
        </w:rPr>
        <w:t xml:space="preserve">Nicola, D., </w:t>
      </w:r>
      <w:r w:rsidRPr="0068461F">
        <w:rPr>
          <w:sz w:val="22"/>
          <w:szCs w:val="22"/>
        </w:rPr>
        <w:t xml:space="preserve">‘Living Images of the Divine: Female Theurgists in Late Antiquity’, in </w:t>
      </w:r>
      <w:r w:rsidRPr="0068461F">
        <w:rPr>
          <w:i/>
          <w:sz w:val="22"/>
          <w:szCs w:val="22"/>
        </w:rPr>
        <w:t>‘Daughters of Hecate: Women and Magic in the Ancient World</w:t>
      </w:r>
      <w:r w:rsidRPr="0068461F">
        <w:rPr>
          <w:sz w:val="22"/>
          <w:szCs w:val="22"/>
        </w:rPr>
        <w:t>’, eds. Kimberly B. Stratton and Danya S. Kalleres (Oxford:  Oxford Scholarship Online, 2014),  &lt;DOI: 10.1093/acprof:oso/9780195342703.001.0001&gt;</w:t>
      </w:r>
    </w:p>
    <w:p w14:paraId="477A9AC5" w14:textId="77777777" w:rsidR="006274DE" w:rsidRPr="0068461F" w:rsidRDefault="006274DE" w:rsidP="006274DE">
      <w:pPr>
        <w:pStyle w:val="FootnoteText"/>
        <w:rPr>
          <w:sz w:val="22"/>
          <w:szCs w:val="22"/>
        </w:rPr>
      </w:pPr>
    </w:p>
    <w:p w14:paraId="4590608A" w14:textId="77777777" w:rsidR="006274DE" w:rsidRPr="0068461F" w:rsidRDefault="006274DE" w:rsidP="006274DE">
      <w:pPr>
        <w:pStyle w:val="FootnoteText"/>
        <w:rPr>
          <w:sz w:val="22"/>
          <w:szCs w:val="22"/>
        </w:rPr>
      </w:pPr>
      <w:r w:rsidRPr="0068461F">
        <w:rPr>
          <w:sz w:val="22"/>
          <w:szCs w:val="22"/>
        </w:rPr>
        <w:t xml:space="preserve">Mauss, </w:t>
      </w:r>
      <w:r>
        <w:rPr>
          <w:sz w:val="22"/>
          <w:szCs w:val="22"/>
        </w:rPr>
        <w:t xml:space="preserve">Marcel, </w:t>
      </w:r>
      <w:r w:rsidRPr="0068461F">
        <w:rPr>
          <w:i/>
          <w:sz w:val="22"/>
          <w:szCs w:val="22"/>
        </w:rPr>
        <w:t>A General Theory of Magic</w:t>
      </w:r>
      <w:r w:rsidRPr="0068461F">
        <w:rPr>
          <w:sz w:val="22"/>
          <w:szCs w:val="22"/>
        </w:rPr>
        <w:t>, trans. by Robert Brain, (London and New York:  Routledge, 1950 [1972, 2001])</w:t>
      </w:r>
    </w:p>
    <w:p w14:paraId="4ED47A54" w14:textId="77777777" w:rsidR="006274DE" w:rsidRPr="0068461F" w:rsidRDefault="006274DE" w:rsidP="006274DE">
      <w:pPr>
        <w:spacing w:after="0" w:line="240" w:lineRule="auto"/>
      </w:pPr>
    </w:p>
    <w:p w14:paraId="4865CD72" w14:textId="77777777" w:rsidR="006274DE" w:rsidRPr="0068461F" w:rsidRDefault="006274DE" w:rsidP="006274DE">
      <w:pPr>
        <w:spacing w:after="0" w:line="240" w:lineRule="auto"/>
      </w:pPr>
      <w:r w:rsidRPr="0068461F">
        <w:rPr>
          <w:i/>
        </w:rPr>
        <w:t>Oxford Current English Dictionary</w:t>
      </w:r>
      <w:r w:rsidRPr="0068461F">
        <w:t>, (Oxford: Oxford University Press, 1990)</w:t>
      </w:r>
    </w:p>
    <w:p w14:paraId="04875B98" w14:textId="77777777" w:rsidR="006274DE" w:rsidRPr="0068461F" w:rsidRDefault="006274DE" w:rsidP="006274DE">
      <w:pPr>
        <w:spacing w:after="0" w:line="240" w:lineRule="auto"/>
      </w:pPr>
    </w:p>
    <w:p w14:paraId="57D18D24" w14:textId="77777777" w:rsidR="006274DE" w:rsidRPr="0068461F" w:rsidRDefault="006274DE" w:rsidP="006274DE">
      <w:pPr>
        <w:pStyle w:val="FootnoteText"/>
        <w:rPr>
          <w:b/>
          <w:sz w:val="22"/>
          <w:szCs w:val="22"/>
        </w:rPr>
      </w:pPr>
      <w:r w:rsidRPr="0068461F">
        <w:rPr>
          <w:sz w:val="22"/>
          <w:szCs w:val="22"/>
        </w:rPr>
        <w:t xml:space="preserve">Plato, </w:t>
      </w:r>
      <w:r w:rsidRPr="0068461F">
        <w:rPr>
          <w:i/>
          <w:sz w:val="22"/>
          <w:szCs w:val="22"/>
        </w:rPr>
        <w:t>Symposium</w:t>
      </w:r>
      <w:r w:rsidRPr="0068461F">
        <w:rPr>
          <w:sz w:val="22"/>
          <w:szCs w:val="22"/>
        </w:rPr>
        <w:t>, trans. by Tom Griffith (London: Folio Society Ltd, 1986 [1991])</w:t>
      </w:r>
    </w:p>
    <w:p w14:paraId="1D207D64" w14:textId="77777777" w:rsidR="006274DE" w:rsidRDefault="006274DE" w:rsidP="006274DE">
      <w:pPr>
        <w:spacing w:after="0" w:line="240" w:lineRule="auto"/>
      </w:pPr>
    </w:p>
    <w:p w14:paraId="02771A9B" w14:textId="77777777" w:rsidR="006274DE" w:rsidRPr="0068461F" w:rsidRDefault="006274DE" w:rsidP="006274DE">
      <w:pPr>
        <w:spacing w:after="0" w:line="240" w:lineRule="auto"/>
        <w:rPr>
          <w:rFonts w:cs="Courier New"/>
        </w:rPr>
      </w:pPr>
      <w:r w:rsidRPr="0068461F">
        <w:t xml:space="preserve">Shaw, </w:t>
      </w:r>
      <w:r>
        <w:t xml:space="preserve">Gregory, </w:t>
      </w:r>
      <w:r w:rsidRPr="0068461F">
        <w:rPr>
          <w:i/>
        </w:rPr>
        <w:t>Archetypal Psychology, Dreamwork, and Neoplatonism</w:t>
      </w:r>
      <w:r w:rsidRPr="0068461F">
        <w:t>, 2016, &lt;</w:t>
      </w:r>
      <w:hyperlink r:id="rId15" w:history="1">
        <w:r w:rsidRPr="0068461F">
          <w:rPr>
            <w:rStyle w:val="Hyperlink"/>
            <w:rFonts w:cs="Courier New"/>
          </w:rPr>
          <w:t>https://www.academia.edu/27626457/Archetypal_Psychology_Dreamwork_and_Neoplatonism</w:t>
        </w:r>
      </w:hyperlink>
      <w:r w:rsidRPr="0068461F">
        <w:rPr>
          <w:rFonts w:cs="Courier New"/>
        </w:rPr>
        <w:t xml:space="preserve">&gt; </w:t>
      </w:r>
    </w:p>
    <w:p w14:paraId="2E446568" w14:textId="77777777" w:rsidR="006274DE" w:rsidRPr="0068461F" w:rsidRDefault="006274DE" w:rsidP="006274DE">
      <w:pPr>
        <w:pStyle w:val="FootnoteText"/>
        <w:rPr>
          <w:sz w:val="22"/>
          <w:szCs w:val="22"/>
        </w:rPr>
      </w:pPr>
    </w:p>
    <w:p w14:paraId="10F309FF" w14:textId="77777777" w:rsidR="006274DE" w:rsidRPr="0068461F" w:rsidRDefault="006274DE" w:rsidP="006274DE">
      <w:pPr>
        <w:spacing w:after="0" w:line="240" w:lineRule="auto"/>
      </w:pPr>
      <w:r w:rsidRPr="0068461F">
        <w:t xml:space="preserve">Shaw, </w:t>
      </w:r>
      <w:r>
        <w:t xml:space="preserve">Gregory, </w:t>
      </w:r>
      <w:r w:rsidRPr="0068461F">
        <w:rPr>
          <w:i/>
        </w:rPr>
        <w:t>Taking the Shape of the Gods: A Theurgic Reading of Hermetic Rebirth</w:t>
      </w:r>
      <w:r w:rsidRPr="0068461F">
        <w:t xml:space="preserve">, </w:t>
      </w:r>
      <w:r>
        <w:t xml:space="preserve">undated, </w:t>
      </w:r>
      <w:r w:rsidRPr="0068461F">
        <w:t>&lt;</w:t>
      </w:r>
      <w:hyperlink r:id="rId16" w:history="1">
        <w:r w:rsidRPr="0068461F">
          <w:rPr>
            <w:rStyle w:val="Hyperlink"/>
          </w:rPr>
          <w:t>https://www.princeton.edu/~hellenic/Hermeneutica/ShawPaper.pdf</w:t>
        </w:r>
      </w:hyperlink>
      <w:r w:rsidRPr="0068461F">
        <w:rPr>
          <w:rStyle w:val="Hyperlink"/>
        </w:rPr>
        <w:t>&gt;</w:t>
      </w:r>
    </w:p>
    <w:p w14:paraId="56D3437E" w14:textId="77777777" w:rsidR="006274DE" w:rsidRPr="0068461F" w:rsidRDefault="006274DE" w:rsidP="006274DE">
      <w:pPr>
        <w:pStyle w:val="FootnoteText"/>
        <w:rPr>
          <w:sz w:val="22"/>
          <w:szCs w:val="22"/>
        </w:rPr>
      </w:pPr>
    </w:p>
    <w:p w14:paraId="01D11A09" w14:textId="77777777" w:rsidR="006274DE" w:rsidRPr="0068461F" w:rsidRDefault="006274DE" w:rsidP="006274DE">
      <w:pPr>
        <w:pStyle w:val="FootnoteText"/>
        <w:rPr>
          <w:sz w:val="22"/>
          <w:szCs w:val="22"/>
        </w:rPr>
      </w:pPr>
      <w:r w:rsidRPr="0068461F">
        <w:rPr>
          <w:sz w:val="22"/>
          <w:szCs w:val="22"/>
        </w:rPr>
        <w:t xml:space="preserve">Shaw, </w:t>
      </w:r>
      <w:r>
        <w:rPr>
          <w:sz w:val="22"/>
          <w:szCs w:val="22"/>
        </w:rPr>
        <w:t xml:space="preserve">Gregory, </w:t>
      </w:r>
      <w:r w:rsidRPr="0068461F">
        <w:rPr>
          <w:i/>
          <w:sz w:val="22"/>
          <w:szCs w:val="22"/>
        </w:rPr>
        <w:t>Theurgy and the Soul: The Neoplatonism of Iamblichus</w:t>
      </w:r>
      <w:r w:rsidRPr="0068461F">
        <w:rPr>
          <w:sz w:val="22"/>
          <w:szCs w:val="22"/>
        </w:rPr>
        <w:t>, 2</w:t>
      </w:r>
      <w:r w:rsidRPr="0068461F">
        <w:rPr>
          <w:sz w:val="22"/>
          <w:szCs w:val="22"/>
          <w:vertAlign w:val="superscript"/>
        </w:rPr>
        <w:t>nd</w:t>
      </w:r>
      <w:r w:rsidRPr="0068461F">
        <w:rPr>
          <w:sz w:val="22"/>
          <w:szCs w:val="22"/>
        </w:rPr>
        <w:t xml:space="preserve"> edn., (Angelico Press, Sophia Perennis, 1995 [2014])</w:t>
      </w:r>
    </w:p>
    <w:p w14:paraId="4DE075E7" w14:textId="77777777" w:rsidR="006274DE" w:rsidRPr="0068461F" w:rsidRDefault="006274DE" w:rsidP="006274DE">
      <w:pPr>
        <w:pStyle w:val="FootnoteText"/>
        <w:rPr>
          <w:sz w:val="22"/>
          <w:szCs w:val="22"/>
        </w:rPr>
      </w:pPr>
    </w:p>
    <w:p w14:paraId="37180652" w14:textId="77777777" w:rsidR="006274DE" w:rsidRPr="0068461F" w:rsidRDefault="006274DE" w:rsidP="006274DE">
      <w:pPr>
        <w:pStyle w:val="FootnoteText"/>
        <w:rPr>
          <w:sz w:val="22"/>
          <w:szCs w:val="22"/>
        </w:rPr>
      </w:pPr>
      <w:r w:rsidRPr="0068461F">
        <w:rPr>
          <w:sz w:val="22"/>
          <w:szCs w:val="22"/>
        </w:rPr>
        <w:t xml:space="preserve">Sheppard, </w:t>
      </w:r>
      <w:r>
        <w:rPr>
          <w:sz w:val="22"/>
          <w:szCs w:val="22"/>
        </w:rPr>
        <w:t xml:space="preserve">Anne, </w:t>
      </w:r>
      <w:r w:rsidRPr="0068461F">
        <w:rPr>
          <w:sz w:val="22"/>
          <w:szCs w:val="22"/>
        </w:rPr>
        <w:t xml:space="preserve">‘Proclus’ Attitude to Theurgy’, </w:t>
      </w:r>
      <w:r w:rsidRPr="0068461F">
        <w:rPr>
          <w:i/>
          <w:sz w:val="22"/>
          <w:szCs w:val="22"/>
        </w:rPr>
        <w:t>The Classical Quarterly</w:t>
      </w:r>
      <w:r w:rsidRPr="0068461F">
        <w:rPr>
          <w:sz w:val="22"/>
          <w:szCs w:val="22"/>
        </w:rPr>
        <w:t>, Vol. 32 (1),</w:t>
      </w:r>
      <w:r>
        <w:rPr>
          <w:sz w:val="22"/>
          <w:szCs w:val="22"/>
        </w:rPr>
        <w:t xml:space="preserve"> pp. 212-224,</w:t>
      </w:r>
      <w:r w:rsidRPr="0068461F">
        <w:rPr>
          <w:sz w:val="22"/>
          <w:szCs w:val="22"/>
        </w:rPr>
        <w:t xml:space="preserve"> (Cambridge University Press on behalf of The Classical Association, 1982)</w:t>
      </w:r>
    </w:p>
    <w:p w14:paraId="2FB75BBF" w14:textId="77777777" w:rsidR="006274DE" w:rsidRPr="0068461F" w:rsidRDefault="006274DE" w:rsidP="006274DE">
      <w:pPr>
        <w:pStyle w:val="FootnoteText"/>
        <w:rPr>
          <w:sz w:val="22"/>
          <w:szCs w:val="22"/>
        </w:rPr>
      </w:pPr>
    </w:p>
    <w:p w14:paraId="28476DB4" w14:textId="77777777" w:rsidR="006274DE" w:rsidRPr="0068461F" w:rsidRDefault="006274DE" w:rsidP="006274DE">
      <w:pPr>
        <w:pStyle w:val="FootnoteText"/>
        <w:rPr>
          <w:sz w:val="22"/>
          <w:szCs w:val="22"/>
        </w:rPr>
      </w:pPr>
      <w:r w:rsidRPr="0068461F">
        <w:rPr>
          <w:sz w:val="22"/>
          <w:szCs w:val="22"/>
        </w:rPr>
        <w:t xml:space="preserve">Wax, </w:t>
      </w:r>
      <w:r>
        <w:rPr>
          <w:sz w:val="22"/>
          <w:szCs w:val="22"/>
        </w:rPr>
        <w:t xml:space="preserve">Murray, </w:t>
      </w:r>
      <w:r w:rsidRPr="0068461F">
        <w:rPr>
          <w:sz w:val="22"/>
          <w:szCs w:val="22"/>
        </w:rPr>
        <w:t xml:space="preserve">‘The Notion of Magic’, </w:t>
      </w:r>
      <w:r w:rsidRPr="0068461F">
        <w:rPr>
          <w:i/>
          <w:sz w:val="22"/>
          <w:szCs w:val="22"/>
        </w:rPr>
        <w:t>Current Anthropology</w:t>
      </w:r>
      <w:r w:rsidRPr="0068461F">
        <w:rPr>
          <w:sz w:val="22"/>
          <w:szCs w:val="22"/>
        </w:rPr>
        <w:t xml:space="preserve">, Vol. 4 (5), </w:t>
      </w:r>
      <w:r>
        <w:rPr>
          <w:sz w:val="22"/>
          <w:szCs w:val="22"/>
        </w:rPr>
        <w:t xml:space="preserve">pp. 495-518, </w:t>
      </w:r>
      <w:r w:rsidRPr="0068461F">
        <w:rPr>
          <w:sz w:val="22"/>
          <w:szCs w:val="22"/>
        </w:rPr>
        <w:t>(The University of Chicago Press on behalf of Wenner-Gren Foundation for Anthropological Research, 1963)</w:t>
      </w:r>
    </w:p>
    <w:p w14:paraId="57485886" w14:textId="77777777" w:rsidR="006274DE" w:rsidRPr="0068461F" w:rsidRDefault="006274DE" w:rsidP="006274DE">
      <w:pPr>
        <w:pStyle w:val="FootnoteText"/>
        <w:rPr>
          <w:sz w:val="22"/>
          <w:szCs w:val="22"/>
        </w:rPr>
      </w:pPr>
    </w:p>
    <w:p w14:paraId="71C2BDC3" w14:textId="77777777" w:rsidR="006274DE" w:rsidRPr="00EB26CE" w:rsidRDefault="006274DE"/>
    <w:sectPr w:rsidR="006274DE" w:rsidRPr="00EB26CE">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951786" w14:textId="77777777" w:rsidR="00C06031" w:rsidRDefault="00C06031" w:rsidP="008E74F0">
      <w:pPr>
        <w:spacing w:after="0" w:line="240" w:lineRule="auto"/>
      </w:pPr>
      <w:r>
        <w:separator/>
      </w:r>
    </w:p>
  </w:endnote>
  <w:endnote w:type="continuationSeparator" w:id="0">
    <w:p w14:paraId="6F9D00A5" w14:textId="77777777" w:rsidR="00C06031" w:rsidRDefault="00C06031" w:rsidP="008E74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31544711"/>
      <w:docPartObj>
        <w:docPartGallery w:val="Page Numbers (Bottom of Page)"/>
        <w:docPartUnique/>
      </w:docPartObj>
    </w:sdtPr>
    <w:sdtEndPr>
      <w:rPr>
        <w:noProof/>
      </w:rPr>
    </w:sdtEndPr>
    <w:sdtContent>
      <w:p w14:paraId="1EB452B6" w14:textId="55A2E303" w:rsidR="00B35C6A" w:rsidRDefault="00B35C6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8F8457F" w14:textId="77777777" w:rsidR="00B35C6A" w:rsidRDefault="00B35C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563848" w14:textId="77777777" w:rsidR="00C06031" w:rsidRDefault="00C06031" w:rsidP="008E74F0">
      <w:pPr>
        <w:spacing w:after="0" w:line="240" w:lineRule="auto"/>
      </w:pPr>
      <w:r>
        <w:separator/>
      </w:r>
    </w:p>
  </w:footnote>
  <w:footnote w:type="continuationSeparator" w:id="0">
    <w:p w14:paraId="503B7DD5" w14:textId="77777777" w:rsidR="00C06031" w:rsidRDefault="00C06031" w:rsidP="008E74F0">
      <w:pPr>
        <w:spacing w:after="0" w:line="240" w:lineRule="auto"/>
      </w:pPr>
      <w:r>
        <w:continuationSeparator/>
      </w:r>
    </w:p>
  </w:footnote>
  <w:footnote w:id="1">
    <w:p w14:paraId="26E0D13A" w14:textId="5F69A827" w:rsidR="00B35C6A" w:rsidRDefault="00B35C6A" w:rsidP="00074275">
      <w:pPr>
        <w:pStyle w:val="FootnoteText"/>
      </w:pPr>
      <w:r>
        <w:rPr>
          <w:rStyle w:val="FootnoteReference"/>
        </w:rPr>
        <w:footnoteRef/>
      </w:r>
      <w:r>
        <w:t xml:space="preserve"> Sir James Frazer, </w:t>
      </w:r>
      <w:r w:rsidRPr="000B69E6">
        <w:rPr>
          <w:i/>
        </w:rPr>
        <w:t>The Golden Bough: A Study in Magic and Religion</w:t>
      </w:r>
      <w:r>
        <w:rPr>
          <w:i/>
        </w:rPr>
        <w:t xml:space="preserve">, </w:t>
      </w:r>
      <w:r w:rsidRPr="001B1067">
        <w:t xml:space="preserve">Vol. 1 </w:t>
      </w:r>
      <w:r>
        <w:t>a</w:t>
      </w:r>
      <w:r w:rsidRPr="001B1067">
        <w:t xml:space="preserve">bridged </w:t>
      </w:r>
      <w:r>
        <w:t xml:space="preserve">edition (New York: The Macmillan Company, 1922 [1925]), [hereafter Frazer, </w:t>
      </w:r>
      <w:r w:rsidRPr="00671456">
        <w:rPr>
          <w:i/>
        </w:rPr>
        <w:t>The Golden Bough</w:t>
      </w:r>
      <w:r>
        <w:t>], pp.50 – 53.</w:t>
      </w:r>
    </w:p>
  </w:footnote>
  <w:footnote w:id="2">
    <w:p w14:paraId="07F71E6F" w14:textId="7586B586" w:rsidR="00B35C6A" w:rsidRDefault="00B35C6A">
      <w:pPr>
        <w:pStyle w:val="FootnoteText"/>
      </w:pPr>
      <w:r>
        <w:rPr>
          <w:rStyle w:val="FootnoteReference"/>
        </w:rPr>
        <w:footnoteRef/>
      </w:r>
      <w:r>
        <w:t xml:space="preserve"> Emma C. Clarke, John Dillon and Jackson P. Hershbell, </w:t>
      </w:r>
      <w:r w:rsidRPr="004E087D">
        <w:rPr>
          <w:i/>
        </w:rPr>
        <w:t>Iamblichus: De</w:t>
      </w:r>
      <w:r>
        <w:t xml:space="preserve"> </w:t>
      </w:r>
      <w:r w:rsidRPr="004E087D">
        <w:rPr>
          <w:i/>
        </w:rPr>
        <w:t>Mysteriis</w:t>
      </w:r>
      <w:r>
        <w:t xml:space="preserve"> (Atlanta: Society of Biblical Literature, 2003), [hereafter Clarke, </w:t>
      </w:r>
      <w:r w:rsidRPr="004E087D">
        <w:rPr>
          <w:i/>
        </w:rPr>
        <w:t>De Mysteriis</w:t>
      </w:r>
      <w:r>
        <w:t>), p. 3.</w:t>
      </w:r>
    </w:p>
  </w:footnote>
  <w:footnote w:id="3">
    <w:p w14:paraId="6F2F095A" w14:textId="5C5E7367" w:rsidR="00B35C6A" w:rsidRDefault="00B35C6A">
      <w:pPr>
        <w:pStyle w:val="FootnoteText"/>
      </w:pPr>
      <w:r>
        <w:rPr>
          <w:rStyle w:val="FootnoteReference"/>
        </w:rPr>
        <w:footnoteRef/>
      </w:r>
      <w:r>
        <w:t xml:space="preserve"> </w:t>
      </w:r>
      <w:bookmarkStart w:id="2" w:name="_Hlk518754810"/>
      <w:r>
        <w:t xml:space="preserve">Clarke, </w:t>
      </w:r>
      <w:r w:rsidRPr="004E087D">
        <w:rPr>
          <w:i/>
        </w:rPr>
        <w:t>De</w:t>
      </w:r>
      <w:r>
        <w:t xml:space="preserve"> </w:t>
      </w:r>
      <w:r w:rsidRPr="004E087D">
        <w:rPr>
          <w:i/>
        </w:rPr>
        <w:t>Mysterii</w:t>
      </w:r>
      <w:r>
        <w:rPr>
          <w:i/>
        </w:rPr>
        <w:t>s,</w:t>
      </w:r>
      <w:r>
        <w:t xml:space="preserve"> </w:t>
      </w:r>
      <w:bookmarkEnd w:id="2"/>
      <w:r>
        <w:t>p. xxix.</w:t>
      </w:r>
    </w:p>
  </w:footnote>
  <w:footnote w:id="4">
    <w:p w14:paraId="42514E73" w14:textId="2CCA56D8" w:rsidR="00B35C6A" w:rsidRDefault="00B35C6A">
      <w:pPr>
        <w:pStyle w:val="FootnoteText"/>
      </w:pPr>
      <w:r>
        <w:rPr>
          <w:rStyle w:val="FootnoteReference"/>
        </w:rPr>
        <w:footnoteRef/>
      </w:r>
      <w:r>
        <w:t xml:space="preserve"> Nicola Denzey Lewis, ‘</w:t>
      </w:r>
      <w:r w:rsidRPr="00AF1083">
        <w:t>Living Images of the Divine: Female Theurgists in Late Antiquity</w:t>
      </w:r>
      <w:r>
        <w:t xml:space="preserve">’, in </w:t>
      </w:r>
      <w:r w:rsidRPr="00AF1083">
        <w:rPr>
          <w:i/>
        </w:rPr>
        <w:t>‘Daughters of Hecate: Women and Magic in the Ancient World</w:t>
      </w:r>
      <w:r>
        <w:t xml:space="preserve">’, eds. Kimberly B. Stratton and Danya S. Kalleres (Oxford:  Oxford Scholarship Online, 2014), [hereafter Lewis, ‘Living Image of the Divine’] p. 281. </w:t>
      </w:r>
      <w:r w:rsidR="00277DEA">
        <w:t>&lt;</w:t>
      </w:r>
      <w:r>
        <w:t>DOI: 10.1093/acprof:oso/9780195342703.001.0001</w:t>
      </w:r>
      <w:r w:rsidR="00277DEA">
        <w:t>&gt;</w:t>
      </w:r>
      <w:r>
        <w:t xml:space="preserve"> [accessed: 5</w:t>
      </w:r>
      <w:r w:rsidRPr="004A5D70">
        <w:rPr>
          <w:vertAlign w:val="superscript"/>
        </w:rPr>
        <w:t>th</w:t>
      </w:r>
      <w:r>
        <w:t xml:space="preserve"> Jul</w:t>
      </w:r>
      <w:r w:rsidR="00FB63EE">
        <w:t>y</w:t>
      </w:r>
      <w:r>
        <w:t>, 2018],</w:t>
      </w:r>
      <w:r w:rsidR="00687710">
        <w:t xml:space="preserve"> p.</w:t>
      </w:r>
      <w:r w:rsidR="00751C2E">
        <w:t>283</w:t>
      </w:r>
      <w:r>
        <w:t>.</w:t>
      </w:r>
    </w:p>
  </w:footnote>
  <w:footnote w:id="5">
    <w:p w14:paraId="0D65EF4D" w14:textId="6976814A" w:rsidR="00B35C6A" w:rsidRDefault="00B35C6A">
      <w:pPr>
        <w:pStyle w:val="FootnoteText"/>
      </w:pPr>
      <w:r>
        <w:rPr>
          <w:rStyle w:val="FootnoteReference"/>
        </w:rPr>
        <w:footnoteRef/>
      </w:r>
      <w:r>
        <w:t xml:space="preserve"> Clarke, </w:t>
      </w:r>
      <w:r w:rsidRPr="00983D1A">
        <w:rPr>
          <w:i/>
        </w:rPr>
        <w:t>De Mysteriis</w:t>
      </w:r>
      <w:r>
        <w:t>, p. 81, I.21; pp. 165 – 169, III.18 – 19, pp. 165 - 169.</w:t>
      </w:r>
    </w:p>
  </w:footnote>
  <w:footnote w:id="6">
    <w:p w14:paraId="45F30840" w14:textId="6CD48CEA" w:rsidR="00B35C6A" w:rsidRDefault="00B35C6A" w:rsidP="006D48B8">
      <w:pPr>
        <w:pStyle w:val="FootnoteText"/>
      </w:pPr>
      <w:r>
        <w:rPr>
          <w:rStyle w:val="FootnoteReference"/>
        </w:rPr>
        <w:footnoteRef/>
      </w:r>
      <w:r>
        <w:t xml:space="preserve"> E.R. Dodds, Theurgy and its Relationship to </w:t>
      </w:r>
      <w:r w:rsidR="00FB63EE">
        <w:t>Neoplatonism</w:t>
      </w:r>
      <w:r>
        <w:t xml:space="preserve">, </w:t>
      </w:r>
      <w:r w:rsidRPr="00487346">
        <w:rPr>
          <w:i/>
        </w:rPr>
        <w:t>The Journal of Roman Studies</w:t>
      </w:r>
      <w:r>
        <w:t xml:space="preserve">, Vol. 37(1 &amp; 2) (Society for the Promotion of Roman Studies, 1947), [hereafter Dodds, ‘Theurgy and its Relationship to </w:t>
      </w:r>
      <w:r w:rsidR="00FB63EE">
        <w:t>Neoplatonism</w:t>
      </w:r>
      <w:r>
        <w:t>’], pp. 55 – 59.</w:t>
      </w:r>
    </w:p>
  </w:footnote>
  <w:footnote w:id="7">
    <w:p w14:paraId="1DCB04A8" w14:textId="305600EE" w:rsidR="00B35C6A" w:rsidRDefault="00B35C6A">
      <w:pPr>
        <w:pStyle w:val="FootnoteText"/>
      </w:pPr>
      <w:r>
        <w:rPr>
          <w:rStyle w:val="FootnoteReference"/>
        </w:rPr>
        <w:footnoteRef/>
      </w:r>
      <w:r>
        <w:t xml:space="preserve"> Lewis, ‘</w:t>
      </w:r>
      <w:r w:rsidRPr="006412C2">
        <w:t>Living Images of the Divine</w:t>
      </w:r>
      <w:r>
        <w:t>’</w:t>
      </w:r>
      <w:r w:rsidRPr="006412C2">
        <w:t>,</w:t>
      </w:r>
      <w:r>
        <w:t xml:space="preserve"> p. 280.</w:t>
      </w:r>
    </w:p>
  </w:footnote>
  <w:footnote w:id="8">
    <w:p w14:paraId="4D1C9FDD" w14:textId="4D3AE1B2" w:rsidR="00B35C6A" w:rsidRDefault="00B35C6A">
      <w:pPr>
        <w:pStyle w:val="FootnoteText"/>
      </w:pPr>
      <w:r>
        <w:rPr>
          <w:rStyle w:val="FootnoteReference"/>
        </w:rPr>
        <w:footnoteRef/>
      </w:r>
      <w:r>
        <w:t xml:space="preserve"> Gregory Shaw, </w:t>
      </w:r>
      <w:r w:rsidRPr="008613E3">
        <w:rPr>
          <w:i/>
        </w:rPr>
        <w:t>Theurgy and the Soul</w:t>
      </w:r>
      <w:r>
        <w:rPr>
          <w:i/>
        </w:rPr>
        <w:t>: The Neoplatonism of Iamblichus</w:t>
      </w:r>
      <w:r>
        <w:t>, 2</w:t>
      </w:r>
      <w:r w:rsidRPr="008613E3">
        <w:rPr>
          <w:vertAlign w:val="superscript"/>
        </w:rPr>
        <w:t>nd</w:t>
      </w:r>
      <w:r>
        <w:t xml:space="preserve"> edn., (Angelico Press, Sophia Perennis, 1995 [2014]), [hereafter, Gregory Shaw, </w:t>
      </w:r>
      <w:bookmarkStart w:id="3" w:name="_Hlk519419457"/>
      <w:r w:rsidRPr="008613E3">
        <w:rPr>
          <w:i/>
        </w:rPr>
        <w:t>Theurgy and the Soul</w:t>
      </w:r>
      <w:bookmarkEnd w:id="3"/>
      <w:r>
        <w:t>], p.5.</w:t>
      </w:r>
    </w:p>
  </w:footnote>
  <w:footnote w:id="9">
    <w:p w14:paraId="163F37A4" w14:textId="40C93573" w:rsidR="00B35C6A" w:rsidRDefault="00B35C6A">
      <w:pPr>
        <w:pStyle w:val="FootnoteText"/>
      </w:pPr>
      <w:r>
        <w:rPr>
          <w:rStyle w:val="FootnoteReference"/>
        </w:rPr>
        <w:footnoteRef/>
      </w:r>
      <w:r>
        <w:t xml:space="preserve"> </w:t>
      </w:r>
      <w:r w:rsidRPr="00ED200F">
        <w:rPr>
          <w:rFonts w:asciiTheme="majorHAnsi" w:hAnsiTheme="majorHAnsi"/>
        </w:rPr>
        <w:t xml:space="preserve">Gregory Shaw, </w:t>
      </w:r>
      <w:r w:rsidRPr="008613E3">
        <w:rPr>
          <w:i/>
        </w:rPr>
        <w:t>Theurgy and the Soul</w:t>
      </w:r>
      <w:r>
        <w:rPr>
          <w:i/>
        </w:rPr>
        <w:t xml:space="preserve">, </w:t>
      </w:r>
      <w:r w:rsidRPr="00371839">
        <w:t>p. 5.</w:t>
      </w:r>
    </w:p>
  </w:footnote>
  <w:footnote w:id="10">
    <w:p w14:paraId="181685E7" w14:textId="76135A14" w:rsidR="00B35C6A" w:rsidRPr="002D38EA" w:rsidRDefault="00B35C6A" w:rsidP="002D38EA">
      <w:pPr>
        <w:spacing w:after="0" w:line="240" w:lineRule="auto"/>
        <w:rPr>
          <w:sz w:val="20"/>
          <w:szCs w:val="20"/>
        </w:rPr>
      </w:pPr>
      <w:r>
        <w:rPr>
          <w:rStyle w:val="FootnoteReference"/>
        </w:rPr>
        <w:footnoteRef/>
      </w:r>
      <w:r>
        <w:t xml:space="preserve"> </w:t>
      </w:r>
      <w:bookmarkStart w:id="4" w:name="_Hlk519425568"/>
      <w:r w:rsidRPr="00980F19">
        <w:rPr>
          <w:sz w:val="20"/>
          <w:szCs w:val="20"/>
        </w:rPr>
        <w:t xml:space="preserve">Gregory Shaw, </w:t>
      </w:r>
      <w:bookmarkStart w:id="5" w:name="_Hlk519424978"/>
      <w:r w:rsidRPr="002D38EA">
        <w:rPr>
          <w:i/>
          <w:sz w:val="20"/>
          <w:szCs w:val="20"/>
        </w:rPr>
        <w:t>Taking the Shape of the Gods</w:t>
      </w:r>
      <w:bookmarkEnd w:id="4"/>
      <w:bookmarkEnd w:id="5"/>
      <w:r w:rsidRPr="002D38EA">
        <w:rPr>
          <w:i/>
          <w:sz w:val="20"/>
          <w:szCs w:val="20"/>
        </w:rPr>
        <w:t>: A Theurgic Reading of Hermetic Rebirth</w:t>
      </w:r>
      <w:r w:rsidR="00A24586">
        <w:rPr>
          <w:sz w:val="20"/>
          <w:szCs w:val="20"/>
        </w:rPr>
        <w:t xml:space="preserve">, [hereafter Shaw, </w:t>
      </w:r>
      <w:r w:rsidR="00A24586" w:rsidRPr="002D38EA">
        <w:rPr>
          <w:i/>
          <w:sz w:val="20"/>
          <w:szCs w:val="20"/>
        </w:rPr>
        <w:t>Taking the Shape of the Gods</w:t>
      </w:r>
      <w:r w:rsidR="00A24586">
        <w:rPr>
          <w:sz w:val="20"/>
          <w:szCs w:val="20"/>
        </w:rPr>
        <w:t>], &lt;</w:t>
      </w:r>
      <w:hyperlink r:id="rId1" w:history="1">
        <w:r w:rsidR="00A24586" w:rsidRPr="00E567F9">
          <w:rPr>
            <w:rStyle w:val="Hyperlink"/>
            <w:sz w:val="20"/>
            <w:szCs w:val="20"/>
          </w:rPr>
          <w:t>https://www.princeton.edu/~hellenic/Hermeneutica/ShawPaper.pdf</w:t>
        </w:r>
      </w:hyperlink>
      <w:r w:rsidR="00A24586">
        <w:rPr>
          <w:rStyle w:val="Hyperlink"/>
          <w:sz w:val="20"/>
          <w:szCs w:val="20"/>
        </w:rPr>
        <w:t>&gt;</w:t>
      </w:r>
      <w:r>
        <w:rPr>
          <w:sz w:val="20"/>
          <w:szCs w:val="20"/>
        </w:rPr>
        <w:t xml:space="preserve"> [accessed May 31, 2018</w:t>
      </w:r>
      <w:r w:rsidR="00A24586">
        <w:rPr>
          <w:sz w:val="20"/>
          <w:szCs w:val="20"/>
        </w:rPr>
        <w:t>]</w:t>
      </w:r>
      <w:r>
        <w:rPr>
          <w:sz w:val="20"/>
          <w:szCs w:val="20"/>
        </w:rPr>
        <w:t>, undated, p. 3.</w:t>
      </w:r>
    </w:p>
  </w:footnote>
  <w:footnote w:id="11">
    <w:p w14:paraId="1FD1C040" w14:textId="2C3B6FDE" w:rsidR="00B35C6A" w:rsidRDefault="00B35C6A" w:rsidP="00ED200F">
      <w:pPr>
        <w:spacing w:after="0" w:line="240" w:lineRule="auto"/>
      </w:pPr>
      <w:r>
        <w:rPr>
          <w:rStyle w:val="FootnoteReference"/>
        </w:rPr>
        <w:footnoteRef/>
      </w:r>
      <w:r>
        <w:t xml:space="preserve"> </w:t>
      </w:r>
      <w:r w:rsidRPr="00ED200F">
        <w:rPr>
          <w:rFonts w:asciiTheme="majorHAnsi" w:hAnsiTheme="majorHAnsi"/>
          <w:sz w:val="20"/>
          <w:szCs w:val="20"/>
        </w:rPr>
        <w:t xml:space="preserve">Gregory Shaw, </w:t>
      </w:r>
      <w:r w:rsidRPr="00ED200F">
        <w:rPr>
          <w:rFonts w:asciiTheme="majorHAnsi" w:hAnsiTheme="majorHAnsi"/>
          <w:i/>
          <w:sz w:val="20"/>
          <w:szCs w:val="20"/>
        </w:rPr>
        <w:t>Archetypal Psychology, Dreamwork, and Neoplatonism</w:t>
      </w:r>
      <w:r w:rsidRPr="00ED200F">
        <w:rPr>
          <w:rFonts w:asciiTheme="majorHAnsi" w:hAnsiTheme="majorHAnsi"/>
          <w:sz w:val="20"/>
          <w:szCs w:val="20"/>
        </w:rPr>
        <w:t>, 2016</w:t>
      </w:r>
      <w:r w:rsidR="00A24586">
        <w:rPr>
          <w:rFonts w:asciiTheme="majorHAnsi" w:hAnsiTheme="majorHAnsi"/>
          <w:sz w:val="20"/>
          <w:szCs w:val="20"/>
        </w:rPr>
        <w:t xml:space="preserve">, </w:t>
      </w:r>
      <w:r w:rsidRPr="00ED200F">
        <w:rPr>
          <w:rFonts w:asciiTheme="majorHAnsi" w:hAnsiTheme="majorHAnsi"/>
          <w:sz w:val="20"/>
          <w:szCs w:val="20"/>
        </w:rPr>
        <w:t>&lt;</w:t>
      </w:r>
      <w:hyperlink r:id="rId2" w:history="1">
        <w:r w:rsidRPr="00ED200F">
          <w:rPr>
            <w:rStyle w:val="Hyperlink"/>
            <w:rFonts w:asciiTheme="majorHAnsi" w:hAnsiTheme="majorHAnsi" w:cs="Courier New"/>
            <w:sz w:val="20"/>
            <w:szCs w:val="20"/>
          </w:rPr>
          <w:t>https://www.academia.edu/27626457/Archetypal_Psychology_Dreamwork_and_Neoplatonism</w:t>
        </w:r>
      </w:hyperlink>
      <w:r w:rsidRPr="00ED200F">
        <w:rPr>
          <w:rFonts w:asciiTheme="majorHAnsi" w:hAnsiTheme="majorHAnsi" w:cs="Courier New"/>
          <w:sz w:val="20"/>
          <w:szCs w:val="20"/>
        </w:rPr>
        <w:t>&gt; [</w:t>
      </w:r>
      <w:r w:rsidR="00FB63EE" w:rsidRPr="00ED200F">
        <w:rPr>
          <w:rFonts w:asciiTheme="majorHAnsi" w:hAnsiTheme="majorHAnsi" w:cs="Courier New"/>
          <w:sz w:val="20"/>
          <w:szCs w:val="20"/>
        </w:rPr>
        <w:t>accessed: May</w:t>
      </w:r>
      <w:r w:rsidRPr="00ED200F">
        <w:rPr>
          <w:rFonts w:asciiTheme="majorHAnsi" w:hAnsiTheme="majorHAnsi" w:cs="Courier New"/>
          <w:sz w:val="20"/>
          <w:szCs w:val="20"/>
        </w:rPr>
        <w:t xml:space="preserve"> 31, 2018],</w:t>
      </w:r>
      <w:r w:rsidRPr="00ED200F">
        <w:rPr>
          <w:rFonts w:asciiTheme="majorHAnsi" w:hAnsiTheme="majorHAnsi"/>
          <w:sz w:val="20"/>
          <w:szCs w:val="20"/>
        </w:rPr>
        <w:t xml:space="preserve"> </w:t>
      </w:r>
      <w:r w:rsidRPr="00ED200F">
        <w:rPr>
          <w:rFonts w:asciiTheme="majorHAnsi" w:hAnsiTheme="majorHAnsi" w:cs="Courier New"/>
          <w:sz w:val="20"/>
          <w:szCs w:val="20"/>
        </w:rPr>
        <w:t>p. 329.</w:t>
      </w:r>
    </w:p>
  </w:footnote>
  <w:footnote w:id="12">
    <w:p w14:paraId="005C52D5" w14:textId="38D1F0CC" w:rsidR="00B35C6A" w:rsidRDefault="00B35C6A">
      <w:pPr>
        <w:pStyle w:val="FootnoteText"/>
      </w:pPr>
      <w:r>
        <w:rPr>
          <w:rStyle w:val="FootnoteReference"/>
        </w:rPr>
        <w:footnoteRef/>
      </w:r>
      <w:r>
        <w:t xml:space="preserve"> John Dillon, ‘Iamblichus’ Defence of Theurgy: Some Reflections’, </w:t>
      </w:r>
      <w:r w:rsidRPr="00487346">
        <w:rPr>
          <w:i/>
        </w:rPr>
        <w:t>The International Journal of the Platonic Tradition,</w:t>
      </w:r>
      <w:r w:rsidR="00487346">
        <w:rPr>
          <w:i/>
        </w:rPr>
        <w:t xml:space="preserve"> </w:t>
      </w:r>
      <w:r w:rsidR="00487346" w:rsidRPr="00487346">
        <w:t>Vol. 1,</w:t>
      </w:r>
      <w:r>
        <w:t xml:space="preserve"> (Brill, 2007), </w:t>
      </w:r>
      <w:r w:rsidR="00983D1A">
        <w:t>[hereafter Dillon,</w:t>
      </w:r>
      <w:r w:rsidR="00983D1A" w:rsidRPr="00A24586">
        <w:t xml:space="preserve"> </w:t>
      </w:r>
      <w:r w:rsidR="00983D1A">
        <w:t xml:space="preserve">‘Iamblichus’ Defence of Theurgy’], </w:t>
      </w:r>
      <w:r w:rsidR="00A24586">
        <w:t>&lt;</w:t>
      </w:r>
      <w:hyperlink r:id="rId3" w:history="1">
        <w:r w:rsidR="00A24586" w:rsidRPr="00E567F9">
          <w:rPr>
            <w:rStyle w:val="Hyperlink"/>
          </w:rPr>
          <w:t>http://booksandjournals.brillonline.com/docserver/18725082/v1n1_splitsection3.pdf?expires=1531672520&amp;id=id&amp;accname=guest&amp;checksum=EDE1F946CDE48C3E69732376425FC71B</w:t>
        </w:r>
      </w:hyperlink>
      <w:r w:rsidR="00A24586">
        <w:rPr>
          <w:rStyle w:val="Hyperlink"/>
        </w:rPr>
        <w:t>&gt;</w:t>
      </w:r>
      <w:r>
        <w:t>, p. 30.</w:t>
      </w:r>
    </w:p>
  </w:footnote>
  <w:footnote w:id="13">
    <w:p w14:paraId="0C8E1EE8" w14:textId="77777777" w:rsidR="00082CF6" w:rsidRDefault="00082CF6" w:rsidP="00082CF6">
      <w:pPr>
        <w:pStyle w:val="FootnoteText"/>
      </w:pPr>
      <w:r>
        <w:rPr>
          <w:rStyle w:val="FootnoteReference"/>
        </w:rPr>
        <w:footnoteRef/>
      </w:r>
      <w:r>
        <w:t xml:space="preserve"> Clarke, </w:t>
      </w:r>
      <w:r w:rsidRPr="00487346">
        <w:rPr>
          <w:i/>
        </w:rPr>
        <w:t>De Mysteriis</w:t>
      </w:r>
      <w:r>
        <w:t>, III.18, p. 167.</w:t>
      </w:r>
    </w:p>
  </w:footnote>
  <w:footnote w:id="14">
    <w:p w14:paraId="26012A14" w14:textId="528A6704" w:rsidR="00B35C6A" w:rsidRDefault="00B35C6A" w:rsidP="00EF3E65">
      <w:pPr>
        <w:pStyle w:val="FootnoteText"/>
      </w:pPr>
      <w:r>
        <w:rPr>
          <w:rStyle w:val="FootnoteReference"/>
        </w:rPr>
        <w:footnoteRef/>
      </w:r>
      <w:r>
        <w:t xml:space="preserve"> </w:t>
      </w:r>
      <w:bookmarkStart w:id="6" w:name="_Hlk519509463"/>
      <w:r w:rsidR="00687710">
        <w:t xml:space="preserve">Lewis, </w:t>
      </w:r>
      <w:r w:rsidR="00751C2E">
        <w:t>‘</w:t>
      </w:r>
      <w:r w:rsidR="00687710">
        <w:t>Living Images of the Divine</w:t>
      </w:r>
      <w:r w:rsidR="00751C2E">
        <w:t>’</w:t>
      </w:r>
      <w:r w:rsidR="00687710">
        <w:t>,</w:t>
      </w:r>
      <w:r w:rsidR="00751C2E">
        <w:t xml:space="preserve"> p. 278.</w:t>
      </w:r>
      <w:r w:rsidR="00687710">
        <w:t xml:space="preserve"> </w:t>
      </w:r>
      <w:bookmarkEnd w:id="6"/>
    </w:p>
  </w:footnote>
  <w:footnote w:id="15">
    <w:p w14:paraId="3D5AACDB" w14:textId="5F3297EC" w:rsidR="00B35C6A" w:rsidRDefault="00B35C6A">
      <w:pPr>
        <w:pStyle w:val="FootnoteText"/>
      </w:pPr>
      <w:r>
        <w:rPr>
          <w:rStyle w:val="FootnoteReference"/>
        </w:rPr>
        <w:footnoteRef/>
      </w:r>
      <w:r>
        <w:t xml:space="preserve"> </w:t>
      </w:r>
      <w:r w:rsidR="00751C2E">
        <w:t>Lewis, ‘Living Images of the Divine’, p. 280.</w:t>
      </w:r>
    </w:p>
  </w:footnote>
  <w:footnote w:id="16">
    <w:p w14:paraId="7BE4D27C" w14:textId="463558BA" w:rsidR="00B35C6A" w:rsidRPr="008C233B" w:rsidRDefault="00B35C6A">
      <w:pPr>
        <w:pStyle w:val="FootnoteText"/>
      </w:pPr>
      <w:r>
        <w:rPr>
          <w:rStyle w:val="FootnoteReference"/>
        </w:rPr>
        <w:footnoteRef/>
      </w:r>
      <w:r>
        <w:t xml:space="preserve"> </w:t>
      </w:r>
      <w:bookmarkStart w:id="7" w:name="_Hlk519509652"/>
      <w:r w:rsidR="00751C2E">
        <w:t>Lewis, ‘Living Images of the Divine’, p. 280</w:t>
      </w:r>
      <w:bookmarkEnd w:id="7"/>
      <w:r w:rsidR="00751C2E">
        <w:t>.</w:t>
      </w:r>
    </w:p>
  </w:footnote>
  <w:footnote w:id="17">
    <w:p w14:paraId="1107FFB3" w14:textId="5EC7E6A6" w:rsidR="00B35C6A" w:rsidRDefault="00B35C6A">
      <w:pPr>
        <w:pStyle w:val="FootnoteText"/>
      </w:pPr>
      <w:r>
        <w:rPr>
          <w:rStyle w:val="FootnoteReference"/>
        </w:rPr>
        <w:footnoteRef/>
      </w:r>
      <w:r>
        <w:t xml:space="preserve"> </w:t>
      </w:r>
      <w:bookmarkStart w:id="8" w:name="_Hlk519452873"/>
      <w:r w:rsidR="00751C2E">
        <w:t>Lewis, ‘Living Images of the Divine’, p. 28</w:t>
      </w:r>
      <w:bookmarkStart w:id="9" w:name="_Hlk519519149"/>
      <w:r w:rsidR="00487346">
        <w:t>1.</w:t>
      </w:r>
      <w:r>
        <w:t xml:space="preserve"> </w:t>
      </w:r>
      <w:bookmarkEnd w:id="8"/>
    </w:p>
    <w:bookmarkEnd w:id="9"/>
  </w:footnote>
  <w:footnote w:id="18">
    <w:p w14:paraId="4E42B1CF" w14:textId="081A60FC" w:rsidR="00B35C6A" w:rsidRDefault="00B35C6A">
      <w:pPr>
        <w:pStyle w:val="FootnoteText"/>
      </w:pPr>
      <w:r>
        <w:rPr>
          <w:rStyle w:val="FootnoteReference"/>
        </w:rPr>
        <w:footnoteRef/>
      </w:r>
      <w:r>
        <w:t xml:space="preserve"> Clarke, </w:t>
      </w:r>
      <w:r w:rsidRPr="00487346">
        <w:rPr>
          <w:i/>
        </w:rPr>
        <w:t>De Mysteriis</w:t>
      </w:r>
      <w:r>
        <w:t>, III.4-5, p. 129 - 131.</w:t>
      </w:r>
    </w:p>
  </w:footnote>
  <w:footnote w:id="19">
    <w:p w14:paraId="08475408" w14:textId="02BE28B9" w:rsidR="00B35C6A" w:rsidRDefault="00B35C6A">
      <w:pPr>
        <w:pStyle w:val="FootnoteText"/>
      </w:pPr>
      <w:r>
        <w:rPr>
          <w:rStyle w:val="FootnoteReference"/>
        </w:rPr>
        <w:footnoteRef/>
      </w:r>
      <w:r>
        <w:t xml:space="preserve"> Anne Sheppard, ‘Proclus’ Attitude to Theurgy’, </w:t>
      </w:r>
      <w:r w:rsidRPr="00983D1A">
        <w:rPr>
          <w:i/>
        </w:rPr>
        <w:t>The Classical Quarterly</w:t>
      </w:r>
      <w:r>
        <w:t>, Vol. 32 (1), (Cambridge University Press on behalf of The Classical Association, 1982), p. 224.</w:t>
      </w:r>
    </w:p>
  </w:footnote>
  <w:footnote w:id="20">
    <w:p w14:paraId="42129D39" w14:textId="7EB8E745" w:rsidR="000C0898" w:rsidRDefault="000C0898">
      <w:pPr>
        <w:pStyle w:val="FootnoteText"/>
      </w:pPr>
      <w:r>
        <w:rPr>
          <w:rStyle w:val="FootnoteReference"/>
        </w:rPr>
        <w:footnoteRef/>
      </w:r>
      <w:r>
        <w:t xml:space="preserve"> </w:t>
      </w:r>
      <w:r w:rsidRPr="00983D1A">
        <w:rPr>
          <w:i/>
        </w:rPr>
        <w:t xml:space="preserve">Oxford </w:t>
      </w:r>
      <w:r w:rsidR="00557349" w:rsidRPr="00983D1A">
        <w:rPr>
          <w:i/>
        </w:rPr>
        <w:t xml:space="preserve">Current </w:t>
      </w:r>
      <w:r w:rsidRPr="00983D1A">
        <w:rPr>
          <w:i/>
        </w:rPr>
        <w:t>English Dictionar</w:t>
      </w:r>
      <w:r w:rsidR="00557349" w:rsidRPr="00983D1A">
        <w:rPr>
          <w:i/>
        </w:rPr>
        <w:t>y</w:t>
      </w:r>
      <w:r w:rsidR="00557349">
        <w:t>, (Oxford: Oxford University Press</w:t>
      </w:r>
      <w:r w:rsidR="00983D1A">
        <w:t>, 1990</w:t>
      </w:r>
      <w:r w:rsidR="00557349">
        <w:t>), p.480.</w:t>
      </w:r>
    </w:p>
  </w:footnote>
  <w:footnote w:id="21">
    <w:p w14:paraId="4956BC5E" w14:textId="77777777" w:rsidR="00B35C6A" w:rsidRDefault="00B35C6A" w:rsidP="00DF1A5B">
      <w:pPr>
        <w:pStyle w:val="FootnoteText"/>
      </w:pPr>
      <w:r>
        <w:rPr>
          <w:rStyle w:val="FootnoteReference"/>
        </w:rPr>
        <w:footnoteRef/>
      </w:r>
      <w:r>
        <w:t xml:space="preserve"> Derek Collins, ‘Nature, Cause, and Agency in Greek Magic’, </w:t>
      </w:r>
      <w:r w:rsidRPr="00DC30D3">
        <w:rPr>
          <w:i/>
        </w:rPr>
        <w:t>Transactions of the American Philological Association</w:t>
      </w:r>
      <w:r>
        <w:t xml:space="preserve">, Vol. 133 (1), (The John Hopkins University Press, 2003) [hereafter </w:t>
      </w:r>
      <w:bookmarkStart w:id="10" w:name="_Hlk519428937"/>
      <w:r>
        <w:t>Collins, ‘Nature, Cause and Agency in Greek Magic’</w:t>
      </w:r>
      <w:bookmarkEnd w:id="10"/>
      <w:r>
        <w:t>], p. 18</w:t>
      </w:r>
    </w:p>
  </w:footnote>
  <w:footnote w:id="22">
    <w:p w14:paraId="666D975B" w14:textId="63C2BF50" w:rsidR="00B35C6A" w:rsidRDefault="00B35C6A">
      <w:pPr>
        <w:pStyle w:val="FootnoteText"/>
      </w:pPr>
      <w:r>
        <w:rPr>
          <w:rStyle w:val="FootnoteReference"/>
        </w:rPr>
        <w:footnoteRef/>
      </w:r>
      <w:r>
        <w:t xml:space="preserve"> Murray and Rosalie Wax, ‘The Notion of Magic’, </w:t>
      </w:r>
      <w:r w:rsidRPr="00315BD3">
        <w:rPr>
          <w:i/>
        </w:rPr>
        <w:t>Current Anthropology</w:t>
      </w:r>
      <w:r>
        <w:t>, Vol. 4 (5), (The University of Chicago Press on behalf of Wenner-Gren Foundation for Anthropological Research, 1963), p. 495.</w:t>
      </w:r>
    </w:p>
  </w:footnote>
  <w:footnote w:id="23">
    <w:p w14:paraId="3D908FD3" w14:textId="4BDA191E" w:rsidR="00B35C6A" w:rsidRPr="008C233B" w:rsidRDefault="00B35C6A">
      <w:pPr>
        <w:pStyle w:val="FootnoteText"/>
      </w:pPr>
      <w:r>
        <w:rPr>
          <w:rStyle w:val="FootnoteReference"/>
        </w:rPr>
        <w:footnoteRef/>
      </w:r>
      <w:r>
        <w:t xml:space="preserve"> Marcel Mauss, </w:t>
      </w:r>
      <w:r w:rsidRPr="008C233B">
        <w:rPr>
          <w:i/>
        </w:rPr>
        <w:t>A General Theory of Magic</w:t>
      </w:r>
      <w:r>
        <w:t xml:space="preserve">, trans. by Robert Brain, (London and New York:  Routledge, 1950 [1972, 2001]), [hereafter, Mauss, </w:t>
      </w:r>
      <w:r w:rsidRPr="007B22F1">
        <w:rPr>
          <w:i/>
        </w:rPr>
        <w:t>A General Theory of Magic</w:t>
      </w:r>
      <w:r>
        <w:t>], p. 22.</w:t>
      </w:r>
    </w:p>
  </w:footnote>
  <w:footnote w:id="24">
    <w:p w14:paraId="5A8E4EE1" w14:textId="7C1642C0" w:rsidR="00B35C6A" w:rsidRDefault="00B35C6A">
      <w:pPr>
        <w:pStyle w:val="FootnoteText"/>
      </w:pPr>
      <w:r>
        <w:rPr>
          <w:rStyle w:val="FootnoteReference"/>
        </w:rPr>
        <w:footnoteRef/>
      </w:r>
      <w:r>
        <w:t xml:space="preserve"> Robert, L. Fowler, ‘Greek Magic, Greek Religion’, in Richard Buxton (ed.), </w:t>
      </w:r>
      <w:r w:rsidRPr="008A5263">
        <w:rPr>
          <w:i/>
        </w:rPr>
        <w:t>Oxford Readings in Greek Religion</w:t>
      </w:r>
      <w:r>
        <w:t xml:space="preserve"> (</w:t>
      </w:r>
      <w:r w:rsidRPr="007C5C5B">
        <w:t>Oxford</w:t>
      </w:r>
      <w:r w:rsidR="007C5C5B">
        <w:t xml:space="preserve">:  Oxford University Press, </w:t>
      </w:r>
      <w:r w:rsidRPr="007C5C5B">
        <w:t>2000</w:t>
      </w:r>
      <w:r>
        <w:t>), [hereafter, Fowler, ‘Greek Magic, Greek Religion’], p. 318.</w:t>
      </w:r>
    </w:p>
  </w:footnote>
  <w:footnote w:id="25">
    <w:p w14:paraId="7A5DB90A" w14:textId="6EDB7675" w:rsidR="00B35C6A" w:rsidRPr="007B22F1" w:rsidRDefault="00B35C6A">
      <w:pPr>
        <w:pStyle w:val="FootnoteText"/>
      </w:pPr>
      <w:r>
        <w:rPr>
          <w:rStyle w:val="FootnoteReference"/>
        </w:rPr>
        <w:footnoteRef/>
      </w:r>
      <w:r>
        <w:t xml:space="preserve"> Fowler, ‘Greek Magic, Greek Religion’, p. 218; and </w:t>
      </w:r>
      <w:bookmarkStart w:id="11" w:name="_Hlk519262731"/>
      <w:r>
        <w:t xml:space="preserve">Mauss, </w:t>
      </w:r>
      <w:r w:rsidRPr="007B22F1">
        <w:rPr>
          <w:i/>
        </w:rPr>
        <w:t>A General Theory of Magic</w:t>
      </w:r>
      <w:bookmarkEnd w:id="11"/>
      <w:r>
        <w:t>, p. 22.</w:t>
      </w:r>
    </w:p>
  </w:footnote>
  <w:footnote w:id="26">
    <w:p w14:paraId="6B88C6A8" w14:textId="1DF68BB9" w:rsidR="00B35C6A" w:rsidRDefault="00B35C6A">
      <w:pPr>
        <w:pStyle w:val="FootnoteText"/>
      </w:pPr>
      <w:r>
        <w:rPr>
          <w:rStyle w:val="FootnoteReference"/>
        </w:rPr>
        <w:footnoteRef/>
      </w:r>
      <w:r>
        <w:t xml:space="preserve"> Mauss, </w:t>
      </w:r>
      <w:r w:rsidRPr="007B22F1">
        <w:rPr>
          <w:i/>
        </w:rPr>
        <w:t>A General Theory of Magic</w:t>
      </w:r>
      <w:r>
        <w:rPr>
          <w:i/>
        </w:rPr>
        <w:t>,</w:t>
      </w:r>
      <w:r w:rsidRPr="00762ECC">
        <w:t xml:space="preserve"> p. 30.</w:t>
      </w:r>
    </w:p>
  </w:footnote>
  <w:footnote w:id="27">
    <w:p w14:paraId="6FC656A4" w14:textId="378A976B" w:rsidR="00B35C6A" w:rsidRDefault="00B35C6A">
      <w:pPr>
        <w:pStyle w:val="FootnoteText"/>
      </w:pPr>
      <w:r>
        <w:rPr>
          <w:rStyle w:val="FootnoteReference"/>
        </w:rPr>
        <w:footnoteRef/>
      </w:r>
      <w:r>
        <w:t xml:space="preserve"> Eugene Anderson, </w:t>
      </w:r>
      <w:r w:rsidRPr="002508E4">
        <w:rPr>
          <w:i/>
        </w:rPr>
        <w:t xml:space="preserve">Magic, Science and Religion: Useful Labels in the Past? Useless in the Present? </w:t>
      </w:r>
      <w:r w:rsidR="007255B2">
        <w:rPr>
          <w:i/>
        </w:rPr>
        <w:t>&lt;</w:t>
      </w:r>
      <w:hyperlink r:id="rId4" w:history="1">
        <w:r w:rsidR="007255B2" w:rsidRPr="00CB4D75">
          <w:rPr>
            <w:rStyle w:val="Hyperlink"/>
          </w:rPr>
          <w:t>http://www.krazykioti.com/articles/magic-science-and-religion/</w:t>
        </w:r>
      </w:hyperlink>
      <w:r w:rsidR="007255B2">
        <w:t xml:space="preserve">&gt;, </w:t>
      </w:r>
      <w:r>
        <w:t>no page number, accessed 13</w:t>
      </w:r>
      <w:r w:rsidRPr="002508E4">
        <w:rPr>
          <w:vertAlign w:val="superscript"/>
        </w:rPr>
        <w:t>th</w:t>
      </w:r>
      <w:r>
        <w:t xml:space="preserve"> July 2018.</w:t>
      </w:r>
    </w:p>
  </w:footnote>
  <w:footnote w:id="28">
    <w:p w14:paraId="6457F6C5" w14:textId="77777777" w:rsidR="000007DA" w:rsidRDefault="000007DA" w:rsidP="000007DA">
      <w:pPr>
        <w:pStyle w:val="FootnoteText"/>
      </w:pPr>
      <w:r>
        <w:rPr>
          <w:rStyle w:val="FootnoteReference"/>
        </w:rPr>
        <w:footnoteRef/>
      </w:r>
      <w:r>
        <w:t xml:space="preserve"> Collins, ‘Nature, Cause, and Agency in Greek Magic’, p. 17.</w:t>
      </w:r>
    </w:p>
  </w:footnote>
  <w:footnote w:id="29">
    <w:p w14:paraId="4BD2B708" w14:textId="49AC378A" w:rsidR="00B35C6A" w:rsidRDefault="00B35C6A">
      <w:pPr>
        <w:pStyle w:val="FootnoteText"/>
      </w:pPr>
      <w:r>
        <w:rPr>
          <w:rStyle w:val="FootnoteReference"/>
        </w:rPr>
        <w:footnoteRef/>
      </w:r>
      <w:r>
        <w:t xml:space="preserve"> Collins, ‘Nature, Cause and Agency in Greek Magic’, pp. 19 - 20</w:t>
      </w:r>
    </w:p>
  </w:footnote>
  <w:footnote w:id="30">
    <w:p w14:paraId="166AB50F" w14:textId="68DDC0CE" w:rsidR="00B35C6A" w:rsidRDefault="00B35C6A">
      <w:pPr>
        <w:pStyle w:val="FootnoteText"/>
      </w:pPr>
      <w:r>
        <w:rPr>
          <w:rStyle w:val="FootnoteReference"/>
        </w:rPr>
        <w:footnoteRef/>
      </w:r>
      <w:r>
        <w:t xml:space="preserve"> Collins, ‘Nature, Cause and Agency in Greek Magic’, pp. 20 – 21.</w:t>
      </w:r>
    </w:p>
  </w:footnote>
  <w:footnote w:id="31">
    <w:p w14:paraId="2B343DA5" w14:textId="77777777" w:rsidR="005A41A6" w:rsidRDefault="005A41A6" w:rsidP="005A41A6">
      <w:pPr>
        <w:pStyle w:val="FootnoteText"/>
      </w:pPr>
      <w:r>
        <w:rPr>
          <w:rStyle w:val="FootnoteReference"/>
        </w:rPr>
        <w:footnoteRef/>
      </w:r>
      <w:r>
        <w:t xml:space="preserve"> E.R. Dodds, </w:t>
      </w:r>
      <w:bookmarkStart w:id="12" w:name="_Hlk519266203"/>
      <w:r>
        <w:t xml:space="preserve">‘Theurgy and its Relationship to Neoplatonism’, </w:t>
      </w:r>
      <w:bookmarkEnd w:id="12"/>
      <w:r>
        <w:t>p. 59.</w:t>
      </w:r>
    </w:p>
  </w:footnote>
  <w:footnote w:id="32">
    <w:p w14:paraId="0E2DBD02" w14:textId="4059156D" w:rsidR="005A41A6" w:rsidRDefault="005A41A6" w:rsidP="005A41A6">
      <w:pPr>
        <w:pStyle w:val="FootnoteText"/>
      </w:pPr>
      <w:r>
        <w:rPr>
          <w:rStyle w:val="FootnoteReference"/>
        </w:rPr>
        <w:footnoteRef/>
      </w:r>
      <w:r>
        <w:t xml:space="preserve"> Wayne Hankey, ‘Re-Evaluating E.R. Dodds’ Platonism’, </w:t>
      </w:r>
      <w:r w:rsidRPr="00B20049">
        <w:rPr>
          <w:i/>
        </w:rPr>
        <w:t>Harvard Studies in Classical Philology</w:t>
      </w:r>
      <w:r>
        <w:t xml:space="preserve">, Vol 103 (Harvard </w:t>
      </w:r>
      <w:r w:rsidR="00FB63EE">
        <w:t>University</w:t>
      </w:r>
      <w:r>
        <w:t>, Department of Classics, 2007), p516.</w:t>
      </w:r>
    </w:p>
  </w:footnote>
  <w:footnote w:id="33">
    <w:p w14:paraId="071DBDD3" w14:textId="5018E59E" w:rsidR="000007DA" w:rsidRDefault="000007DA" w:rsidP="000007DA">
      <w:pPr>
        <w:pStyle w:val="FootnoteText"/>
      </w:pPr>
      <w:r>
        <w:rPr>
          <w:rStyle w:val="FootnoteReference"/>
        </w:rPr>
        <w:footnoteRef/>
      </w:r>
      <w:r w:rsidR="007C70CA">
        <w:t xml:space="preserve">Polymnia Athanassiadi, ‘Dreams, Theurgy and Freelance Divination: The Testimony of Iamblichus’, </w:t>
      </w:r>
      <w:r w:rsidR="007C70CA" w:rsidRPr="00A43333">
        <w:rPr>
          <w:i/>
        </w:rPr>
        <w:t>The Journal of Roman Studies</w:t>
      </w:r>
      <w:r w:rsidR="007C70CA">
        <w:t>, Vol. 83 (1993), [hereafter, Athanassiadi, ‘Dreams, Theurgy and Freelance Divination’], p. 115.</w:t>
      </w:r>
    </w:p>
  </w:footnote>
  <w:footnote w:id="34">
    <w:p w14:paraId="11F6625F" w14:textId="11179D51" w:rsidR="00B35C6A" w:rsidRDefault="00B35C6A">
      <w:pPr>
        <w:pStyle w:val="FootnoteText"/>
      </w:pPr>
      <w:r>
        <w:rPr>
          <w:rStyle w:val="FootnoteReference"/>
        </w:rPr>
        <w:footnoteRef/>
      </w:r>
      <w:r>
        <w:t xml:space="preserve"> Athanassiadi, ‘Dreams, Theurgy and Freelance Divination’, p. 123.</w:t>
      </w:r>
    </w:p>
  </w:footnote>
  <w:footnote w:id="35">
    <w:p w14:paraId="4BF5523E" w14:textId="62D70895" w:rsidR="006A2C63" w:rsidRPr="00140617" w:rsidRDefault="006A2C63" w:rsidP="006A2C63">
      <w:pPr>
        <w:pStyle w:val="FootnoteText"/>
        <w:rPr>
          <w:b/>
        </w:rPr>
      </w:pPr>
      <w:r>
        <w:rPr>
          <w:rStyle w:val="FootnoteReference"/>
        </w:rPr>
        <w:footnoteRef/>
      </w:r>
      <w:r>
        <w:t xml:space="preserve"> Plato, </w:t>
      </w:r>
      <w:r w:rsidRPr="00140617">
        <w:rPr>
          <w:i/>
        </w:rPr>
        <w:t>Symposium</w:t>
      </w:r>
      <w:r>
        <w:t xml:space="preserve">, trans. by Tom Griffith (London: Folio Society Ltd, 1986 [1991], </w:t>
      </w:r>
      <w:r w:rsidR="00983D1A">
        <w:t xml:space="preserve">[hereafter Plato, </w:t>
      </w:r>
      <w:r w:rsidR="00983D1A" w:rsidRPr="00983D1A">
        <w:rPr>
          <w:i/>
        </w:rPr>
        <w:t>Symposium</w:t>
      </w:r>
      <w:r w:rsidR="00983D1A">
        <w:t xml:space="preserve">], </w:t>
      </w:r>
      <w:r>
        <w:t>p. 4</w:t>
      </w:r>
      <w:r w:rsidR="00C47AFD">
        <w:t>1.</w:t>
      </w:r>
    </w:p>
  </w:footnote>
  <w:footnote w:id="36">
    <w:p w14:paraId="1D60F75B" w14:textId="77777777" w:rsidR="006A2C63" w:rsidRDefault="006A2C63" w:rsidP="006A2C63">
      <w:pPr>
        <w:pStyle w:val="FootnoteText"/>
      </w:pPr>
      <w:r>
        <w:rPr>
          <w:rStyle w:val="FootnoteReference"/>
        </w:rPr>
        <w:footnoteRef/>
      </w:r>
      <w:r>
        <w:t xml:space="preserve"> Plato, </w:t>
      </w:r>
      <w:r w:rsidRPr="00140617">
        <w:rPr>
          <w:i/>
        </w:rPr>
        <w:t>Symposium</w:t>
      </w:r>
      <w:r>
        <w:t>, p. 42.</w:t>
      </w:r>
    </w:p>
  </w:footnote>
  <w:footnote w:id="37">
    <w:p w14:paraId="49DA162A" w14:textId="2F742623" w:rsidR="00B35C6A" w:rsidRDefault="00B35C6A">
      <w:pPr>
        <w:pStyle w:val="FootnoteText"/>
      </w:pPr>
      <w:r>
        <w:rPr>
          <w:rStyle w:val="FootnoteReference"/>
        </w:rPr>
        <w:footnoteRef/>
      </w:r>
      <w:r>
        <w:t xml:space="preserve"> Clarke, </w:t>
      </w:r>
      <w:r w:rsidRPr="00956CF8">
        <w:rPr>
          <w:i/>
        </w:rPr>
        <w:t>De Mysteriis</w:t>
      </w:r>
      <w:r>
        <w:t>, III.13, p. 151.</w:t>
      </w:r>
    </w:p>
  </w:footnote>
  <w:footnote w:id="38">
    <w:p w14:paraId="22E97ACC" w14:textId="37EDF772" w:rsidR="00B35C6A" w:rsidRDefault="00B35C6A">
      <w:pPr>
        <w:pStyle w:val="FootnoteText"/>
      </w:pPr>
      <w:bookmarkStart w:id="13" w:name="_Hlk519513141"/>
      <w:r>
        <w:rPr>
          <w:rStyle w:val="FootnoteReference"/>
        </w:rPr>
        <w:footnoteRef/>
      </w:r>
      <w:r>
        <w:t xml:space="preserve"> </w:t>
      </w:r>
      <w:bookmarkStart w:id="14" w:name="_Hlk519444384"/>
      <w:r>
        <w:t xml:space="preserve">Clarke, </w:t>
      </w:r>
      <w:r w:rsidRPr="00956CF8">
        <w:rPr>
          <w:i/>
        </w:rPr>
        <w:t>De Mysteriis</w:t>
      </w:r>
      <w:r>
        <w:t>, III.13, pp. 151 - 153</w:t>
      </w:r>
      <w:bookmarkEnd w:id="14"/>
      <w:r>
        <w:t>.</w:t>
      </w:r>
      <w:bookmarkEnd w:id="13"/>
    </w:p>
  </w:footnote>
  <w:footnote w:id="39">
    <w:p w14:paraId="31511133" w14:textId="0149FED0" w:rsidR="00DC4E1D" w:rsidRDefault="00DC4E1D" w:rsidP="00DC4E1D">
      <w:pPr>
        <w:pStyle w:val="FootnoteText"/>
      </w:pPr>
      <w:r>
        <w:rPr>
          <w:rStyle w:val="FootnoteReference"/>
        </w:rPr>
        <w:footnoteRef/>
      </w:r>
      <w:r>
        <w:t xml:space="preserve"> Crystal Addey,  </w:t>
      </w:r>
      <w:r w:rsidR="005A41A6" w:rsidRPr="00983D1A">
        <w:rPr>
          <w:i/>
        </w:rPr>
        <w:t>Divination and Theurgy in Neoplatonism: Oracles of the gods,</w:t>
      </w:r>
      <w:r w:rsidR="005A41A6">
        <w:t xml:space="preserve"> </w:t>
      </w:r>
      <w:r w:rsidR="00A24586">
        <w:t>&lt;</w:t>
      </w:r>
      <w:hyperlink r:id="rId5" w:history="1">
        <w:r w:rsidR="00A24586" w:rsidRPr="00E567F9">
          <w:rPr>
            <w:rStyle w:val="Hyperlink"/>
          </w:rPr>
          <w:t>https://www.dawsonera.com:443/abstract/9781409451532</w:t>
        </w:r>
      </w:hyperlink>
      <w:r w:rsidR="00A24586">
        <w:t>&gt;</w:t>
      </w:r>
      <w:r w:rsidR="00687710">
        <w:t xml:space="preserve"> [accessed May 1, 2018], </w:t>
      </w:r>
      <w:r>
        <w:t>pp. 268 – 269</w:t>
      </w:r>
      <w:r w:rsidR="005A41A6">
        <w:t>; 272.</w:t>
      </w:r>
    </w:p>
  </w:footnote>
  <w:footnote w:id="40">
    <w:p w14:paraId="0E0DAE11" w14:textId="0DED4157" w:rsidR="00DC4E1D" w:rsidRDefault="00DC4E1D" w:rsidP="00DC4E1D">
      <w:pPr>
        <w:pStyle w:val="FootnoteText"/>
      </w:pPr>
      <w:r>
        <w:rPr>
          <w:rStyle w:val="FootnoteReference"/>
        </w:rPr>
        <w:footnoteRef/>
      </w:r>
      <w:r>
        <w:t xml:space="preserve"> </w:t>
      </w:r>
      <w:bookmarkStart w:id="15" w:name="_Hlk519515667"/>
      <w:r>
        <w:t>Athanassiadi, ‘Dreams, Theurgy and Freelance Divination’, p. 116.</w:t>
      </w:r>
      <w:bookmarkEnd w:id="15"/>
    </w:p>
  </w:footnote>
  <w:footnote w:id="41">
    <w:p w14:paraId="3DDB822A" w14:textId="77777777" w:rsidR="00DC4E1D" w:rsidRDefault="00DC4E1D" w:rsidP="00DC4E1D">
      <w:pPr>
        <w:pStyle w:val="FootnoteText"/>
      </w:pPr>
      <w:r>
        <w:rPr>
          <w:rStyle w:val="FootnoteReference"/>
        </w:rPr>
        <w:footnoteRef/>
      </w:r>
      <w:r>
        <w:t xml:space="preserve"> </w:t>
      </w:r>
      <w:bookmarkStart w:id="16" w:name="_Hlk519508286"/>
      <w:r>
        <w:t xml:space="preserve">Clarke, </w:t>
      </w:r>
      <w:r w:rsidRPr="006570B1">
        <w:rPr>
          <w:i/>
        </w:rPr>
        <w:t>De Mysteriis,</w:t>
      </w:r>
      <w:r>
        <w:t xml:space="preserve"> </w:t>
      </w:r>
      <w:bookmarkEnd w:id="16"/>
      <w:r>
        <w:t>I.15, p. 61.</w:t>
      </w:r>
    </w:p>
  </w:footnote>
  <w:footnote w:id="42">
    <w:p w14:paraId="5A1282AC" w14:textId="46D17452" w:rsidR="005A41A6" w:rsidRDefault="005A41A6">
      <w:pPr>
        <w:pStyle w:val="FootnoteText"/>
      </w:pPr>
      <w:r>
        <w:rPr>
          <w:rStyle w:val="FootnoteReference"/>
        </w:rPr>
        <w:footnoteRef/>
      </w:r>
      <w:r>
        <w:t xml:space="preserve"> Clarke, </w:t>
      </w:r>
      <w:r w:rsidRPr="006570B1">
        <w:rPr>
          <w:i/>
        </w:rPr>
        <w:t>De Mysteriis</w:t>
      </w:r>
      <w:r w:rsidRPr="005A41A6">
        <w:t>, X</w:t>
      </w:r>
      <w:r>
        <w:t>.</w:t>
      </w:r>
      <w:r w:rsidRPr="005A41A6">
        <w:t>1, p. 345.</w:t>
      </w:r>
    </w:p>
  </w:footnote>
  <w:footnote w:id="43">
    <w:p w14:paraId="291D63BE" w14:textId="3FDC2215" w:rsidR="00DC4E1D" w:rsidRDefault="00DC4E1D" w:rsidP="00DC4E1D">
      <w:pPr>
        <w:pStyle w:val="FootnoteText"/>
      </w:pPr>
      <w:r>
        <w:rPr>
          <w:rStyle w:val="FootnoteReference"/>
        </w:rPr>
        <w:footnoteRef/>
      </w:r>
      <w:r>
        <w:t xml:space="preserve"> </w:t>
      </w:r>
      <w:r w:rsidR="005B4B6B">
        <w:t xml:space="preserve">Hans Dieter Betz, </w:t>
      </w:r>
      <w:bookmarkStart w:id="17" w:name="_Hlk519506151"/>
      <w:r w:rsidR="005B4B6B">
        <w:t xml:space="preserve">‘The Delphic Maxim “Know Yourself” </w:t>
      </w:r>
      <w:bookmarkEnd w:id="17"/>
      <w:r w:rsidR="005B4B6B">
        <w:t xml:space="preserve">in the Greek Magical </w:t>
      </w:r>
      <w:r w:rsidR="00FB63EE">
        <w:t>Papyri</w:t>
      </w:r>
      <w:r w:rsidR="005B4B6B">
        <w:t xml:space="preserve">’, </w:t>
      </w:r>
      <w:r w:rsidR="005B4B6B" w:rsidRPr="004F1B4B">
        <w:rPr>
          <w:i/>
        </w:rPr>
        <w:t>History of Religions</w:t>
      </w:r>
      <w:r w:rsidR="005B4B6B">
        <w:t>, Vol. 2 (2), (Chicago: The University of Chicago Press, 1981) [hereafter Betz,</w:t>
      </w:r>
      <w:r w:rsidR="005B4B6B" w:rsidRPr="005B4B6B">
        <w:t xml:space="preserve"> </w:t>
      </w:r>
      <w:bookmarkStart w:id="18" w:name="_Hlk519506186"/>
      <w:r w:rsidR="005B4B6B">
        <w:t>‘The Delphic Maxim “Know Yourself”’</w:t>
      </w:r>
      <w:bookmarkEnd w:id="18"/>
      <w:r w:rsidR="005B4B6B">
        <w:t>], pp. 156 – 157.</w:t>
      </w:r>
    </w:p>
  </w:footnote>
  <w:footnote w:id="44">
    <w:p w14:paraId="4F35769D" w14:textId="7753A0E6" w:rsidR="005B4B6B" w:rsidRDefault="005B4B6B">
      <w:pPr>
        <w:pStyle w:val="FootnoteText"/>
      </w:pPr>
      <w:r>
        <w:rPr>
          <w:rStyle w:val="FootnoteReference"/>
        </w:rPr>
        <w:footnoteRef/>
      </w:r>
      <w:r>
        <w:t xml:space="preserve"> Betz</w:t>
      </w:r>
      <w:r w:rsidR="004F1B4B">
        <w:t>, ‘The Delphic Maxim “Know Yourself”’,</w:t>
      </w:r>
      <w:r>
        <w:t xml:space="preserve"> </w:t>
      </w:r>
      <w:r w:rsidR="004F1B4B">
        <w:t>p</w:t>
      </w:r>
      <w:r>
        <w:t>p. 157</w:t>
      </w:r>
      <w:r w:rsidR="004F1B4B">
        <w:t>; 163 – 164.</w:t>
      </w:r>
    </w:p>
  </w:footnote>
  <w:footnote w:id="45">
    <w:p w14:paraId="31868F62" w14:textId="4C21B564" w:rsidR="005A41A6" w:rsidRDefault="005A41A6">
      <w:pPr>
        <w:pStyle w:val="FootnoteText"/>
      </w:pPr>
      <w:r>
        <w:rPr>
          <w:rStyle w:val="FootnoteReference"/>
        </w:rPr>
        <w:footnoteRef/>
      </w:r>
      <w:r>
        <w:t xml:space="preserve"> Clarke, </w:t>
      </w:r>
      <w:r w:rsidRPr="005A41A6">
        <w:rPr>
          <w:i/>
        </w:rPr>
        <w:t>De Mysteriis</w:t>
      </w:r>
      <w:r>
        <w:t>, X.3 – 4, pp. 347 – 349.</w:t>
      </w:r>
    </w:p>
  </w:footnote>
  <w:footnote w:id="46">
    <w:p w14:paraId="3F17984D" w14:textId="6A2EABE9" w:rsidR="00B35C6A" w:rsidRDefault="00B35C6A" w:rsidP="00090B88">
      <w:pPr>
        <w:pStyle w:val="FootnoteText"/>
      </w:pPr>
      <w:r>
        <w:rPr>
          <w:rStyle w:val="FootnoteReference"/>
        </w:rPr>
        <w:footnoteRef/>
      </w:r>
      <w:r>
        <w:t xml:space="preserve"> David Frankfurter, ‘Comment: Panel Discussion: “Magic in the Ancient World” by Fritz Graf’, </w:t>
      </w:r>
      <w:r w:rsidRPr="006A14C5">
        <w:rPr>
          <w:i/>
        </w:rPr>
        <w:t>Numen</w:t>
      </w:r>
      <w:r>
        <w:t>, Vol. 46 (3), (</w:t>
      </w:r>
      <w:bookmarkStart w:id="19" w:name="_Hlk519439149"/>
      <w:r>
        <w:t xml:space="preserve">Brill Online, 1999), available from </w:t>
      </w:r>
      <w:r w:rsidR="00A24586">
        <w:t>&lt;</w:t>
      </w:r>
      <w:r>
        <w:t xml:space="preserve"> </w:t>
      </w:r>
      <w:hyperlink r:id="rId6" w:history="1">
        <w:r w:rsidRPr="00822FE7">
          <w:rPr>
            <w:rStyle w:val="Hyperlink"/>
          </w:rPr>
          <w:t>https://www.jstor.org/stable/3270161</w:t>
        </w:r>
      </w:hyperlink>
      <w:r w:rsidR="00A24586">
        <w:rPr>
          <w:rStyle w:val="Hyperlink"/>
        </w:rPr>
        <w:t>&gt;</w:t>
      </w:r>
      <w:r>
        <w:t xml:space="preserve">, </w:t>
      </w:r>
      <w:bookmarkEnd w:id="19"/>
      <w:r w:rsidR="00A945B9">
        <w:t xml:space="preserve">[accessed on 12 June, 2018], </w:t>
      </w:r>
      <w:r>
        <w:t>p. 317.</w:t>
      </w:r>
    </w:p>
  </w:footnote>
  <w:footnote w:id="47">
    <w:p w14:paraId="78E86234" w14:textId="6888371B" w:rsidR="00082CF6" w:rsidRDefault="00082CF6" w:rsidP="00082CF6">
      <w:pPr>
        <w:pStyle w:val="FootnoteText"/>
      </w:pPr>
      <w:r>
        <w:rPr>
          <w:rStyle w:val="FootnoteReference"/>
        </w:rPr>
        <w:footnoteRef/>
      </w:r>
      <w:r>
        <w:t xml:space="preserve"> </w:t>
      </w:r>
      <w:r w:rsidR="00487346">
        <w:t xml:space="preserve">Hans Dieter Betz (ed.), </w:t>
      </w:r>
      <w:r w:rsidR="00487346" w:rsidRPr="00D83E0C">
        <w:rPr>
          <w:i/>
        </w:rPr>
        <w:t>The Greek Magical Papyri in Translation: Including the Demotic Spells</w:t>
      </w:r>
      <w:r w:rsidR="00487346">
        <w:t>, 2</w:t>
      </w:r>
      <w:r w:rsidR="00487346" w:rsidRPr="00D83E0C">
        <w:rPr>
          <w:vertAlign w:val="superscript"/>
        </w:rPr>
        <w:t>nd</w:t>
      </w:r>
      <w:r w:rsidR="00487346">
        <w:t xml:space="preserve"> edn. Vol. 1: Texts (Chicago: The University of Chicago Press, 1986 [1992]),</w:t>
      </w:r>
      <w:r w:rsidR="00487346" w:rsidRPr="00487346">
        <w:t xml:space="preserve"> </w:t>
      </w:r>
      <w:r w:rsidR="00487346">
        <w:t>III.494 – 611, pp. 32 – 33.</w:t>
      </w:r>
    </w:p>
  </w:footnote>
  <w:footnote w:id="48">
    <w:p w14:paraId="3B3E0166" w14:textId="181DAF65" w:rsidR="006A2C63" w:rsidRPr="00553A1E" w:rsidRDefault="006A2C63" w:rsidP="006A2C63">
      <w:pPr>
        <w:pStyle w:val="FootnoteText"/>
        <w:rPr>
          <w:sz w:val="22"/>
          <w:szCs w:val="22"/>
        </w:rPr>
      </w:pPr>
      <w:r>
        <w:rPr>
          <w:rStyle w:val="FootnoteReference"/>
        </w:rPr>
        <w:footnoteRef/>
      </w:r>
      <w:r>
        <w:t xml:space="preserve"> Martha Himmelfarb, ‘Comment by Martha Himmelfarb: </w:t>
      </w:r>
      <w:bookmarkStart w:id="20" w:name="_Hlk519364829"/>
      <w:r>
        <w:t xml:space="preserve">Panel Discussion: “Magic in the Ancient World” by Fritz Graf’, </w:t>
      </w:r>
      <w:r w:rsidRPr="006A14C5">
        <w:rPr>
          <w:i/>
        </w:rPr>
        <w:t>Numen</w:t>
      </w:r>
      <w:r>
        <w:t xml:space="preserve">, Vol. 46 (3), (Brill Online, 1999), available from  </w:t>
      </w:r>
      <w:r w:rsidR="00A24586">
        <w:t>&lt;</w:t>
      </w:r>
      <w:hyperlink r:id="rId7" w:history="1">
        <w:r w:rsidR="00A24586" w:rsidRPr="00E567F9">
          <w:rPr>
            <w:rStyle w:val="Hyperlink"/>
          </w:rPr>
          <w:t>https://www.jstor.org/stable/3270161</w:t>
        </w:r>
      </w:hyperlink>
      <w:r w:rsidR="00A24586">
        <w:rPr>
          <w:rStyle w:val="Hyperlink"/>
        </w:rPr>
        <w:t>&gt;</w:t>
      </w:r>
      <w:r>
        <w:t xml:space="preserve">, </w:t>
      </w:r>
      <w:r w:rsidR="00553A1E" w:rsidRPr="00553A1E">
        <w:rPr>
          <w:rStyle w:val="Hyperlink"/>
          <w:color w:val="auto"/>
          <w:u w:val="none"/>
        </w:rPr>
        <w:t>[Accessed 12 June, 2018]</w:t>
      </w:r>
      <w:r w:rsidR="00553A1E">
        <w:rPr>
          <w:sz w:val="22"/>
          <w:szCs w:val="22"/>
        </w:rPr>
        <w:t xml:space="preserve">, </w:t>
      </w:r>
      <w:r>
        <w:t>p. 300.</w:t>
      </w:r>
    </w:p>
    <w:bookmarkEnd w:id="20"/>
  </w:footnote>
  <w:footnote w:id="49">
    <w:p w14:paraId="54C881EA" w14:textId="77777777" w:rsidR="006A2C63" w:rsidRDefault="006A2C63" w:rsidP="006A2C63">
      <w:pPr>
        <w:pStyle w:val="FootnoteText"/>
      </w:pPr>
      <w:r>
        <w:rPr>
          <w:rStyle w:val="FootnoteReference"/>
        </w:rPr>
        <w:footnoteRef/>
      </w:r>
      <w:r>
        <w:t xml:space="preserve"> Fritz Graf, </w:t>
      </w:r>
      <w:bookmarkStart w:id="21" w:name="_Hlk519365267"/>
      <w:r>
        <w:t xml:space="preserve">‘Response to Comments: Panel Discussion: “Magic in the Ancient World” by Fritz Graf’, </w:t>
      </w:r>
      <w:r w:rsidRPr="006A14C5">
        <w:rPr>
          <w:i/>
        </w:rPr>
        <w:t>Numen</w:t>
      </w:r>
      <w:r>
        <w:t xml:space="preserve">, Vol. 46 (3), (Brill, 1999), p. </w:t>
      </w:r>
      <w:bookmarkEnd w:id="21"/>
      <w:r>
        <w:t>324.</w:t>
      </w:r>
    </w:p>
  </w:footnote>
  <w:footnote w:id="50">
    <w:p w14:paraId="09EE923A" w14:textId="6013BFB7" w:rsidR="00F53941" w:rsidRDefault="00F53941" w:rsidP="00F53941">
      <w:pPr>
        <w:pStyle w:val="FootnoteText"/>
      </w:pPr>
      <w:r>
        <w:rPr>
          <w:rStyle w:val="FootnoteReference"/>
        </w:rPr>
        <w:footnoteRef/>
      </w:r>
      <w:r>
        <w:t xml:space="preserve"> </w:t>
      </w:r>
      <w:bookmarkStart w:id="22" w:name="_Hlk519519873"/>
      <w:r w:rsidR="00A24586">
        <w:t>Dillon,</w:t>
      </w:r>
      <w:r w:rsidR="00A24586" w:rsidRPr="00A24586">
        <w:t xml:space="preserve"> </w:t>
      </w:r>
      <w:r w:rsidR="00A24586">
        <w:t>‘Iamblichus’ Defence of Theurgy’</w:t>
      </w:r>
      <w:bookmarkEnd w:id="22"/>
      <w:r>
        <w:t>, p. 40</w:t>
      </w:r>
    </w:p>
  </w:footnote>
  <w:footnote w:id="51">
    <w:p w14:paraId="5A6E749F" w14:textId="4276CD44" w:rsidR="00F53941" w:rsidRDefault="00F53941" w:rsidP="00F53941">
      <w:pPr>
        <w:pStyle w:val="FootnoteText"/>
      </w:pPr>
      <w:r>
        <w:rPr>
          <w:rStyle w:val="FootnoteReference"/>
        </w:rPr>
        <w:footnoteRef/>
      </w:r>
      <w:r>
        <w:t xml:space="preserve"> Dillon, </w:t>
      </w:r>
      <w:bookmarkStart w:id="23" w:name="_Hlk519516086"/>
      <w:r w:rsidR="00A24586">
        <w:t>‘</w:t>
      </w:r>
      <w:r>
        <w:t>Iamblichus’ Defence of Theurgy</w:t>
      </w:r>
      <w:bookmarkEnd w:id="23"/>
      <w:r w:rsidR="00A24586">
        <w:t>’</w:t>
      </w:r>
      <w:r>
        <w:t>, p. 32</w:t>
      </w:r>
    </w:p>
  </w:footnote>
  <w:footnote w:id="52">
    <w:p w14:paraId="1E43334E" w14:textId="7CF42288" w:rsidR="00B35C6A" w:rsidRDefault="00B35C6A">
      <w:pPr>
        <w:pStyle w:val="FootnoteText"/>
      </w:pPr>
      <w:r>
        <w:rPr>
          <w:rStyle w:val="FootnoteReference"/>
        </w:rPr>
        <w:footnoteRef/>
      </w:r>
      <w:r>
        <w:t xml:space="preserve"> Dillon, </w:t>
      </w:r>
      <w:r w:rsidR="00A24586">
        <w:t>‘</w:t>
      </w:r>
      <w:r>
        <w:t>Iamblichus’ Defence of Theurgy</w:t>
      </w:r>
      <w:r w:rsidR="00A24586">
        <w:t>’</w:t>
      </w:r>
      <w:r>
        <w:t>, p. 35</w:t>
      </w:r>
    </w:p>
  </w:footnote>
  <w:footnote w:id="53">
    <w:p w14:paraId="654D1A71" w14:textId="135861C1" w:rsidR="009C5868" w:rsidRDefault="009C5868" w:rsidP="009C5868">
      <w:pPr>
        <w:pStyle w:val="FootnoteText"/>
      </w:pPr>
      <w:r>
        <w:rPr>
          <w:rStyle w:val="FootnoteReference"/>
        </w:rPr>
        <w:footnoteRef/>
      </w:r>
      <w:r>
        <w:t xml:space="preserve"> John F. Finamore, ‘Reviewed Works: Theurgy and the </w:t>
      </w:r>
      <w:r w:rsidR="00FB63EE">
        <w:t>Soul: The</w:t>
      </w:r>
      <w:r>
        <w:t xml:space="preserve"> Neoplatonism of Iamblichus, by Gregory Shaw’, </w:t>
      </w:r>
      <w:r w:rsidRPr="00B20049">
        <w:rPr>
          <w:i/>
        </w:rPr>
        <w:t>Speculum</w:t>
      </w:r>
      <w:r>
        <w:t>, Vol 73 (3), (University of Chicago Press, 1998), p. 894.</w:t>
      </w:r>
    </w:p>
  </w:footnote>
  <w:footnote w:id="54">
    <w:p w14:paraId="0AFF6535" w14:textId="0298321C" w:rsidR="00CD6B1F" w:rsidRDefault="00CD6B1F">
      <w:pPr>
        <w:pStyle w:val="FootnoteText"/>
      </w:pPr>
      <w:r>
        <w:rPr>
          <w:rStyle w:val="FootnoteReference"/>
        </w:rPr>
        <w:footnoteRef/>
      </w:r>
      <w:r>
        <w:t xml:space="preserve"> </w:t>
      </w:r>
      <w:r w:rsidR="00487346">
        <w:t>Lewis, ‘Living Images of the Divine’, p</w:t>
      </w:r>
      <w:r>
        <w:t>. 282.</w:t>
      </w:r>
    </w:p>
  </w:footnote>
  <w:footnote w:id="55">
    <w:p w14:paraId="73514A40" w14:textId="77777777" w:rsidR="008C2643" w:rsidRDefault="008C2643" w:rsidP="008C2643">
      <w:pPr>
        <w:pStyle w:val="FootnoteText"/>
      </w:pPr>
      <w:r>
        <w:rPr>
          <w:rStyle w:val="FootnoteReference"/>
        </w:rPr>
        <w:footnoteRef/>
      </w:r>
      <w:r>
        <w:t xml:space="preserve"> Charles Galtier, in Murray Wax and Rosalie Wax, ‘The Notion of Magic’, </w:t>
      </w:r>
      <w:r w:rsidRPr="00E43691">
        <w:rPr>
          <w:i/>
        </w:rPr>
        <w:t>Current Anthropology</w:t>
      </w:r>
      <w:r>
        <w:t>, Vol. 4 (5), (The University of Chicago Press, 1963), p. 506.</w:t>
      </w:r>
    </w:p>
  </w:footnote>
  <w:footnote w:id="56">
    <w:p w14:paraId="08F8F75B" w14:textId="77777777" w:rsidR="008C2643" w:rsidRDefault="008C2643" w:rsidP="008C2643">
      <w:pPr>
        <w:pStyle w:val="FootnoteText"/>
      </w:pPr>
      <w:r>
        <w:rPr>
          <w:rStyle w:val="FootnoteReference"/>
        </w:rPr>
        <w:footnoteRef/>
      </w:r>
      <w:r>
        <w:t xml:space="preserve"> Ronald Hutton, ‘Paganism and Polemic: The Debate over the Origins of Modern Pagan Witchcraft’, </w:t>
      </w:r>
      <w:r w:rsidRPr="00015D05">
        <w:rPr>
          <w:i/>
        </w:rPr>
        <w:t>Folklore</w:t>
      </w:r>
      <w:r>
        <w:t>, Vol. 111 (1), (Taylor Francis Ltd, 2000), pp. 106 – 107.</w:t>
      </w:r>
    </w:p>
  </w:footnote>
  <w:footnote w:id="57">
    <w:p w14:paraId="52360EB0" w14:textId="77777777" w:rsidR="008C2643" w:rsidRDefault="008C2643" w:rsidP="008C2643">
      <w:pPr>
        <w:pStyle w:val="FootnoteText"/>
      </w:pPr>
      <w:r>
        <w:rPr>
          <w:rStyle w:val="FootnoteReference"/>
        </w:rPr>
        <w:footnoteRef/>
      </w:r>
      <w:r>
        <w:t xml:space="preserve"> </w:t>
      </w:r>
      <w:r w:rsidRPr="00980F19">
        <w:t xml:space="preserve">Gregory Shaw, </w:t>
      </w:r>
      <w:r w:rsidRPr="002D38EA">
        <w:rPr>
          <w:i/>
        </w:rPr>
        <w:t>Taking the Shape of the Gods</w:t>
      </w:r>
      <w:r>
        <w:rPr>
          <w:i/>
        </w:rPr>
        <w:t xml:space="preserve">, </w:t>
      </w:r>
      <w:r w:rsidRPr="001D2A14">
        <w:t>p.</w:t>
      </w:r>
      <w:r>
        <w:rPr>
          <w:i/>
        </w:rPr>
        <w:t xml:space="preserve"> </w:t>
      </w:r>
      <w:r w:rsidRPr="001D2A14">
        <w:t>14</w:t>
      </w:r>
      <w:r>
        <w:t>.</w:t>
      </w:r>
    </w:p>
  </w:footnote>
  <w:footnote w:id="58">
    <w:p w14:paraId="35F96127" w14:textId="0C5BFD70" w:rsidR="00630D66" w:rsidRDefault="00630D66">
      <w:pPr>
        <w:pStyle w:val="FootnoteText"/>
      </w:pPr>
      <w:r>
        <w:rPr>
          <w:rStyle w:val="FootnoteReference"/>
        </w:rPr>
        <w:footnoteRef/>
      </w:r>
      <w:r>
        <w:t xml:space="preserve"> Athanassiadi, ‘Dreams, Theurgy and Freelance Divination’, p, 128.</w:t>
      </w:r>
    </w:p>
  </w:footnote>
  <w:footnote w:id="59">
    <w:p w14:paraId="0446B1CC" w14:textId="0CFE9970" w:rsidR="00630D66" w:rsidRDefault="00630D66">
      <w:pPr>
        <w:pStyle w:val="FootnoteText"/>
      </w:pPr>
      <w:r>
        <w:rPr>
          <w:rStyle w:val="FootnoteReference"/>
        </w:rPr>
        <w:footnoteRef/>
      </w:r>
      <w:r>
        <w:t xml:space="preserve"> Athanassiadi, ‘Dreams, Theurgy and Freelance Divination’, p. 127.</w:t>
      </w:r>
    </w:p>
  </w:footnote>
  <w:footnote w:id="60">
    <w:p w14:paraId="4CC8558C" w14:textId="77777777" w:rsidR="00687710" w:rsidRDefault="00687710" w:rsidP="00687710">
      <w:pPr>
        <w:pStyle w:val="FootnoteText"/>
      </w:pPr>
      <w:r>
        <w:rPr>
          <w:rStyle w:val="FootnoteReference"/>
        </w:rPr>
        <w:footnoteRef/>
      </w:r>
      <w:r>
        <w:t xml:space="preserve"> </w:t>
      </w:r>
      <w:bookmarkStart w:id="24" w:name="_Hlk519513608"/>
      <w:r>
        <w:t xml:space="preserve">Athanassiadi, ‘Dreams, Theurgy and Freelance Divination’, </w:t>
      </w:r>
      <w:bookmarkEnd w:id="24"/>
      <w:r>
        <w:t>p.116.</w:t>
      </w:r>
    </w:p>
  </w:footnote>
  <w:footnote w:id="61">
    <w:p w14:paraId="788D8F8C" w14:textId="68FA4805" w:rsidR="00315612" w:rsidRDefault="00315612" w:rsidP="00315612">
      <w:pPr>
        <w:pStyle w:val="FootnoteText"/>
      </w:pPr>
      <w:r>
        <w:rPr>
          <w:rStyle w:val="FootnoteReference"/>
        </w:rPr>
        <w:footnoteRef/>
      </w:r>
      <w:r>
        <w:t xml:space="preserve"> Clarke, </w:t>
      </w:r>
      <w:r w:rsidRPr="00956CF8">
        <w:rPr>
          <w:i/>
        </w:rPr>
        <w:t>De Mysteriis</w:t>
      </w:r>
      <w:r>
        <w:t>, III.13, p. 151.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EF04C2" w14:textId="5FB74F46" w:rsidR="00B35C6A" w:rsidRDefault="00B35C6A">
    <w:pPr>
      <w:pStyle w:val="Header"/>
    </w:pPr>
    <w:r>
      <w:t>Cosmology, Magic and Divination</w:t>
    </w:r>
    <w:r>
      <w:tab/>
      <w:t>Essay 2</w:t>
    </w:r>
    <w:r>
      <w:tab/>
      <w:t>Jay Laville</w:t>
    </w:r>
  </w:p>
  <w:p w14:paraId="01101BC8" w14:textId="620679DB" w:rsidR="00B35C6A" w:rsidRDefault="00B35C6A">
    <w:pPr>
      <w:pStyle w:val="Header"/>
    </w:pPr>
  </w:p>
  <w:p w14:paraId="2D7DBB39" w14:textId="77777777" w:rsidR="00B35C6A" w:rsidRDefault="00B35C6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F74A58"/>
    <w:multiLevelType w:val="multilevel"/>
    <w:tmpl w:val="CB16C3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0E2F"/>
    <w:rsid w:val="000007DA"/>
    <w:rsid w:val="00015D05"/>
    <w:rsid w:val="00020788"/>
    <w:rsid w:val="0003049D"/>
    <w:rsid w:val="00030B0D"/>
    <w:rsid w:val="00031298"/>
    <w:rsid w:val="000331DE"/>
    <w:rsid w:val="00037A4D"/>
    <w:rsid w:val="00042D1F"/>
    <w:rsid w:val="00043D61"/>
    <w:rsid w:val="00052B18"/>
    <w:rsid w:val="00074275"/>
    <w:rsid w:val="000767B7"/>
    <w:rsid w:val="00082CF6"/>
    <w:rsid w:val="00090B88"/>
    <w:rsid w:val="000B69E6"/>
    <w:rsid w:val="000C0898"/>
    <w:rsid w:val="000C7777"/>
    <w:rsid w:val="000D32F5"/>
    <w:rsid w:val="000D67EE"/>
    <w:rsid w:val="000E123D"/>
    <w:rsid w:val="000E196D"/>
    <w:rsid w:val="000F1C84"/>
    <w:rsid w:val="00110EAC"/>
    <w:rsid w:val="00115480"/>
    <w:rsid w:val="00130815"/>
    <w:rsid w:val="00140617"/>
    <w:rsid w:val="001446CB"/>
    <w:rsid w:val="00161F3F"/>
    <w:rsid w:val="00186589"/>
    <w:rsid w:val="001A3BE7"/>
    <w:rsid w:val="001B1067"/>
    <w:rsid w:val="001C59D5"/>
    <w:rsid w:val="001D2A14"/>
    <w:rsid w:val="001E5904"/>
    <w:rsid w:val="0020770C"/>
    <w:rsid w:val="00210EA7"/>
    <w:rsid w:val="00221A75"/>
    <w:rsid w:val="00221AB0"/>
    <w:rsid w:val="0024658E"/>
    <w:rsid w:val="002508E4"/>
    <w:rsid w:val="00257E90"/>
    <w:rsid w:val="0027201D"/>
    <w:rsid w:val="00277DEA"/>
    <w:rsid w:val="002B631B"/>
    <w:rsid w:val="002D38EA"/>
    <w:rsid w:val="002F77EF"/>
    <w:rsid w:val="00312524"/>
    <w:rsid w:val="00315612"/>
    <w:rsid w:val="00315BD3"/>
    <w:rsid w:val="0032396A"/>
    <w:rsid w:val="00371839"/>
    <w:rsid w:val="00383103"/>
    <w:rsid w:val="00390564"/>
    <w:rsid w:val="004058C2"/>
    <w:rsid w:val="00415681"/>
    <w:rsid w:val="0043322C"/>
    <w:rsid w:val="00434ED1"/>
    <w:rsid w:val="004369EB"/>
    <w:rsid w:val="00451FB9"/>
    <w:rsid w:val="00456911"/>
    <w:rsid w:val="004674E1"/>
    <w:rsid w:val="00486B63"/>
    <w:rsid w:val="00487346"/>
    <w:rsid w:val="00492917"/>
    <w:rsid w:val="004A5D70"/>
    <w:rsid w:val="004B15CB"/>
    <w:rsid w:val="004C4964"/>
    <w:rsid w:val="004D4FF0"/>
    <w:rsid w:val="004E087D"/>
    <w:rsid w:val="004F1B4B"/>
    <w:rsid w:val="004F4116"/>
    <w:rsid w:val="0050007C"/>
    <w:rsid w:val="00514038"/>
    <w:rsid w:val="00521627"/>
    <w:rsid w:val="00536BA7"/>
    <w:rsid w:val="0055238D"/>
    <w:rsid w:val="00553A1E"/>
    <w:rsid w:val="00557349"/>
    <w:rsid w:val="00580237"/>
    <w:rsid w:val="005830AA"/>
    <w:rsid w:val="005852C5"/>
    <w:rsid w:val="005A41A6"/>
    <w:rsid w:val="005B4B6B"/>
    <w:rsid w:val="005E0D92"/>
    <w:rsid w:val="005E4F5A"/>
    <w:rsid w:val="005F0987"/>
    <w:rsid w:val="00602654"/>
    <w:rsid w:val="00620260"/>
    <w:rsid w:val="006274DE"/>
    <w:rsid w:val="00630D66"/>
    <w:rsid w:val="006412C2"/>
    <w:rsid w:val="00646852"/>
    <w:rsid w:val="006570B1"/>
    <w:rsid w:val="00671456"/>
    <w:rsid w:val="00680C96"/>
    <w:rsid w:val="00686D84"/>
    <w:rsid w:val="00687130"/>
    <w:rsid w:val="00687710"/>
    <w:rsid w:val="006A14C5"/>
    <w:rsid w:val="006A2C63"/>
    <w:rsid w:val="006A63D8"/>
    <w:rsid w:val="006C666A"/>
    <w:rsid w:val="006D48B8"/>
    <w:rsid w:val="006D6551"/>
    <w:rsid w:val="006D666E"/>
    <w:rsid w:val="006E27E0"/>
    <w:rsid w:val="007130F4"/>
    <w:rsid w:val="0072157C"/>
    <w:rsid w:val="007255B2"/>
    <w:rsid w:val="00726574"/>
    <w:rsid w:val="007350D1"/>
    <w:rsid w:val="00743221"/>
    <w:rsid w:val="00751C2E"/>
    <w:rsid w:val="0075296C"/>
    <w:rsid w:val="00762ECC"/>
    <w:rsid w:val="00767A75"/>
    <w:rsid w:val="00794A0E"/>
    <w:rsid w:val="00795CFE"/>
    <w:rsid w:val="00796C9E"/>
    <w:rsid w:val="007A0663"/>
    <w:rsid w:val="007B1CAB"/>
    <w:rsid w:val="007B22F1"/>
    <w:rsid w:val="007B4EA9"/>
    <w:rsid w:val="007C5C5B"/>
    <w:rsid w:val="007C70CA"/>
    <w:rsid w:val="007D7A6F"/>
    <w:rsid w:val="007D7CD5"/>
    <w:rsid w:val="007F45BE"/>
    <w:rsid w:val="00810A82"/>
    <w:rsid w:val="00835572"/>
    <w:rsid w:val="0084553F"/>
    <w:rsid w:val="00846A16"/>
    <w:rsid w:val="008552C0"/>
    <w:rsid w:val="008613E3"/>
    <w:rsid w:val="008765CD"/>
    <w:rsid w:val="00877D60"/>
    <w:rsid w:val="00897C76"/>
    <w:rsid w:val="008A5263"/>
    <w:rsid w:val="008B22F0"/>
    <w:rsid w:val="008B5362"/>
    <w:rsid w:val="008C233B"/>
    <w:rsid w:val="008C2643"/>
    <w:rsid w:val="008C2B3A"/>
    <w:rsid w:val="008E0C36"/>
    <w:rsid w:val="008E6DFB"/>
    <w:rsid w:val="008E74F0"/>
    <w:rsid w:val="009045C6"/>
    <w:rsid w:val="00956CF8"/>
    <w:rsid w:val="00975EFD"/>
    <w:rsid w:val="00980F19"/>
    <w:rsid w:val="0098363A"/>
    <w:rsid w:val="00983D1A"/>
    <w:rsid w:val="009848BE"/>
    <w:rsid w:val="0098547E"/>
    <w:rsid w:val="00986434"/>
    <w:rsid w:val="00992B93"/>
    <w:rsid w:val="009A24AE"/>
    <w:rsid w:val="009C0E2F"/>
    <w:rsid w:val="009C144A"/>
    <w:rsid w:val="009C5868"/>
    <w:rsid w:val="009D4336"/>
    <w:rsid w:val="009E578B"/>
    <w:rsid w:val="009F3748"/>
    <w:rsid w:val="00A0282D"/>
    <w:rsid w:val="00A1188D"/>
    <w:rsid w:val="00A24586"/>
    <w:rsid w:val="00A26C49"/>
    <w:rsid w:val="00A3120B"/>
    <w:rsid w:val="00A329E5"/>
    <w:rsid w:val="00A3438C"/>
    <w:rsid w:val="00A35825"/>
    <w:rsid w:val="00A370C2"/>
    <w:rsid w:val="00A41D53"/>
    <w:rsid w:val="00A43333"/>
    <w:rsid w:val="00A448DE"/>
    <w:rsid w:val="00A46826"/>
    <w:rsid w:val="00A63F90"/>
    <w:rsid w:val="00A672A1"/>
    <w:rsid w:val="00A6770D"/>
    <w:rsid w:val="00A7216B"/>
    <w:rsid w:val="00A83A3B"/>
    <w:rsid w:val="00A86395"/>
    <w:rsid w:val="00A945B9"/>
    <w:rsid w:val="00AA2355"/>
    <w:rsid w:val="00AB3F8D"/>
    <w:rsid w:val="00AF1083"/>
    <w:rsid w:val="00B13BBA"/>
    <w:rsid w:val="00B20049"/>
    <w:rsid w:val="00B20251"/>
    <w:rsid w:val="00B35C6A"/>
    <w:rsid w:val="00B37009"/>
    <w:rsid w:val="00B4390B"/>
    <w:rsid w:val="00B50140"/>
    <w:rsid w:val="00B52A86"/>
    <w:rsid w:val="00B559B0"/>
    <w:rsid w:val="00B60D9B"/>
    <w:rsid w:val="00B70449"/>
    <w:rsid w:val="00B8219B"/>
    <w:rsid w:val="00B91CA7"/>
    <w:rsid w:val="00BA0555"/>
    <w:rsid w:val="00BA2EED"/>
    <w:rsid w:val="00BC40B2"/>
    <w:rsid w:val="00BD28A8"/>
    <w:rsid w:val="00BD4804"/>
    <w:rsid w:val="00BD5631"/>
    <w:rsid w:val="00BE5D7D"/>
    <w:rsid w:val="00BF2901"/>
    <w:rsid w:val="00BF6548"/>
    <w:rsid w:val="00C03645"/>
    <w:rsid w:val="00C06031"/>
    <w:rsid w:val="00C06BF2"/>
    <w:rsid w:val="00C22620"/>
    <w:rsid w:val="00C2610F"/>
    <w:rsid w:val="00C31723"/>
    <w:rsid w:val="00C42BE2"/>
    <w:rsid w:val="00C45EA1"/>
    <w:rsid w:val="00C47AFD"/>
    <w:rsid w:val="00C47CB7"/>
    <w:rsid w:val="00C524D6"/>
    <w:rsid w:val="00C52E36"/>
    <w:rsid w:val="00C55DCE"/>
    <w:rsid w:val="00C6234F"/>
    <w:rsid w:val="00C73A94"/>
    <w:rsid w:val="00C86892"/>
    <w:rsid w:val="00C93054"/>
    <w:rsid w:val="00CA082D"/>
    <w:rsid w:val="00CA14EC"/>
    <w:rsid w:val="00CA2DAA"/>
    <w:rsid w:val="00CB0642"/>
    <w:rsid w:val="00CC10EE"/>
    <w:rsid w:val="00CC2E60"/>
    <w:rsid w:val="00CD152C"/>
    <w:rsid w:val="00CD6B1F"/>
    <w:rsid w:val="00CE4627"/>
    <w:rsid w:val="00D026C7"/>
    <w:rsid w:val="00D10957"/>
    <w:rsid w:val="00D123AF"/>
    <w:rsid w:val="00D13885"/>
    <w:rsid w:val="00D327C6"/>
    <w:rsid w:val="00D43F2F"/>
    <w:rsid w:val="00D575AA"/>
    <w:rsid w:val="00D61E58"/>
    <w:rsid w:val="00D8126B"/>
    <w:rsid w:val="00D81D72"/>
    <w:rsid w:val="00D83E0C"/>
    <w:rsid w:val="00D90804"/>
    <w:rsid w:val="00DC30D3"/>
    <w:rsid w:val="00DC4E1D"/>
    <w:rsid w:val="00DD593D"/>
    <w:rsid w:val="00DD7BF3"/>
    <w:rsid w:val="00DF0A8B"/>
    <w:rsid w:val="00DF1A5B"/>
    <w:rsid w:val="00DF32A2"/>
    <w:rsid w:val="00E14AD6"/>
    <w:rsid w:val="00E325DD"/>
    <w:rsid w:val="00E33BCD"/>
    <w:rsid w:val="00E43691"/>
    <w:rsid w:val="00E45B4B"/>
    <w:rsid w:val="00E52D78"/>
    <w:rsid w:val="00E61D38"/>
    <w:rsid w:val="00E63240"/>
    <w:rsid w:val="00EA32C8"/>
    <w:rsid w:val="00EB26CE"/>
    <w:rsid w:val="00EB7FE4"/>
    <w:rsid w:val="00EC3E6F"/>
    <w:rsid w:val="00EC7147"/>
    <w:rsid w:val="00ED200F"/>
    <w:rsid w:val="00EF3E65"/>
    <w:rsid w:val="00F12E1D"/>
    <w:rsid w:val="00F1611C"/>
    <w:rsid w:val="00F237B9"/>
    <w:rsid w:val="00F36E59"/>
    <w:rsid w:val="00F41E16"/>
    <w:rsid w:val="00F50E11"/>
    <w:rsid w:val="00F53941"/>
    <w:rsid w:val="00F6785C"/>
    <w:rsid w:val="00F7002B"/>
    <w:rsid w:val="00FB63EE"/>
    <w:rsid w:val="00FB7CCB"/>
    <w:rsid w:val="00FD55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320784"/>
  <w15:chartTrackingRefBased/>
  <w15:docId w15:val="{8ADA8FB3-BD71-40F9-9C92-84F60E2C9D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0B69E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AA235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96C9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E74F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E74F0"/>
    <w:rPr>
      <w:sz w:val="20"/>
      <w:szCs w:val="20"/>
    </w:rPr>
  </w:style>
  <w:style w:type="character" w:styleId="FootnoteReference">
    <w:name w:val="footnote reference"/>
    <w:basedOn w:val="DefaultParagraphFont"/>
    <w:uiPriority w:val="99"/>
    <w:semiHidden/>
    <w:unhideWhenUsed/>
    <w:rsid w:val="008E74F0"/>
    <w:rPr>
      <w:vertAlign w:val="superscript"/>
    </w:rPr>
  </w:style>
  <w:style w:type="character" w:styleId="Hyperlink">
    <w:name w:val="Hyperlink"/>
    <w:basedOn w:val="DefaultParagraphFont"/>
    <w:uiPriority w:val="99"/>
    <w:unhideWhenUsed/>
    <w:rsid w:val="00130815"/>
    <w:rPr>
      <w:color w:val="0563C1" w:themeColor="hyperlink"/>
      <w:u w:val="single"/>
    </w:rPr>
  </w:style>
  <w:style w:type="character" w:customStyle="1" w:styleId="Heading1Char">
    <w:name w:val="Heading 1 Char"/>
    <w:basedOn w:val="DefaultParagraphFont"/>
    <w:link w:val="Heading1"/>
    <w:uiPriority w:val="9"/>
    <w:rsid w:val="000B69E6"/>
    <w:rPr>
      <w:rFonts w:ascii="Times New Roman" w:eastAsia="Times New Roman" w:hAnsi="Times New Roman" w:cs="Times New Roman"/>
      <w:b/>
      <w:bCs/>
      <w:kern w:val="36"/>
      <w:sz w:val="48"/>
      <w:szCs w:val="48"/>
      <w:lang w:eastAsia="en-GB"/>
    </w:rPr>
  </w:style>
  <w:style w:type="character" w:customStyle="1" w:styleId="key">
    <w:name w:val="key"/>
    <w:basedOn w:val="DefaultParagraphFont"/>
    <w:rsid w:val="000B69E6"/>
  </w:style>
  <w:style w:type="character" w:customStyle="1" w:styleId="value">
    <w:name w:val="value"/>
    <w:basedOn w:val="DefaultParagraphFont"/>
    <w:rsid w:val="000B69E6"/>
  </w:style>
  <w:style w:type="character" w:customStyle="1" w:styleId="Heading2Char">
    <w:name w:val="Heading 2 Char"/>
    <w:basedOn w:val="DefaultParagraphFont"/>
    <w:link w:val="Heading2"/>
    <w:uiPriority w:val="9"/>
    <w:semiHidden/>
    <w:rsid w:val="00AA2355"/>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877D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7D60"/>
  </w:style>
  <w:style w:type="paragraph" w:styleId="Footer">
    <w:name w:val="footer"/>
    <w:basedOn w:val="Normal"/>
    <w:link w:val="FooterChar"/>
    <w:uiPriority w:val="99"/>
    <w:unhideWhenUsed/>
    <w:rsid w:val="00877D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7D60"/>
  </w:style>
  <w:style w:type="character" w:styleId="UnresolvedMention">
    <w:name w:val="Unresolved Mention"/>
    <w:basedOn w:val="DefaultParagraphFont"/>
    <w:uiPriority w:val="99"/>
    <w:semiHidden/>
    <w:unhideWhenUsed/>
    <w:rsid w:val="00980F19"/>
    <w:rPr>
      <w:color w:val="605E5C"/>
      <w:shd w:val="clear" w:color="auto" w:fill="E1DFDD"/>
    </w:rPr>
  </w:style>
  <w:style w:type="paragraph" w:styleId="BalloonText">
    <w:name w:val="Balloon Text"/>
    <w:basedOn w:val="Normal"/>
    <w:link w:val="BalloonTextChar"/>
    <w:uiPriority w:val="99"/>
    <w:semiHidden/>
    <w:unhideWhenUsed/>
    <w:rsid w:val="00810A8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10A82"/>
    <w:rPr>
      <w:rFonts w:ascii="Segoe UI" w:hAnsi="Segoe UI" w:cs="Segoe UI"/>
      <w:sz w:val="18"/>
      <w:szCs w:val="18"/>
    </w:rPr>
  </w:style>
  <w:style w:type="character" w:customStyle="1" w:styleId="Heading3Char">
    <w:name w:val="Heading 3 Char"/>
    <w:basedOn w:val="DefaultParagraphFont"/>
    <w:link w:val="Heading3"/>
    <w:uiPriority w:val="9"/>
    <w:semiHidden/>
    <w:rsid w:val="00796C9E"/>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796C9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8498156">
      <w:bodyDiv w:val="1"/>
      <w:marLeft w:val="0"/>
      <w:marRight w:val="0"/>
      <w:marTop w:val="0"/>
      <w:marBottom w:val="0"/>
      <w:divBdr>
        <w:top w:val="none" w:sz="0" w:space="0" w:color="auto"/>
        <w:left w:val="none" w:sz="0" w:space="0" w:color="auto"/>
        <w:bottom w:val="none" w:sz="0" w:space="0" w:color="auto"/>
        <w:right w:val="none" w:sz="0" w:space="0" w:color="auto"/>
      </w:divBdr>
      <w:divsChild>
        <w:div w:id="1833985029">
          <w:marLeft w:val="0"/>
          <w:marRight w:val="0"/>
          <w:marTop w:val="0"/>
          <w:marBottom w:val="0"/>
          <w:divBdr>
            <w:top w:val="none" w:sz="0" w:space="0" w:color="auto"/>
            <w:left w:val="none" w:sz="0" w:space="0" w:color="auto"/>
            <w:bottom w:val="none" w:sz="0" w:space="0" w:color="auto"/>
            <w:right w:val="none" w:sz="0" w:space="0" w:color="auto"/>
          </w:divBdr>
          <w:divsChild>
            <w:div w:id="1953630712">
              <w:marLeft w:val="0"/>
              <w:marRight w:val="0"/>
              <w:marTop w:val="0"/>
              <w:marBottom w:val="0"/>
              <w:divBdr>
                <w:top w:val="none" w:sz="0" w:space="0" w:color="auto"/>
                <w:left w:val="none" w:sz="0" w:space="0" w:color="auto"/>
                <w:bottom w:val="none" w:sz="0" w:space="0" w:color="auto"/>
                <w:right w:val="none" w:sz="0" w:space="0" w:color="auto"/>
              </w:divBdr>
              <w:divsChild>
                <w:div w:id="1647516286">
                  <w:marLeft w:val="0"/>
                  <w:marRight w:val="0"/>
                  <w:marTop w:val="0"/>
                  <w:marBottom w:val="0"/>
                  <w:divBdr>
                    <w:top w:val="none" w:sz="0" w:space="0" w:color="auto"/>
                    <w:left w:val="none" w:sz="0" w:space="0" w:color="auto"/>
                    <w:bottom w:val="none" w:sz="0" w:space="0" w:color="auto"/>
                    <w:right w:val="none" w:sz="0" w:space="0" w:color="auto"/>
                  </w:divBdr>
                  <w:divsChild>
                    <w:div w:id="537663796">
                      <w:marLeft w:val="0"/>
                      <w:marRight w:val="0"/>
                      <w:marTop w:val="0"/>
                      <w:marBottom w:val="0"/>
                      <w:divBdr>
                        <w:top w:val="none" w:sz="0" w:space="0" w:color="auto"/>
                        <w:left w:val="none" w:sz="0" w:space="0" w:color="auto"/>
                        <w:bottom w:val="none" w:sz="0" w:space="0" w:color="auto"/>
                        <w:right w:val="none" w:sz="0" w:space="0" w:color="auto"/>
                      </w:divBdr>
                      <w:divsChild>
                        <w:div w:id="949555002">
                          <w:marLeft w:val="0"/>
                          <w:marRight w:val="0"/>
                          <w:marTop w:val="0"/>
                          <w:marBottom w:val="0"/>
                          <w:divBdr>
                            <w:top w:val="none" w:sz="0" w:space="0" w:color="auto"/>
                            <w:left w:val="none" w:sz="0" w:space="0" w:color="auto"/>
                            <w:bottom w:val="none" w:sz="0" w:space="0" w:color="auto"/>
                            <w:right w:val="none" w:sz="0" w:space="0" w:color="auto"/>
                          </w:divBdr>
                          <w:divsChild>
                            <w:div w:id="365106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71168681">
          <w:marLeft w:val="0"/>
          <w:marRight w:val="0"/>
          <w:marTop w:val="0"/>
          <w:marBottom w:val="0"/>
          <w:divBdr>
            <w:top w:val="none" w:sz="0" w:space="0" w:color="auto"/>
            <w:left w:val="none" w:sz="0" w:space="0" w:color="auto"/>
            <w:bottom w:val="none" w:sz="0" w:space="0" w:color="auto"/>
            <w:right w:val="none" w:sz="0" w:space="0" w:color="auto"/>
          </w:divBdr>
          <w:divsChild>
            <w:div w:id="851381401">
              <w:marLeft w:val="0"/>
              <w:marRight w:val="0"/>
              <w:marTop w:val="0"/>
              <w:marBottom w:val="0"/>
              <w:divBdr>
                <w:top w:val="none" w:sz="0" w:space="0" w:color="auto"/>
                <w:left w:val="none" w:sz="0" w:space="0" w:color="auto"/>
                <w:bottom w:val="none" w:sz="0" w:space="0" w:color="auto"/>
                <w:right w:val="none" w:sz="0" w:space="0" w:color="auto"/>
              </w:divBdr>
              <w:divsChild>
                <w:div w:id="1383021353">
                  <w:marLeft w:val="0"/>
                  <w:marRight w:val="0"/>
                  <w:marTop w:val="0"/>
                  <w:marBottom w:val="0"/>
                  <w:divBdr>
                    <w:top w:val="none" w:sz="0" w:space="0" w:color="auto"/>
                    <w:left w:val="none" w:sz="0" w:space="0" w:color="auto"/>
                    <w:bottom w:val="none" w:sz="0" w:space="0" w:color="auto"/>
                    <w:right w:val="none" w:sz="0" w:space="0" w:color="auto"/>
                  </w:divBdr>
                  <w:divsChild>
                    <w:div w:id="202716803">
                      <w:marLeft w:val="0"/>
                      <w:marRight w:val="0"/>
                      <w:marTop w:val="0"/>
                      <w:marBottom w:val="0"/>
                      <w:divBdr>
                        <w:top w:val="none" w:sz="0" w:space="0" w:color="auto"/>
                        <w:left w:val="none" w:sz="0" w:space="0" w:color="auto"/>
                        <w:bottom w:val="none" w:sz="0" w:space="0" w:color="auto"/>
                        <w:right w:val="none" w:sz="0" w:space="0" w:color="auto"/>
                      </w:divBdr>
                      <w:divsChild>
                        <w:div w:id="1039817964">
                          <w:marLeft w:val="0"/>
                          <w:marRight w:val="0"/>
                          <w:marTop w:val="0"/>
                          <w:marBottom w:val="0"/>
                          <w:divBdr>
                            <w:top w:val="none" w:sz="0" w:space="0" w:color="auto"/>
                            <w:left w:val="none" w:sz="0" w:space="0" w:color="auto"/>
                            <w:bottom w:val="none" w:sz="0" w:space="0" w:color="auto"/>
                            <w:right w:val="none" w:sz="0" w:space="0" w:color="auto"/>
                          </w:divBdr>
                        </w:div>
                        <w:div w:id="1646466200">
                          <w:marLeft w:val="0"/>
                          <w:marRight w:val="0"/>
                          <w:marTop w:val="0"/>
                          <w:marBottom w:val="0"/>
                          <w:divBdr>
                            <w:top w:val="none" w:sz="0" w:space="0" w:color="auto"/>
                            <w:left w:val="none" w:sz="0" w:space="0" w:color="auto"/>
                            <w:bottom w:val="none" w:sz="0" w:space="0" w:color="auto"/>
                            <w:right w:val="none" w:sz="0" w:space="0" w:color="auto"/>
                          </w:divBdr>
                        </w:div>
                        <w:div w:id="713308523">
                          <w:marLeft w:val="0"/>
                          <w:marRight w:val="0"/>
                          <w:marTop w:val="0"/>
                          <w:marBottom w:val="0"/>
                          <w:divBdr>
                            <w:top w:val="none" w:sz="0" w:space="0" w:color="auto"/>
                            <w:left w:val="none" w:sz="0" w:space="0" w:color="auto"/>
                            <w:bottom w:val="none" w:sz="0" w:space="0" w:color="auto"/>
                            <w:right w:val="none" w:sz="0" w:space="0" w:color="auto"/>
                          </w:divBdr>
                        </w:div>
                        <w:div w:id="1515925074">
                          <w:marLeft w:val="0"/>
                          <w:marRight w:val="0"/>
                          <w:marTop w:val="0"/>
                          <w:marBottom w:val="0"/>
                          <w:divBdr>
                            <w:top w:val="none" w:sz="0" w:space="0" w:color="auto"/>
                            <w:left w:val="none" w:sz="0" w:space="0" w:color="auto"/>
                            <w:bottom w:val="none" w:sz="0" w:space="0" w:color="auto"/>
                            <w:right w:val="none" w:sz="0" w:space="0" w:color="auto"/>
                          </w:divBdr>
                        </w:div>
                        <w:div w:id="208079456">
                          <w:marLeft w:val="0"/>
                          <w:marRight w:val="0"/>
                          <w:marTop w:val="0"/>
                          <w:marBottom w:val="0"/>
                          <w:divBdr>
                            <w:top w:val="none" w:sz="0" w:space="0" w:color="auto"/>
                            <w:left w:val="none" w:sz="0" w:space="0" w:color="auto"/>
                            <w:bottom w:val="none" w:sz="0" w:space="0" w:color="auto"/>
                            <w:right w:val="none" w:sz="0" w:space="0" w:color="auto"/>
                          </w:divBdr>
                        </w:div>
                        <w:div w:id="69810495">
                          <w:marLeft w:val="0"/>
                          <w:marRight w:val="0"/>
                          <w:marTop w:val="0"/>
                          <w:marBottom w:val="0"/>
                          <w:divBdr>
                            <w:top w:val="none" w:sz="0" w:space="0" w:color="auto"/>
                            <w:left w:val="none" w:sz="0" w:space="0" w:color="auto"/>
                            <w:bottom w:val="none" w:sz="0" w:space="0" w:color="auto"/>
                            <w:right w:val="none" w:sz="0" w:space="0" w:color="auto"/>
                          </w:divBdr>
                        </w:div>
                        <w:div w:id="767117111">
                          <w:marLeft w:val="0"/>
                          <w:marRight w:val="0"/>
                          <w:marTop w:val="0"/>
                          <w:marBottom w:val="0"/>
                          <w:divBdr>
                            <w:top w:val="none" w:sz="0" w:space="0" w:color="auto"/>
                            <w:left w:val="none" w:sz="0" w:space="0" w:color="auto"/>
                            <w:bottom w:val="none" w:sz="0" w:space="0" w:color="auto"/>
                            <w:right w:val="none" w:sz="0" w:space="0" w:color="auto"/>
                          </w:divBdr>
                        </w:div>
                        <w:div w:id="856233132">
                          <w:marLeft w:val="0"/>
                          <w:marRight w:val="0"/>
                          <w:marTop w:val="0"/>
                          <w:marBottom w:val="0"/>
                          <w:divBdr>
                            <w:top w:val="none" w:sz="0" w:space="0" w:color="auto"/>
                            <w:left w:val="none" w:sz="0" w:space="0" w:color="auto"/>
                            <w:bottom w:val="none" w:sz="0" w:space="0" w:color="auto"/>
                            <w:right w:val="none" w:sz="0" w:space="0" w:color="auto"/>
                          </w:divBdr>
                          <w:divsChild>
                            <w:div w:id="679091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98822898">
      <w:bodyDiv w:val="1"/>
      <w:marLeft w:val="0"/>
      <w:marRight w:val="0"/>
      <w:marTop w:val="0"/>
      <w:marBottom w:val="0"/>
      <w:divBdr>
        <w:top w:val="none" w:sz="0" w:space="0" w:color="auto"/>
        <w:left w:val="none" w:sz="0" w:space="0" w:color="auto"/>
        <w:bottom w:val="none" w:sz="0" w:space="0" w:color="auto"/>
        <w:right w:val="none" w:sz="0" w:space="0" w:color="auto"/>
      </w:divBdr>
      <w:divsChild>
        <w:div w:id="1099179473">
          <w:marLeft w:val="0"/>
          <w:marRight w:val="0"/>
          <w:marTop w:val="0"/>
          <w:marBottom w:val="0"/>
          <w:divBdr>
            <w:top w:val="none" w:sz="0" w:space="0" w:color="auto"/>
            <w:left w:val="none" w:sz="0" w:space="0" w:color="auto"/>
            <w:bottom w:val="none" w:sz="0" w:space="0" w:color="auto"/>
            <w:right w:val="none" w:sz="0" w:space="0" w:color="auto"/>
          </w:divBdr>
          <w:divsChild>
            <w:div w:id="187066070">
              <w:marLeft w:val="0"/>
              <w:marRight w:val="0"/>
              <w:marTop w:val="0"/>
              <w:marBottom w:val="0"/>
              <w:divBdr>
                <w:top w:val="none" w:sz="0" w:space="0" w:color="auto"/>
                <w:left w:val="none" w:sz="0" w:space="0" w:color="auto"/>
                <w:bottom w:val="none" w:sz="0" w:space="0" w:color="auto"/>
                <w:right w:val="none" w:sz="0" w:space="0" w:color="auto"/>
              </w:divBdr>
              <w:divsChild>
                <w:div w:id="2126193513">
                  <w:marLeft w:val="0"/>
                  <w:marRight w:val="0"/>
                  <w:marTop w:val="0"/>
                  <w:marBottom w:val="0"/>
                  <w:divBdr>
                    <w:top w:val="none" w:sz="0" w:space="0" w:color="auto"/>
                    <w:left w:val="none" w:sz="0" w:space="0" w:color="auto"/>
                    <w:bottom w:val="none" w:sz="0" w:space="0" w:color="auto"/>
                    <w:right w:val="none" w:sz="0" w:space="0" w:color="auto"/>
                  </w:divBdr>
                  <w:divsChild>
                    <w:div w:id="849950076">
                      <w:marLeft w:val="0"/>
                      <w:marRight w:val="0"/>
                      <w:marTop w:val="0"/>
                      <w:marBottom w:val="0"/>
                      <w:divBdr>
                        <w:top w:val="none" w:sz="0" w:space="0" w:color="auto"/>
                        <w:left w:val="none" w:sz="0" w:space="0" w:color="auto"/>
                        <w:bottom w:val="none" w:sz="0" w:space="0" w:color="auto"/>
                        <w:right w:val="none" w:sz="0" w:space="0" w:color="auto"/>
                      </w:divBdr>
                      <w:divsChild>
                        <w:div w:id="527179819">
                          <w:marLeft w:val="0"/>
                          <w:marRight w:val="0"/>
                          <w:marTop w:val="0"/>
                          <w:marBottom w:val="0"/>
                          <w:divBdr>
                            <w:top w:val="none" w:sz="0" w:space="0" w:color="auto"/>
                            <w:left w:val="none" w:sz="0" w:space="0" w:color="auto"/>
                            <w:bottom w:val="none" w:sz="0" w:space="0" w:color="auto"/>
                            <w:right w:val="none" w:sz="0" w:space="0" w:color="auto"/>
                          </w:divBdr>
                          <w:divsChild>
                            <w:div w:id="449281397">
                              <w:marLeft w:val="0"/>
                              <w:marRight w:val="0"/>
                              <w:marTop w:val="0"/>
                              <w:marBottom w:val="0"/>
                              <w:divBdr>
                                <w:top w:val="none" w:sz="0" w:space="0" w:color="auto"/>
                                <w:left w:val="none" w:sz="0" w:space="0" w:color="auto"/>
                                <w:bottom w:val="none" w:sz="0" w:space="0" w:color="auto"/>
                                <w:right w:val="none" w:sz="0" w:space="0" w:color="auto"/>
                              </w:divBdr>
                            </w:div>
                            <w:div w:id="214857869">
                              <w:marLeft w:val="0"/>
                              <w:marRight w:val="0"/>
                              <w:marTop w:val="0"/>
                              <w:marBottom w:val="0"/>
                              <w:divBdr>
                                <w:top w:val="none" w:sz="0" w:space="0" w:color="auto"/>
                                <w:left w:val="none" w:sz="0" w:space="0" w:color="auto"/>
                                <w:bottom w:val="none" w:sz="0" w:space="0" w:color="auto"/>
                                <w:right w:val="none" w:sz="0" w:space="0" w:color="auto"/>
                              </w:divBdr>
                            </w:div>
                            <w:div w:id="1552305160">
                              <w:marLeft w:val="0"/>
                              <w:marRight w:val="0"/>
                              <w:marTop w:val="0"/>
                              <w:marBottom w:val="0"/>
                              <w:divBdr>
                                <w:top w:val="none" w:sz="0" w:space="0" w:color="auto"/>
                                <w:left w:val="none" w:sz="0" w:space="0" w:color="auto"/>
                                <w:bottom w:val="none" w:sz="0" w:space="0" w:color="auto"/>
                                <w:right w:val="none" w:sz="0" w:space="0" w:color="auto"/>
                              </w:divBdr>
                            </w:div>
                            <w:div w:id="1947033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jstor.org/stable/3270161"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jstor.org/stable/3270161"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princeton.edu/~hellenic/Hermeneutica/ShawPaper.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booksandjournals.brillonline.com/docserver/18725082/v1n1_splitsection3.pdf?expires=1531672520&amp;id=id&amp;accname=guest&amp;checksum=EDE1F946CDE48C3E69732376425FC71B" TargetMode="External"/><Relationship Id="rId5" Type="http://schemas.openxmlformats.org/officeDocument/2006/relationships/webSettings" Target="webSettings.xml"/><Relationship Id="rId15" Type="http://schemas.openxmlformats.org/officeDocument/2006/relationships/hyperlink" Target="https://www.academia.edu/27626457/Archetypal_Psychology_Dreamwork_and_Neoplatonism" TargetMode="External"/><Relationship Id="rId10" Type="http://schemas.openxmlformats.org/officeDocument/2006/relationships/hyperlink" Target="http://www.krazykioti.com/articles/magic-science-and-religion/"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dawsonera.com:443/abstract/9781409451532" TargetMode="External"/><Relationship Id="rId14" Type="http://schemas.openxmlformats.org/officeDocument/2006/relationships/hyperlink" Target="https://www.jstor.org/stable/3270161"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booksandjournals.brillonline.com/docserver/18725082/v1n1_splitsection3.pdf?expires=1531672520&amp;id=id&amp;accname=guest&amp;checksum=EDE1F946CDE48C3E69732376425FC71B" TargetMode="External"/><Relationship Id="rId7" Type="http://schemas.openxmlformats.org/officeDocument/2006/relationships/hyperlink" Target="https://www.jstor.org/stable/3270161" TargetMode="External"/><Relationship Id="rId2" Type="http://schemas.openxmlformats.org/officeDocument/2006/relationships/hyperlink" Target="https://www.academia.edu/27626457/Archetypal_Psychology_Dreamwork_and_Neoplatonism" TargetMode="External"/><Relationship Id="rId1" Type="http://schemas.openxmlformats.org/officeDocument/2006/relationships/hyperlink" Target="https://www.princeton.edu/~hellenic/Hermeneutica/ShawPaper.pdf" TargetMode="External"/><Relationship Id="rId6" Type="http://schemas.openxmlformats.org/officeDocument/2006/relationships/hyperlink" Target="https://www.jstor.org/stable/3270161" TargetMode="External"/><Relationship Id="rId5" Type="http://schemas.openxmlformats.org/officeDocument/2006/relationships/hyperlink" Target="https://www.dawsonera.com:443/abstract/9781409451532" TargetMode="External"/><Relationship Id="rId4" Type="http://schemas.openxmlformats.org/officeDocument/2006/relationships/hyperlink" Target="http://www.krazykioti.com/articles/magic-science-and-relig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53B3648-66F7-4F02-97A8-891A9E4A97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3134</Words>
  <Characters>17870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acer-PC</dc:creator>
  <cp:keywords/>
  <dc:description/>
  <cp:lastModifiedBy>acer-PC</cp:lastModifiedBy>
  <cp:revision>2</cp:revision>
  <cp:lastPrinted>2018-07-16T15:05:00Z</cp:lastPrinted>
  <dcterms:created xsi:type="dcterms:W3CDTF">2018-07-16T21:19:00Z</dcterms:created>
  <dcterms:modified xsi:type="dcterms:W3CDTF">2018-07-16T21:19:00Z</dcterms:modified>
</cp:coreProperties>
</file>