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FEAF0E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5426B">
              <w:rPr>
                <w:rFonts w:ascii="Times New Roman" w:hAnsi="Times New Roman" w:cs="Times New Roman"/>
                <w:b/>
                <w:color w:val="auto"/>
                <w:sz w:val="48"/>
              </w:rPr>
              <w:t>Ceri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FD2FE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5426B">
              <w:rPr>
                <w:rFonts w:ascii="Times New Roman" w:hAnsi="Times New Roman" w:cs="Times New Roman"/>
                <w:b/>
                <w:color w:val="auto"/>
                <w:sz w:val="48"/>
              </w:rPr>
              <w:t xml:space="preserve"> 2330033@student.uwtsd@ac.uk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D08EC25" w14:textId="77777777" w:rsidR="0045426B"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5426B">
              <w:rPr>
                <w:rFonts w:ascii="Times New Roman" w:hAnsi="Times New Roman" w:cs="Times New Roman"/>
                <w:b/>
                <w:color w:val="auto"/>
                <w:sz w:val="48"/>
              </w:rPr>
              <w:t xml:space="preserve"> </w:t>
            </w:r>
          </w:p>
          <w:p w14:paraId="0DE696B2" w14:textId="49BC0497" w:rsidR="00F927A1" w:rsidRPr="005D3F07" w:rsidRDefault="0045426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2330033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6FD5373" w14:textId="77777777" w:rsidR="005C23DA" w:rsidRDefault="005C23DA" w:rsidP="005C23DA">
            <w:pPr>
              <w:jc w:val="both"/>
              <w:rPr>
                <w:sz w:val="24"/>
                <w:szCs w:val="24"/>
              </w:rPr>
            </w:pPr>
            <w:r>
              <w:rPr>
                <w:i/>
                <w:sz w:val="24"/>
                <w:szCs w:val="24"/>
              </w:rPr>
              <w:t>500 words</w:t>
            </w:r>
            <w:r>
              <w:rPr>
                <w:sz w:val="24"/>
                <w:szCs w:val="24"/>
              </w:rPr>
              <w:t xml:space="preserve"> (+/- 10%: include your actual word count at the end of each section).</w:t>
            </w:r>
          </w:p>
          <w:p w14:paraId="1FBBCFA0" w14:textId="77777777" w:rsidR="006108C9" w:rsidRDefault="006108C9" w:rsidP="00FF7EBB">
            <w:pPr>
              <w:jc w:val="both"/>
              <w:rPr>
                <w:sz w:val="24"/>
                <w:szCs w:val="24"/>
              </w:rPr>
            </w:pPr>
          </w:p>
          <w:p w14:paraId="470B0A7F" w14:textId="77777777" w:rsidR="00276A70" w:rsidRPr="00276A70" w:rsidRDefault="00276A70" w:rsidP="00276A70">
            <w:pPr>
              <w:jc w:val="both"/>
              <w:rPr>
                <w:sz w:val="24"/>
                <w:szCs w:val="24"/>
              </w:rPr>
            </w:pPr>
            <w:r w:rsidRPr="001B0DF3">
              <w:rPr>
                <w:i/>
                <w:iCs/>
                <w:sz w:val="24"/>
                <w:szCs w:val="24"/>
              </w:rPr>
              <w:t>No Secrets</w:t>
            </w:r>
            <w:r w:rsidRPr="00276A70">
              <w:rPr>
                <w:sz w:val="24"/>
                <w:szCs w:val="24"/>
              </w:rPr>
              <w:t xml:space="preserve"> (Department for Health, 2013) and </w:t>
            </w:r>
            <w:r w:rsidRPr="001B0DF3">
              <w:rPr>
                <w:i/>
                <w:iCs/>
                <w:sz w:val="24"/>
                <w:szCs w:val="24"/>
              </w:rPr>
              <w:t>In Safe Hands</w:t>
            </w:r>
            <w:r w:rsidRPr="00276A70">
              <w:rPr>
                <w:sz w:val="24"/>
                <w:szCs w:val="24"/>
              </w:rPr>
              <w:t xml:space="preserve"> (National Assembly for Wales, 2003) were the first policies relating to safeguarding adults in the United Kingdom, providing guidance around “exposing the abuse of vulnerable adults”. The guidance was voluntary and high-profile cases that featured the abuse of adults demonstrated that legislation was needed, with the </w:t>
            </w:r>
            <w:r w:rsidRPr="00E22F38">
              <w:rPr>
                <w:i/>
                <w:iCs/>
                <w:sz w:val="24"/>
                <w:szCs w:val="24"/>
              </w:rPr>
              <w:t>Francis Enquiry</w:t>
            </w:r>
            <w:r w:rsidRPr="00276A70">
              <w:rPr>
                <w:sz w:val="24"/>
                <w:szCs w:val="24"/>
              </w:rPr>
              <w:t xml:space="preserve"> (Francis, 2013) recommending care commissioners to “focus […] on what is reasonably necessary to safeguard and to ensure that […] fundamental safety and quality standards are maintained”. The </w:t>
            </w:r>
            <w:r w:rsidRPr="00E22F38">
              <w:rPr>
                <w:i/>
                <w:iCs/>
                <w:sz w:val="24"/>
                <w:szCs w:val="24"/>
              </w:rPr>
              <w:t xml:space="preserve">Care Act 2014 </w:t>
            </w:r>
            <w:r w:rsidRPr="009A6DB4">
              <w:rPr>
                <w:sz w:val="24"/>
                <w:szCs w:val="24"/>
              </w:rPr>
              <w:t>and the</w:t>
            </w:r>
            <w:r w:rsidRPr="00E22F38">
              <w:rPr>
                <w:i/>
                <w:iCs/>
                <w:sz w:val="24"/>
                <w:szCs w:val="24"/>
              </w:rPr>
              <w:t xml:space="preserve"> Social Services and Well-being (Wales) Act 2014 (SSWBA)</w:t>
            </w:r>
            <w:r w:rsidRPr="00276A70">
              <w:rPr>
                <w:sz w:val="24"/>
                <w:szCs w:val="24"/>
              </w:rPr>
              <w:t xml:space="preserve"> consolidated elements of previous legislation to provide a new legal framework around the provision of care and support and were the first pieces of legislation that provided legal frameworks for safeguarding in the United Kingdom.</w:t>
            </w:r>
          </w:p>
          <w:p w14:paraId="0D9E7CA3" w14:textId="77777777" w:rsidR="00276A70" w:rsidRPr="00276A70" w:rsidRDefault="00276A70" w:rsidP="00276A70">
            <w:pPr>
              <w:jc w:val="both"/>
              <w:rPr>
                <w:sz w:val="24"/>
                <w:szCs w:val="24"/>
              </w:rPr>
            </w:pPr>
          </w:p>
          <w:p w14:paraId="14202C2B" w14:textId="420C90A6" w:rsidR="00276A70" w:rsidRPr="00276A70" w:rsidRDefault="00B72935" w:rsidP="00276A70">
            <w:pPr>
              <w:jc w:val="both"/>
              <w:rPr>
                <w:sz w:val="24"/>
                <w:szCs w:val="24"/>
              </w:rPr>
            </w:pPr>
            <w:r>
              <w:rPr>
                <w:sz w:val="24"/>
                <w:szCs w:val="24"/>
              </w:rPr>
              <w:t xml:space="preserve">Section </w:t>
            </w:r>
            <w:r w:rsidR="007219BF">
              <w:rPr>
                <w:sz w:val="24"/>
                <w:szCs w:val="24"/>
              </w:rPr>
              <w:t>126 of t</w:t>
            </w:r>
            <w:r w:rsidR="00276A70" w:rsidRPr="00276A70">
              <w:rPr>
                <w:sz w:val="24"/>
                <w:szCs w:val="24"/>
              </w:rPr>
              <w:t>he</w:t>
            </w:r>
            <w:r w:rsidR="009D0BBD">
              <w:rPr>
                <w:sz w:val="24"/>
                <w:szCs w:val="24"/>
              </w:rPr>
              <w:t xml:space="preserve"> </w:t>
            </w:r>
            <w:r w:rsidR="00276A70" w:rsidRPr="00E22F38">
              <w:rPr>
                <w:i/>
                <w:iCs/>
                <w:sz w:val="24"/>
                <w:szCs w:val="24"/>
              </w:rPr>
              <w:t>SSWBA</w:t>
            </w:r>
            <w:r w:rsidR="00276A70" w:rsidRPr="00276A70">
              <w:rPr>
                <w:sz w:val="24"/>
                <w:szCs w:val="24"/>
              </w:rPr>
              <w:t xml:space="preserve"> </w:t>
            </w:r>
            <w:r w:rsidR="00915F9D">
              <w:rPr>
                <w:sz w:val="24"/>
                <w:szCs w:val="24"/>
              </w:rPr>
              <w:t xml:space="preserve">(2014) </w:t>
            </w:r>
            <w:r w:rsidR="00276A70" w:rsidRPr="00276A70">
              <w:rPr>
                <w:sz w:val="24"/>
                <w:szCs w:val="24"/>
              </w:rPr>
              <w:t>defines adults at risk as adults who are experiencing or are at risk of abuse or neglect, have needs for care and support, and as a result of those needs are unable to protect themselves against the abuse or the risk of it. Abuse can be physical, sexual, psychological, emotional, or financial, whilst domestic abuse, modern slavery, and criminal exploitation could place adults at risk of abuse or neglect (Social Care Wales, 20</w:t>
            </w:r>
            <w:r w:rsidR="00A34A05">
              <w:rPr>
                <w:sz w:val="24"/>
                <w:szCs w:val="24"/>
              </w:rPr>
              <w:t>2</w:t>
            </w:r>
            <w:r w:rsidR="00276A70" w:rsidRPr="00276A70">
              <w:rPr>
                <w:sz w:val="24"/>
                <w:szCs w:val="24"/>
              </w:rPr>
              <w:t>5</w:t>
            </w:r>
            <w:r w:rsidR="00AF771F">
              <w:rPr>
                <w:sz w:val="24"/>
                <w:szCs w:val="24"/>
              </w:rPr>
              <w:t>i</w:t>
            </w:r>
            <w:r w:rsidR="00276A70" w:rsidRPr="00276A70">
              <w:rPr>
                <w:sz w:val="24"/>
                <w:szCs w:val="24"/>
              </w:rPr>
              <w:t>).</w:t>
            </w:r>
          </w:p>
          <w:p w14:paraId="314B34E1" w14:textId="77777777" w:rsidR="00276A70" w:rsidRPr="00276A70" w:rsidRDefault="00276A70" w:rsidP="00276A70">
            <w:pPr>
              <w:jc w:val="both"/>
              <w:rPr>
                <w:sz w:val="24"/>
                <w:szCs w:val="24"/>
              </w:rPr>
            </w:pPr>
          </w:p>
          <w:p w14:paraId="2D386B9D" w14:textId="7D7843AD" w:rsidR="00276A70" w:rsidRPr="00276A70" w:rsidRDefault="00276A70" w:rsidP="00276A70">
            <w:pPr>
              <w:jc w:val="both"/>
              <w:rPr>
                <w:sz w:val="24"/>
                <w:szCs w:val="24"/>
              </w:rPr>
            </w:pPr>
            <w:r w:rsidRPr="00276A70">
              <w:rPr>
                <w:sz w:val="24"/>
                <w:szCs w:val="24"/>
              </w:rPr>
              <w:t>The</w:t>
            </w:r>
            <w:r w:rsidRPr="001B5504">
              <w:rPr>
                <w:i/>
                <w:iCs/>
                <w:sz w:val="24"/>
                <w:szCs w:val="24"/>
              </w:rPr>
              <w:t xml:space="preserve"> SSWBA</w:t>
            </w:r>
            <w:r w:rsidR="00915F9D">
              <w:rPr>
                <w:sz w:val="24"/>
                <w:szCs w:val="24"/>
              </w:rPr>
              <w:t xml:space="preserve"> (2014)</w:t>
            </w:r>
            <w:r w:rsidRPr="00276A70">
              <w:rPr>
                <w:sz w:val="24"/>
                <w:szCs w:val="24"/>
              </w:rPr>
              <w:t xml:space="preserve"> places responsibility on local authorities to make enquiries if there is reasonable cause to suspect that a person within its area is an adult at risk in section 126. Multi-agency working is one of the principles of the </w:t>
            </w:r>
            <w:r w:rsidRPr="00D760C7">
              <w:rPr>
                <w:i/>
                <w:iCs/>
                <w:sz w:val="24"/>
                <w:szCs w:val="24"/>
              </w:rPr>
              <w:t>SSWBA</w:t>
            </w:r>
            <w:r w:rsidR="00915F9D">
              <w:rPr>
                <w:sz w:val="24"/>
                <w:szCs w:val="24"/>
              </w:rPr>
              <w:t xml:space="preserve"> (2014)</w:t>
            </w:r>
            <w:r w:rsidRPr="00276A70">
              <w:rPr>
                <w:sz w:val="24"/>
                <w:szCs w:val="24"/>
              </w:rPr>
              <w:t xml:space="preserve">, with section 162 placing responsibility on local authorities to promote co-operation between partner agencies </w:t>
            </w:r>
            <w:r w:rsidR="00AB78F4">
              <w:rPr>
                <w:sz w:val="24"/>
                <w:szCs w:val="24"/>
              </w:rPr>
              <w:t>whilst</w:t>
            </w:r>
            <w:r w:rsidRPr="00276A70">
              <w:rPr>
                <w:sz w:val="24"/>
                <w:szCs w:val="24"/>
              </w:rPr>
              <w:t xml:space="preserve"> exercising their functions in relation to individuals with care and support needs. </w:t>
            </w:r>
            <w:r w:rsidRPr="00D10F5E">
              <w:rPr>
                <w:i/>
                <w:iCs/>
                <w:sz w:val="24"/>
                <w:szCs w:val="24"/>
              </w:rPr>
              <w:t>Working together to safeguard people</w:t>
            </w:r>
            <w:r w:rsidR="00D43717">
              <w:rPr>
                <w:i/>
                <w:iCs/>
                <w:sz w:val="24"/>
                <w:szCs w:val="24"/>
              </w:rPr>
              <w:t xml:space="preserve"> </w:t>
            </w:r>
            <w:r w:rsidR="00D43717">
              <w:rPr>
                <w:sz w:val="24"/>
                <w:szCs w:val="24"/>
              </w:rPr>
              <w:t>(Welsh Government, 2022)</w:t>
            </w:r>
            <w:r w:rsidRPr="00276A70">
              <w:rPr>
                <w:sz w:val="24"/>
                <w:szCs w:val="24"/>
              </w:rPr>
              <w:t xml:space="preserve"> is a code of safeguarding practice</w:t>
            </w:r>
            <w:r w:rsidR="00D43717">
              <w:rPr>
                <w:sz w:val="24"/>
                <w:szCs w:val="24"/>
              </w:rPr>
              <w:t xml:space="preserve"> </w:t>
            </w:r>
            <w:r w:rsidRPr="00276A70">
              <w:rPr>
                <w:sz w:val="24"/>
                <w:szCs w:val="24"/>
              </w:rPr>
              <w:t>which notes its expectations in relation to safeguarding, whilst the Wales Safeguarding Procedures</w:t>
            </w:r>
            <w:r w:rsidR="001E0B90">
              <w:rPr>
                <w:sz w:val="24"/>
                <w:szCs w:val="24"/>
              </w:rPr>
              <w:t xml:space="preserve"> (Social Care Wales, 2025</w:t>
            </w:r>
            <w:r w:rsidR="000E5755">
              <w:rPr>
                <w:sz w:val="24"/>
                <w:szCs w:val="24"/>
              </w:rPr>
              <w:t>j</w:t>
            </w:r>
            <w:r w:rsidR="001E0B90">
              <w:rPr>
                <w:sz w:val="24"/>
                <w:szCs w:val="24"/>
              </w:rPr>
              <w:t>)</w:t>
            </w:r>
            <w:r w:rsidRPr="00276A70">
              <w:rPr>
                <w:sz w:val="24"/>
                <w:szCs w:val="24"/>
              </w:rPr>
              <w:t xml:space="preserve"> helps practitioners apply legislation to practice. Safeguarding arrangements are reviewed by the National Independent Safeguarding Board, which was implemented in </w:t>
            </w:r>
            <w:r w:rsidR="00493F59">
              <w:rPr>
                <w:sz w:val="24"/>
                <w:szCs w:val="24"/>
              </w:rPr>
              <w:t>section</w:t>
            </w:r>
            <w:r w:rsidRPr="00276A70">
              <w:rPr>
                <w:sz w:val="24"/>
                <w:szCs w:val="24"/>
              </w:rPr>
              <w:t xml:space="preserve"> 132 of the </w:t>
            </w:r>
            <w:r w:rsidRPr="00570F3F">
              <w:rPr>
                <w:i/>
                <w:iCs/>
                <w:sz w:val="24"/>
                <w:szCs w:val="24"/>
              </w:rPr>
              <w:t>SSWBA</w:t>
            </w:r>
            <w:r w:rsidR="00915F9D">
              <w:rPr>
                <w:i/>
                <w:iCs/>
                <w:sz w:val="24"/>
                <w:szCs w:val="24"/>
              </w:rPr>
              <w:t xml:space="preserve"> </w:t>
            </w:r>
            <w:r w:rsidR="00915F9D">
              <w:rPr>
                <w:sz w:val="24"/>
                <w:szCs w:val="24"/>
              </w:rPr>
              <w:t>(2014)</w:t>
            </w:r>
            <w:r w:rsidRPr="00276A70">
              <w:rPr>
                <w:sz w:val="24"/>
                <w:szCs w:val="24"/>
              </w:rPr>
              <w:t xml:space="preserve">. It reports on the adequacy and effectiveness of arrangements to safeguard individuals in Wales. National legislation in the </w:t>
            </w:r>
            <w:r w:rsidRPr="00276A70">
              <w:rPr>
                <w:sz w:val="24"/>
                <w:szCs w:val="24"/>
              </w:rPr>
              <w:lastRenderedPageBreak/>
              <w:t xml:space="preserve">United Kingdom relating to safeguarding is supported by the </w:t>
            </w:r>
            <w:r w:rsidRPr="00512361">
              <w:rPr>
                <w:i/>
                <w:iCs/>
                <w:sz w:val="24"/>
                <w:szCs w:val="24"/>
              </w:rPr>
              <w:t>Human Rights Act 1998</w:t>
            </w:r>
            <w:r w:rsidRPr="00276A70">
              <w:rPr>
                <w:sz w:val="24"/>
                <w:szCs w:val="24"/>
              </w:rPr>
              <w:t xml:space="preserve">, which provides adults with rights inclusive of the right to life, respect for private and family life, and prohibition of discrimination. </w:t>
            </w:r>
          </w:p>
          <w:p w14:paraId="688531A3" w14:textId="77777777" w:rsidR="00276A70" w:rsidRPr="00276A70" w:rsidRDefault="00276A70" w:rsidP="00276A70">
            <w:pPr>
              <w:jc w:val="both"/>
              <w:rPr>
                <w:sz w:val="24"/>
                <w:szCs w:val="24"/>
              </w:rPr>
            </w:pPr>
          </w:p>
          <w:p w14:paraId="5D4A7D45" w14:textId="3C27A200" w:rsidR="007A628F" w:rsidRPr="002745BE" w:rsidRDefault="005C7950" w:rsidP="00276A70">
            <w:pPr>
              <w:jc w:val="both"/>
              <w:rPr>
                <w:sz w:val="24"/>
                <w:szCs w:val="24"/>
              </w:rPr>
            </w:pPr>
            <w:r>
              <w:rPr>
                <w:sz w:val="24"/>
                <w:szCs w:val="24"/>
              </w:rPr>
              <w:t>Section 1 of the</w:t>
            </w:r>
            <w:r w:rsidR="00276A70" w:rsidRPr="00276A70">
              <w:rPr>
                <w:sz w:val="24"/>
                <w:szCs w:val="24"/>
              </w:rPr>
              <w:t xml:space="preserve"> </w:t>
            </w:r>
            <w:r w:rsidR="00276A70" w:rsidRPr="00512361">
              <w:rPr>
                <w:i/>
                <w:iCs/>
                <w:sz w:val="24"/>
                <w:szCs w:val="24"/>
              </w:rPr>
              <w:t>Mental Capacity Act 2005</w:t>
            </w:r>
            <w:r w:rsidR="00276A70" w:rsidRPr="00276A70">
              <w:rPr>
                <w:sz w:val="24"/>
                <w:szCs w:val="24"/>
              </w:rPr>
              <w:t xml:space="preserve"> states that people must be assumed to have capacity unless it is established that they lack it and that any decisions made on behalf of people should be made in their best interest and in a manner that is the least restrictive of their rights. Deprivation of Liberty Safeguards is an amendment made to the act in 2019 which protects people who lack capacity to consent to their care from harm (</w:t>
            </w:r>
            <w:r w:rsidR="00276A70" w:rsidRPr="00512361">
              <w:rPr>
                <w:i/>
                <w:iCs/>
                <w:sz w:val="24"/>
                <w:szCs w:val="24"/>
              </w:rPr>
              <w:t>Mental Capacity (Amendment) Act 2019</w:t>
            </w:r>
            <w:r w:rsidR="00276A70" w:rsidRPr="00276A70">
              <w:rPr>
                <w:sz w:val="24"/>
                <w:szCs w:val="24"/>
              </w:rPr>
              <w:t xml:space="preserve">. It is crucial that indicators of harm are considered whilst safeguarding adults, especially in consideration of the fact that adults can </w:t>
            </w:r>
            <w:r w:rsidR="00911C4E">
              <w:rPr>
                <w:sz w:val="24"/>
                <w:szCs w:val="24"/>
              </w:rPr>
              <w:t>make choice</w:t>
            </w:r>
            <w:r w:rsidR="00FE4BA0">
              <w:rPr>
                <w:sz w:val="24"/>
                <w:szCs w:val="24"/>
              </w:rPr>
              <w:t>s</w:t>
            </w:r>
            <w:r w:rsidR="00276A70" w:rsidRPr="00276A70">
              <w:rPr>
                <w:sz w:val="24"/>
                <w:szCs w:val="24"/>
              </w:rPr>
              <w:t>. Examples of indicators that should be considered are unexplained injuries, signs of malnutrition, and unexplained lack of money, which could be overlooked. Approaches to safeguarding should be person-centred and the adult at risk should have choice and control throughout the intervention in line with the</w:t>
            </w:r>
            <w:r w:rsidR="002745BE">
              <w:rPr>
                <w:sz w:val="24"/>
                <w:szCs w:val="24"/>
              </w:rPr>
              <w:t xml:space="preserve"> principles of the</w:t>
            </w:r>
            <w:r w:rsidR="00276A70" w:rsidRPr="00276A70">
              <w:rPr>
                <w:sz w:val="24"/>
                <w:szCs w:val="24"/>
              </w:rPr>
              <w:t xml:space="preserve"> </w:t>
            </w:r>
            <w:r w:rsidR="00276A70" w:rsidRPr="00512361">
              <w:rPr>
                <w:i/>
                <w:iCs/>
                <w:sz w:val="24"/>
                <w:szCs w:val="24"/>
              </w:rPr>
              <w:t>SSWBA</w:t>
            </w:r>
            <w:r w:rsidR="002745BE">
              <w:rPr>
                <w:sz w:val="24"/>
                <w:szCs w:val="24"/>
              </w:rPr>
              <w:t xml:space="preserve"> </w:t>
            </w:r>
            <w:r w:rsidR="00915F9D">
              <w:rPr>
                <w:sz w:val="24"/>
                <w:szCs w:val="24"/>
              </w:rPr>
              <w:t>(2014)</w:t>
            </w:r>
            <w:r w:rsidR="00AA65D2">
              <w:rPr>
                <w:sz w:val="24"/>
                <w:szCs w:val="24"/>
              </w:rPr>
              <w:t>.</w:t>
            </w:r>
          </w:p>
          <w:p w14:paraId="41346B04" w14:textId="77777777" w:rsidR="00276A70" w:rsidRDefault="00276A70" w:rsidP="00276A70">
            <w:pPr>
              <w:jc w:val="both"/>
              <w:rPr>
                <w:sz w:val="24"/>
                <w:szCs w:val="24"/>
              </w:rPr>
            </w:pPr>
          </w:p>
          <w:p w14:paraId="03BD6D93" w14:textId="17994356" w:rsidR="00276A70" w:rsidRPr="002931A3" w:rsidRDefault="00276A70" w:rsidP="00276A70">
            <w:pPr>
              <w:jc w:val="both"/>
              <w:rPr>
                <w:sz w:val="24"/>
                <w:szCs w:val="24"/>
              </w:rPr>
            </w:pPr>
            <w:r>
              <w:rPr>
                <w:sz w:val="24"/>
                <w:szCs w:val="24"/>
              </w:rPr>
              <w:t>(5</w:t>
            </w:r>
            <w:r w:rsidR="004A446A">
              <w:rPr>
                <w:sz w:val="24"/>
                <w:szCs w:val="24"/>
              </w:rPr>
              <w:t>49</w:t>
            </w:r>
            <w:r>
              <w:rPr>
                <w:sz w:val="24"/>
                <w:szCs w:val="24"/>
              </w:rPr>
              <w:t xml:space="preserve"> words)</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02649536"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C715E7">
              <w:rPr>
                <w:sz w:val="24"/>
                <w:szCs w:val="24"/>
              </w:rPr>
              <w:t>.</w:t>
            </w:r>
          </w:p>
          <w:p w14:paraId="4CABE426" w14:textId="54E327F5" w:rsidR="00FC0334" w:rsidRDefault="00890B27"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965AE24" w14:textId="77777777" w:rsidR="00890B27" w:rsidRDefault="00890B27" w:rsidP="00FC0334">
            <w:pPr>
              <w:jc w:val="both"/>
              <w:rPr>
                <w:sz w:val="24"/>
                <w:szCs w:val="24"/>
              </w:rPr>
            </w:pPr>
          </w:p>
          <w:p w14:paraId="3F3A75DA" w14:textId="7CE2AD1F" w:rsidR="000C2EEB" w:rsidRDefault="005057B3" w:rsidP="00DA5713">
            <w:pPr>
              <w:jc w:val="both"/>
              <w:rPr>
                <w:sz w:val="24"/>
                <w:szCs w:val="24"/>
              </w:rPr>
            </w:pPr>
            <w:r>
              <w:rPr>
                <w:sz w:val="24"/>
                <w:szCs w:val="24"/>
              </w:rPr>
              <w:t>Section 130 of</w:t>
            </w:r>
            <w:r w:rsidR="00DA5713" w:rsidRPr="00DA5713">
              <w:rPr>
                <w:sz w:val="24"/>
                <w:szCs w:val="24"/>
              </w:rPr>
              <w:t xml:space="preserve"> </w:t>
            </w:r>
            <w:r w:rsidR="00284B10">
              <w:rPr>
                <w:sz w:val="24"/>
                <w:szCs w:val="24"/>
              </w:rPr>
              <w:t xml:space="preserve">the </w:t>
            </w:r>
            <w:r w:rsidR="00DA5713" w:rsidRPr="006C0FB1">
              <w:rPr>
                <w:i/>
                <w:iCs/>
                <w:sz w:val="24"/>
                <w:szCs w:val="24"/>
              </w:rPr>
              <w:t>Social Services and Well-being (Wales) Act 2014</w:t>
            </w:r>
            <w:r w:rsidR="00DA5713" w:rsidRPr="00DA5713">
              <w:rPr>
                <w:sz w:val="24"/>
                <w:szCs w:val="24"/>
              </w:rPr>
              <w:t xml:space="preserve"> </w:t>
            </w:r>
            <w:r>
              <w:rPr>
                <w:sz w:val="24"/>
                <w:szCs w:val="24"/>
              </w:rPr>
              <w:t xml:space="preserve">(SSWBA) </w:t>
            </w:r>
            <w:r w:rsidR="00DA5713" w:rsidRPr="00DA5713">
              <w:rPr>
                <w:sz w:val="24"/>
                <w:szCs w:val="24"/>
              </w:rPr>
              <w:t>defines a ‘child at risk’ as a child who is experiencing or is at risk of abuse, neglect, or other kinds of harm. Per</w:t>
            </w:r>
            <w:r w:rsidR="00AC3C14">
              <w:rPr>
                <w:sz w:val="24"/>
                <w:szCs w:val="24"/>
              </w:rPr>
              <w:t xml:space="preserve"> section 47 of</w:t>
            </w:r>
            <w:r w:rsidR="00DA5713" w:rsidRPr="00DA5713">
              <w:rPr>
                <w:sz w:val="24"/>
                <w:szCs w:val="24"/>
              </w:rPr>
              <w:t xml:space="preserve"> the </w:t>
            </w:r>
            <w:r w:rsidR="00DA5713" w:rsidRPr="006C0FB1">
              <w:rPr>
                <w:i/>
                <w:iCs/>
                <w:sz w:val="24"/>
                <w:szCs w:val="24"/>
              </w:rPr>
              <w:t>Children Act 1989,</w:t>
            </w:r>
            <w:r w:rsidR="00DA5713" w:rsidRPr="00DA5713">
              <w:rPr>
                <w:sz w:val="24"/>
                <w:szCs w:val="24"/>
              </w:rPr>
              <w:t xml:space="preserve"> Local Authorities have a duty to make safeguarding enquiries if they have reasonable cause to suspect that a child is suffering, or is likely to suffer, significant harm</w:t>
            </w:r>
            <w:r w:rsidR="00DF2A2D">
              <w:rPr>
                <w:sz w:val="24"/>
                <w:szCs w:val="24"/>
              </w:rPr>
              <w:t>, with</w:t>
            </w:r>
            <w:r w:rsidR="00DA5713" w:rsidRPr="00DA5713">
              <w:rPr>
                <w:sz w:val="24"/>
                <w:szCs w:val="24"/>
              </w:rPr>
              <w:t xml:space="preserve"> </w:t>
            </w:r>
            <w:r w:rsidR="00DF2A2D">
              <w:rPr>
                <w:sz w:val="24"/>
                <w:szCs w:val="24"/>
              </w:rPr>
              <w:t>ha</w:t>
            </w:r>
            <w:r w:rsidR="00DA5713" w:rsidRPr="00DA5713">
              <w:rPr>
                <w:sz w:val="24"/>
                <w:szCs w:val="24"/>
              </w:rPr>
              <w:t>rm defined as the “ill-treatment of the impairment of health or development”</w:t>
            </w:r>
            <w:r w:rsidR="000C2EEB">
              <w:rPr>
                <w:sz w:val="24"/>
                <w:szCs w:val="24"/>
              </w:rPr>
              <w:t xml:space="preserve"> or witnessing it</w:t>
            </w:r>
            <w:r w:rsidR="00DA5713" w:rsidRPr="00DA5713">
              <w:rPr>
                <w:sz w:val="24"/>
                <w:szCs w:val="24"/>
              </w:rPr>
              <w:t>. The threshold for intervention is therefore clear in children’s services, with Collins (2010) stating that it is more easily determined in comparison to adult services given the “vulnerability of the child, their capacity to consent, and the duty of care owed to them”</w:t>
            </w:r>
            <w:r w:rsidR="00344A60">
              <w:rPr>
                <w:sz w:val="24"/>
                <w:szCs w:val="24"/>
              </w:rPr>
              <w:t>.</w:t>
            </w:r>
          </w:p>
          <w:p w14:paraId="4F11EA88" w14:textId="77777777" w:rsidR="00DA5713" w:rsidRPr="00DA5713" w:rsidRDefault="00DA5713" w:rsidP="00DA5713">
            <w:pPr>
              <w:jc w:val="both"/>
              <w:rPr>
                <w:sz w:val="24"/>
                <w:szCs w:val="24"/>
              </w:rPr>
            </w:pPr>
          </w:p>
          <w:p w14:paraId="6AF7D2CD" w14:textId="7E983F0A" w:rsidR="00141796" w:rsidRPr="00326588" w:rsidRDefault="00DA5713" w:rsidP="00890B27">
            <w:pPr>
              <w:jc w:val="both"/>
              <w:rPr>
                <w:sz w:val="24"/>
                <w:szCs w:val="24"/>
              </w:rPr>
            </w:pPr>
            <w:r w:rsidRPr="00DA5713">
              <w:rPr>
                <w:sz w:val="24"/>
                <w:szCs w:val="24"/>
              </w:rPr>
              <w:t>Similarly,</w:t>
            </w:r>
            <w:r w:rsidR="009B7976">
              <w:rPr>
                <w:sz w:val="24"/>
                <w:szCs w:val="24"/>
              </w:rPr>
              <w:t xml:space="preserve"> section 126 of</w:t>
            </w:r>
            <w:r w:rsidRPr="00DA5713">
              <w:rPr>
                <w:sz w:val="24"/>
                <w:szCs w:val="24"/>
              </w:rPr>
              <w:t xml:space="preserve"> </w:t>
            </w:r>
            <w:r w:rsidR="005057B3">
              <w:rPr>
                <w:sz w:val="24"/>
                <w:szCs w:val="24"/>
              </w:rPr>
              <w:t xml:space="preserve">the </w:t>
            </w:r>
            <w:r w:rsidR="005057B3">
              <w:rPr>
                <w:i/>
                <w:iCs/>
                <w:sz w:val="24"/>
                <w:szCs w:val="24"/>
              </w:rPr>
              <w:t>SSWBA</w:t>
            </w:r>
            <w:r w:rsidR="00284B10">
              <w:rPr>
                <w:sz w:val="24"/>
                <w:szCs w:val="24"/>
              </w:rPr>
              <w:t xml:space="preserve"> (2014)</w:t>
            </w:r>
            <w:r w:rsidRPr="00DA5713">
              <w:rPr>
                <w:sz w:val="24"/>
                <w:szCs w:val="24"/>
              </w:rPr>
              <w:t xml:space="preserve"> states that Local Authorities must make enquiries to decide whether any actions should be taken if adults at risk of abuse or neglect are identified, however thresholds for safeguarding adults are unclear. </w:t>
            </w:r>
            <w:r w:rsidR="00607F7D">
              <w:rPr>
                <w:sz w:val="24"/>
                <w:szCs w:val="24"/>
              </w:rPr>
              <w:t>Section 1 of t</w:t>
            </w:r>
            <w:r w:rsidRPr="00DA5713">
              <w:rPr>
                <w:sz w:val="24"/>
                <w:szCs w:val="24"/>
              </w:rPr>
              <w:t xml:space="preserve">he </w:t>
            </w:r>
            <w:r w:rsidRPr="00571F18">
              <w:rPr>
                <w:i/>
                <w:iCs/>
                <w:sz w:val="24"/>
                <w:szCs w:val="24"/>
              </w:rPr>
              <w:t xml:space="preserve">Mental Capacity Act (2005) </w:t>
            </w:r>
            <w:r w:rsidRPr="00DA5713">
              <w:rPr>
                <w:sz w:val="24"/>
                <w:szCs w:val="24"/>
              </w:rPr>
              <w:t xml:space="preserve">states that people must be assumed to have capacity unless it is established that they do not have capacity, and that they should not be treated as unable to make a decision merely because they make an unwise decision. Although the abuse or neglect may be constituted as a crime, the main difference highlighted between safeguarding in adults’ and children’s work is that adults can </w:t>
            </w:r>
            <w:r w:rsidR="00453223">
              <w:rPr>
                <w:sz w:val="24"/>
                <w:szCs w:val="24"/>
              </w:rPr>
              <w:t>make choices and therefore decide</w:t>
            </w:r>
            <w:r w:rsidRPr="00DA5713">
              <w:rPr>
                <w:sz w:val="24"/>
                <w:szCs w:val="24"/>
              </w:rPr>
              <w:t xml:space="preserve"> not to pursue persecution. This is a right that is protected by Article 8 of the </w:t>
            </w:r>
            <w:r w:rsidRPr="00571F18">
              <w:rPr>
                <w:i/>
                <w:iCs/>
                <w:sz w:val="24"/>
                <w:szCs w:val="24"/>
              </w:rPr>
              <w:t>Human Rights Act (1998)</w:t>
            </w:r>
            <w:r w:rsidRPr="00DA5713">
              <w:rPr>
                <w:sz w:val="24"/>
                <w:szCs w:val="24"/>
              </w:rPr>
              <w:t xml:space="preserve">, which states that “everyone has the right to respect for his private and family life, his home and his correspondence”, and that there shall be no interference by a public authority in regard to this unless it is necessary for the protection and the rights and freedoms of others. Legislation to </w:t>
            </w:r>
            <w:r w:rsidRPr="00DA5713">
              <w:rPr>
                <w:sz w:val="24"/>
                <w:szCs w:val="24"/>
              </w:rPr>
              <w:lastRenderedPageBreak/>
              <w:t xml:space="preserve">protect children has been in place since 1889 in the United Kingdom and Ireland with the </w:t>
            </w:r>
            <w:r w:rsidRPr="00571F18">
              <w:rPr>
                <w:i/>
                <w:iCs/>
                <w:sz w:val="24"/>
                <w:szCs w:val="24"/>
              </w:rPr>
              <w:t>Prevention of Cruelty to, and Protection of, Children Act, 1889</w:t>
            </w:r>
            <w:r w:rsidRPr="00DA5713">
              <w:rPr>
                <w:sz w:val="24"/>
                <w:szCs w:val="24"/>
              </w:rPr>
              <w:t xml:space="preserve"> allowing the state to intervene in cases where children had been experienced unnecessary suffering. In contrast, safeguarding functions in regard to adults have largely been carried out by local authorities (Mandelstam</w:t>
            </w:r>
            <w:r w:rsidR="00E75EE2">
              <w:rPr>
                <w:sz w:val="24"/>
                <w:szCs w:val="24"/>
              </w:rPr>
              <w:t>,</w:t>
            </w:r>
            <w:r w:rsidRPr="00DA5713">
              <w:rPr>
                <w:sz w:val="24"/>
                <w:szCs w:val="24"/>
              </w:rPr>
              <w:t xml:space="preserve"> 2013). </w:t>
            </w:r>
            <w:r w:rsidR="00B702C5">
              <w:rPr>
                <w:sz w:val="24"/>
                <w:szCs w:val="24"/>
              </w:rPr>
              <w:t xml:space="preserve">A </w:t>
            </w:r>
            <w:r w:rsidRPr="00DA5713">
              <w:rPr>
                <w:sz w:val="24"/>
                <w:szCs w:val="24"/>
              </w:rPr>
              <w:t xml:space="preserve">child could be assessed to be Gillick competent and therefore able to make decisions about their care, </w:t>
            </w:r>
            <w:r w:rsidR="00141796">
              <w:rPr>
                <w:sz w:val="24"/>
                <w:szCs w:val="24"/>
              </w:rPr>
              <w:t xml:space="preserve">however </w:t>
            </w:r>
            <w:r w:rsidR="00FA63E7">
              <w:rPr>
                <w:sz w:val="24"/>
                <w:szCs w:val="24"/>
              </w:rPr>
              <w:t xml:space="preserve">any child protection concerns will be shared with relevant agencies in line with </w:t>
            </w:r>
            <w:r w:rsidR="00FA63E7">
              <w:rPr>
                <w:i/>
                <w:iCs/>
                <w:sz w:val="24"/>
                <w:szCs w:val="24"/>
              </w:rPr>
              <w:t>Wales Safeguarding Procedures</w:t>
            </w:r>
            <w:r w:rsidR="00326588">
              <w:rPr>
                <w:sz w:val="24"/>
                <w:szCs w:val="24"/>
              </w:rPr>
              <w:t xml:space="preserve"> which places a duty on agencies to report as the child’s safety is paramount</w:t>
            </w:r>
            <w:r w:rsidR="00EA1FE2">
              <w:rPr>
                <w:sz w:val="24"/>
                <w:szCs w:val="24"/>
              </w:rPr>
              <w:t xml:space="preserve"> (Social Care Wales, 2025</w:t>
            </w:r>
            <w:r w:rsidR="0065222E">
              <w:rPr>
                <w:sz w:val="24"/>
                <w:szCs w:val="24"/>
              </w:rPr>
              <w:t>k</w:t>
            </w:r>
            <w:r w:rsidR="00EA1FE2">
              <w:rPr>
                <w:sz w:val="24"/>
                <w:szCs w:val="24"/>
              </w:rPr>
              <w:t>).</w:t>
            </w:r>
          </w:p>
          <w:p w14:paraId="6C055291" w14:textId="77777777" w:rsidR="00A77D46" w:rsidRDefault="00A77D46" w:rsidP="00FC0334">
            <w:pPr>
              <w:jc w:val="both"/>
              <w:rPr>
                <w:sz w:val="24"/>
                <w:szCs w:val="24"/>
              </w:rPr>
            </w:pPr>
          </w:p>
          <w:p w14:paraId="08760B3D" w14:textId="4CA3EF8D" w:rsidR="00FC0334" w:rsidRPr="006108C9" w:rsidRDefault="00890B27" w:rsidP="00890B27">
            <w:pPr>
              <w:jc w:val="both"/>
              <w:rPr>
                <w:sz w:val="24"/>
                <w:szCs w:val="24"/>
              </w:rPr>
            </w:pPr>
            <w:r>
              <w:rPr>
                <w:sz w:val="24"/>
                <w:szCs w:val="24"/>
              </w:rPr>
              <w:t>(4</w:t>
            </w:r>
            <w:r w:rsidR="00B46408">
              <w:rPr>
                <w:sz w:val="24"/>
                <w:szCs w:val="24"/>
              </w:rPr>
              <w:t>2</w:t>
            </w:r>
            <w:r w:rsidR="00284B10">
              <w:rPr>
                <w:sz w:val="24"/>
                <w:szCs w:val="24"/>
              </w:rPr>
              <w:t>9</w:t>
            </w:r>
            <w:r>
              <w:rPr>
                <w:sz w:val="24"/>
                <w:szCs w:val="24"/>
              </w:rPr>
              <w:t xml:space="preserve"> words)</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131FF" w14:textId="77777777" w:rsidR="004E4F8F" w:rsidRDefault="004E4F8F">
      <w:r>
        <w:separator/>
      </w:r>
    </w:p>
  </w:endnote>
  <w:endnote w:type="continuationSeparator" w:id="0">
    <w:p w14:paraId="4749E46E" w14:textId="77777777" w:rsidR="004E4F8F" w:rsidRDefault="004E4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67ABF" w14:textId="77777777" w:rsidR="004E4F8F" w:rsidRDefault="004E4F8F">
      <w:r>
        <w:separator/>
      </w:r>
    </w:p>
  </w:footnote>
  <w:footnote w:type="continuationSeparator" w:id="0">
    <w:p w14:paraId="26C9AA8A" w14:textId="77777777" w:rsidR="004E4F8F" w:rsidRDefault="004E4F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F11B3E"/>
    <w:multiLevelType w:val="hybridMultilevel"/>
    <w:tmpl w:val="9EDA993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3"/>
  </w:num>
  <w:num w:numId="54" w16cid:durableId="9757941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C0B"/>
    <w:rsid w:val="00011F6E"/>
    <w:rsid w:val="00012B16"/>
    <w:rsid w:val="00020EEC"/>
    <w:rsid w:val="0002182F"/>
    <w:rsid w:val="0002440E"/>
    <w:rsid w:val="0002759A"/>
    <w:rsid w:val="00027B1F"/>
    <w:rsid w:val="0003088B"/>
    <w:rsid w:val="000325D9"/>
    <w:rsid w:val="000372B2"/>
    <w:rsid w:val="0004079F"/>
    <w:rsid w:val="00043543"/>
    <w:rsid w:val="00045B87"/>
    <w:rsid w:val="00045C07"/>
    <w:rsid w:val="00045C40"/>
    <w:rsid w:val="00046861"/>
    <w:rsid w:val="000531D2"/>
    <w:rsid w:val="00054A07"/>
    <w:rsid w:val="00055D43"/>
    <w:rsid w:val="00056FAC"/>
    <w:rsid w:val="00057751"/>
    <w:rsid w:val="000608DD"/>
    <w:rsid w:val="00062E39"/>
    <w:rsid w:val="00064063"/>
    <w:rsid w:val="0006581A"/>
    <w:rsid w:val="00073BFA"/>
    <w:rsid w:val="00074461"/>
    <w:rsid w:val="000749EA"/>
    <w:rsid w:val="000766EC"/>
    <w:rsid w:val="00076790"/>
    <w:rsid w:val="00080E58"/>
    <w:rsid w:val="00083D99"/>
    <w:rsid w:val="0008442E"/>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1EF"/>
    <w:rsid w:val="000C2EEB"/>
    <w:rsid w:val="000C378F"/>
    <w:rsid w:val="000C6892"/>
    <w:rsid w:val="000C6FFE"/>
    <w:rsid w:val="000D0BB6"/>
    <w:rsid w:val="000D2ED2"/>
    <w:rsid w:val="000D5C07"/>
    <w:rsid w:val="000D6653"/>
    <w:rsid w:val="000E0D51"/>
    <w:rsid w:val="000E26B0"/>
    <w:rsid w:val="000E37C2"/>
    <w:rsid w:val="000E38C3"/>
    <w:rsid w:val="000E5755"/>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1796"/>
    <w:rsid w:val="00142566"/>
    <w:rsid w:val="001447F6"/>
    <w:rsid w:val="00147DE3"/>
    <w:rsid w:val="00150794"/>
    <w:rsid w:val="00151DA6"/>
    <w:rsid w:val="001608C4"/>
    <w:rsid w:val="00164832"/>
    <w:rsid w:val="00171418"/>
    <w:rsid w:val="001772BF"/>
    <w:rsid w:val="001772DE"/>
    <w:rsid w:val="0019496C"/>
    <w:rsid w:val="001958B9"/>
    <w:rsid w:val="001961CF"/>
    <w:rsid w:val="001A59BB"/>
    <w:rsid w:val="001A607E"/>
    <w:rsid w:val="001A6A51"/>
    <w:rsid w:val="001A79C4"/>
    <w:rsid w:val="001B0DF3"/>
    <w:rsid w:val="001B0F60"/>
    <w:rsid w:val="001B331A"/>
    <w:rsid w:val="001B5504"/>
    <w:rsid w:val="001C0237"/>
    <w:rsid w:val="001C0E74"/>
    <w:rsid w:val="001C4DB8"/>
    <w:rsid w:val="001C50B8"/>
    <w:rsid w:val="001D229F"/>
    <w:rsid w:val="001E0B90"/>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4B3"/>
    <w:rsid w:val="00247265"/>
    <w:rsid w:val="00260663"/>
    <w:rsid w:val="002657E9"/>
    <w:rsid w:val="0026665E"/>
    <w:rsid w:val="0027147E"/>
    <w:rsid w:val="002745BE"/>
    <w:rsid w:val="00274EB3"/>
    <w:rsid w:val="002761F4"/>
    <w:rsid w:val="00276A70"/>
    <w:rsid w:val="002775E1"/>
    <w:rsid w:val="00277979"/>
    <w:rsid w:val="00284B10"/>
    <w:rsid w:val="002906C5"/>
    <w:rsid w:val="00291ADD"/>
    <w:rsid w:val="002920DF"/>
    <w:rsid w:val="00292F3D"/>
    <w:rsid w:val="002931A3"/>
    <w:rsid w:val="00295CA1"/>
    <w:rsid w:val="002A0E51"/>
    <w:rsid w:val="002A1A44"/>
    <w:rsid w:val="002A291A"/>
    <w:rsid w:val="002A2C54"/>
    <w:rsid w:val="002A4E2E"/>
    <w:rsid w:val="002A5604"/>
    <w:rsid w:val="002A7291"/>
    <w:rsid w:val="002B0BD4"/>
    <w:rsid w:val="002B10B2"/>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A41"/>
    <w:rsid w:val="002F4F6E"/>
    <w:rsid w:val="003015C3"/>
    <w:rsid w:val="003106DB"/>
    <w:rsid w:val="0031350A"/>
    <w:rsid w:val="00316815"/>
    <w:rsid w:val="003168CA"/>
    <w:rsid w:val="00321255"/>
    <w:rsid w:val="00321976"/>
    <w:rsid w:val="0032230D"/>
    <w:rsid w:val="00322A0B"/>
    <w:rsid w:val="00326588"/>
    <w:rsid w:val="00330881"/>
    <w:rsid w:val="00331CD2"/>
    <w:rsid w:val="00332426"/>
    <w:rsid w:val="00335C41"/>
    <w:rsid w:val="00335FC5"/>
    <w:rsid w:val="0033771E"/>
    <w:rsid w:val="00337FEF"/>
    <w:rsid w:val="00344A60"/>
    <w:rsid w:val="00354B6D"/>
    <w:rsid w:val="00355210"/>
    <w:rsid w:val="00355CFD"/>
    <w:rsid w:val="00365DF9"/>
    <w:rsid w:val="0037066E"/>
    <w:rsid w:val="00372DB4"/>
    <w:rsid w:val="00373A36"/>
    <w:rsid w:val="0037419E"/>
    <w:rsid w:val="00375AF5"/>
    <w:rsid w:val="003761BD"/>
    <w:rsid w:val="00377448"/>
    <w:rsid w:val="00377884"/>
    <w:rsid w:val="003813EE"/>
    <w:rsid w:val="003826BD"/>
    <w:rsid w:val="00385414"/>
    <w:rsid w:val="003869A6"/>
    <w:rsid w:val="00390074"/>
    <w:rsid w:val="00392F73"/>
    <w:rsid w:val="00393600"/>
    <w:rsid w:val="0039762B"/>
    <w:rsid w:val="003A0C37"/>
    <w:rsid w:val="003A1B6B"/>
    <w:rsid w:val="003A46C0"/>
    <w:rsid w:val="003A600E"/>
    <w:rsid w:val="003A6513"/>
    <w:rsid w:val="003B16C7"/>
    <w:rsid w:val="003B3115"/>
    <w:rsid w:val="003B7E47"/>
    <w:rsid w:val="003C19F1"/>
    <w:rsid w:val="003C28BA"/>
    <w:rsid w:val="003C3C67"/>
    <w:rsid w:val="003C4186"/>
    <w:rsid w:val="003C6185"/>
    <w:rsid w:val="003D0D2D"/>
    <w:rsid w:val="003D1885"/>
    <w:rsid w:val="003D1BC0"/>
    <w:rsid w:val="003D20F1"/>
    <w:rsid w:val="003D4710"/>
    <w:rsid w:val="003D6367"/>
    <w:rsid w:val="003E16D7"/>
    <w:rsid w:val="003E197E"/>
    <w:rsid w:val="003E4B70"/>
    <w:rsid w:val="003E50B7"/>
    <w:rsid w:val="003E54CF"/>
    <w:rsid w:val="003E5FBA"/>
    <w:rsid w:val="003F1233"/>
    <w:rsid w:val="003F67A4"/>
    <w:rsid w:val="00400786"/>
    <w:rsid w:val="00401FDA"/>
    <w:rsid w:val="004046F0"/>
    <w:rsid w:val="0040668F"/>
    <w:rsid w:val="00411EF7"/>
    <w:rsid w:val="00412677"/>
    <w:rsid w:val="00425160"/>
    <w:rsid w:val="00430DE3"/>
    <w:rsid w:val="004348AE"/>
    <w:rsid w:val="00436920"/>
    <w:rsid w:val="004376C0"/>
    <w:rsid w:val="0044223A"/>
    <w:rsid w:val="00450B67"/>
    <w:rsid w:val="00451851"/>
    <w:rsid w:val="0045189A"/>
    <w:rsid w:val="00453223"/>
    <w:rsid w:val="00453343"/>
    <w:rsid w:val="004538C3"/>
    <w:rsid w:val="0045426B"/>
    <w:rsid w:val="00455942"/>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3F59"/>
    <w:rsid w:val="004968E2"/>
    <w:rsid w:val="004A2A49"/>
    <w:rsid w:val="004A446A"/>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F8F"/>
    <w:rsid w:val="004E7B8B"/>
    <w:rsid w:val="004E7BDD"/>
    <w:rsid w:val="004F1966"/>
    <w:rsid w:val="004F1E21"/>
    <w:rsid w:val="004F2542"/>
    <w:rsid w:val="004F4E33"/>
    <w:rsid w:val="004F740D"/>
    <w:rsid w:val="004F7B8F"/>
    <w:rsid w:val="00500748"/>
    <w:rsid w:val="005011D6"/>
    <w:rsid w:val="00502244"/>
    <w:rsid w:val="00502A14"/>
    <w:rsid w:val="005042F1"/>
    <w:rsid w:val="0050481B"/>
    <w:rsid w:val="005057B3"/>
    <w:rsid w:val="005113D4"/>
    <w:rsid w:val="00512361"/>
    <w:rsid w:val="0051287D"/>
    <w:rsid w:val="00513C7D"/>
    <w:rsid w:val="00516162"/>
    <w:rsid w:val="00521123"/>
    <w:rsid w:val="00521221"/>
    <w:rsid w:val="0052250B"/>
    <w:rsid w:val="005305C6"/>
    <w:rsid w:val="00540EEC"/>
    <w:rsid w:val="005414F4"/>
    <w:rsid w:val="00546187"/>
    <w:rsid w:val="00547B11"/>
    <w:rsid w:val="00557D77"/>
    <w:rsid w:val="00562EAA"/>
    <w:rsid w:val="00563B58"/>
    <w:rsid w:val="005640C4"/>
    <w:rsid w:val="0056684C"/>
    <w:rsid w:val="00570F3F"/>
    <w:rsid w:val="00571F18"/>
    <w:rsid w:val="00574A0C"/>
    <w:rsid w:val="005759E1"/>
    <w:rsid w:val="0057780F"/>
    <w:rsid w:val="00581E0A"/>
    <w:rsid w:val="00586D89"/>
    <w:rsid w:val="005877C8"/>
    <w:rsid w:val="00587923"/>
    <w:rsid w:val="00594F9F"/>
    <w:rsid w:val="005A1B4C"/>
    <w:rsid w:val="005A545C"/>
    <w:rsid w:val="005B271A"/>
    <w:rsid w:val="005B3A2D"/>
    <w:rsid w:val="005B56FB"/>
    <w:rsid w:val="005C0698"/>
    <w:rsid w:val="005C1567"/>
    <w:rsid w:val="005C23DA"/>
    <w:rsid w:val="005C28D3"/>
    <w:rsid w:val="005C6CE5"/>
    <w:rsid w:val="005C7950"/>
    <w:rsid w:val="005D3F07"/>
    <w:rsid w:val="005D4A1E"/>
    <w:rsid w:val="005D4F72"/>
    <w:rsid w:val="005E13EA"/>
    <w:rsid w:val="005E17F1"/>
    <w:rsid w:val="005E6B1B"/>
    <w:rsid w:val="005F64AA"/>
    <w:rsid w:val="005F7851"/>
    <w:rsid w:val="00606E27"/>
    <w:rsid w:val="00607F7D"/>
    <w:rsid w:val="006108C9"/>
    <w:rsid w:val="00614DF7"/>
    <w:rsid w:val="00616C3F"/>
    <w:rsid w:val="006179BB"/>
    <w:rsid w:val="0062158D"/>
    <w:rsid w:val="006223FD"/>
    <w:rsid w:val="006326D1"/>
    <w:rsid w:val="00632E0A"/>
    <w:rsid w:val="00633165"/>
    <w:rsid w:val="006411E2"/>
    <w:rsid w:val="006447DE"/>
    <w:rsid w:val="00644889"/>
    <w:rsid w:val="0065222E"/>
    <w:rsid w:val="0065276E"/>
    <w:rsid w:val="00654329"/>
    <w:rsid w:val="00654CEC"/>
    <w:rsid w:val="00655507"/>
    <w:rsid w:val="006579FD"/>
    <w:rsid w:val="006635E3"/>
    <w:rsid w:val="00665175"/>
    <w:rsid w:val="006669F3"/>
    <w:rsid w:val="006712A7"/>
    <w:rsid w:val="00672CED"/>
    <w:rsid w:val="00674FC2"/>
    <w:rsid w:val="00676024"/>
    <w:rsid w:val="00676E35"/>
    <w:rsid w:val="00677E42"/>
    <w:rsid w:val="00682334"/>
    <w:rsid w:val="00684732"/>
    <w:rsid w:val="00684B16"/>
    <w:rsid w:val="00687016"/>
    <w:rsid w:val="006872A0"/>
    <w:rsid w:val="00691CBE"/>
    <w:rsid w:val="0069625A"/>
    <w:rsid w:val="00696A88"/>
    <w:rsid w:val="00696F65"/>
    <w:rsid w:val="00697572"/>
    <w:rsid w:val="006B4496"/>
    <w:rsid w:val="006B5E67"/>
    <w:rsid w:val="006B6298"/>
    <w:rsid w:val="006B6612"/>
    <w:rsid w:val="006B7F11"/>
    <w:rsid w:val="006C0FB1"/>
    <w:rsid w:val="006C2EB5"/>
    <w:rsid w:val="006D18A3"/>
    <w:rsid w:val="006D5970"/>
    <w:rsid w:val="006E31F9"/>
    <w:rsid w:val="006E481E"/>
    <w:rsid w:val="006E795F"/>
    <w:rsid w:val="006F0862"/>
    <w:rsid w:val="006F1438"/>
    <w:rsid w:val="006F2A9E"/>
    <w:rsid w:val="006F5ED3"/>
    <w:rsid w:val="00700249"/>
    <w:rsid w:val="007069CD"/>
    <w:rsid w:val="00706BB5"/>
    <w:rsid w:val="0071231A"/>
    <w:rsid w:val="00712E90"/>
    <w:rsid w:val="00713B7E"/>
    <w:rsid w:val="007219BF"/>
    <w:rsid w:val="0072678F"/>
    <w:rsid w:val="00726A3B"/>
    <w:rsid w:val="0072757E"/>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4D0"/>
    <w:rsid w:val="00764C84"/>
    <w:rsid w:val="00764E5C"/>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CD8"/>
    <w:rsid w:val="007D3EB4"/>
    <w:rsid w:val="007D3F16"/>
    <w:rsid w:val="007F10BD"/>
    <w:rsid w:val="007F312E"/>
    <w:rsid w:val="007F3F7E"/>
    <w:rsid w:val="007F4BA4"/>
    <w:rsid w:val="0081270A"/>
    <w:rsid w:val="00812D0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919"/>
    <w:rsid w:val="00846D84"/>
    <w:rsid w:val="00850233"/>
    <w:rsid w:val="0085230E"/>
    <w:rsid w:val="008550A1"/>
    <w:rsid w:val="00861038"/>
    <w:rsid w:val="00865B58"/>
    <w:rsid w:val="00866B50"/>
    <w:rsid w:val="00867A63"/>
    <w:rsid w:val="008708F1"/>
    <w:rsid w:val="00871960"/>
    <w:rsid w:val="0087369F"/>
    <w:rsid w:val="00874806"/>
    <w:rsid w:val="00880539"/>
    <w:rsid w:val="008859E8"/>
    <w:rsid w:val="0088737B"/>
    <w:rsid w:val="00890B27"/>
    <w:rsid w:val="00890C7E"/>
    <w:rsid w:val="00891078"/>
    <w:rsid w:val="00892716"/>
    <w:rsid w:val="00893067"/>
    <w:rsid w:val="008933DE"/>
    <w:rsid w:val="00893BD2"/>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AF3"/>
    <w:rsid w:val="008F127E"/>
    <w:rsid w:val="008F32D9"/>
    <w:rsid w:val="00902A65"/>
    <w:rsid w:val="00903932"/>
    <w:rsid w:val="00904378"/>
    <w:rsid w:val="009079BD"/>
    <w:rsid w:val="00911C4E"/>
    <w:rsid w:val="00912BD9"/>
    <w:rsid w:val="00915F9D"/>
    <w:rsid w:val="00916FB2"/>
    <w:rsid w:val="00920E5B"/>
    <w:rsid w:val="00925A1B"/>
    <w:rsid w:val="00926436"/>
    <w:rsid w:val="00926C53"/>
    <w:rsid w:val="0093018C"/>
    <w:rsid w:val="009341CA"/>
    <w:rsid w:val="0094495F"/>
    <w:rsid w:val="009544C0"/>
    <w:rsid w:val="00954FA4"/>
    <w:rsid w:val="00956AE9"/>
    <w:rsid w:val="00962E99"/>
    <w:rsid w:val="00964CC6"/>
    <w:rsid w:val="0096795F"/>
    <w:rsid w:val="00967BFA"/>
    <w:rsid w:val="009813DC"/>
    <w:rsid w:val="0098262C"/>
    <w:rsid w:val="0098427C"/>
    <w:rsid w:val="00986B43"/>
    <w:rsid w:val="00986C0B"/>
    <w:rsid w:val="00986D46"/>
    <w:rsid w:val="00991FDA"/>
    <w:rsid w:val="00992ACA"/>
    <w:rsid w:val="009A1AEC"/>
    <w:rsid w:val="009A41CF"/>
    <w:rsid w:val="009A5F3B"/>
    <w:rsid w:val="009A5F79"/>
    <w:rsid w:val="009A6DB4"/>
    <w:rsid w:val="009A6F87"/>
    <w:rsid w:val="009B0B61"/>
    <w:rsid w:val="009B12D4"/>
    <w:rsid w:val="009B28C0"/>
    <w:rsid w:val="009B3178"/>
    <w:rsid w:val="009B3E46"/>
    <w:rsid w:val="009B4D77"/>
    <w:rsid w:val="009B7136"/>
    <w:rsid w:val="009B7976"/>
    <w:rsid w:val="009C337F"/>
    <w:rsid w:val="009C53E7"/>
    <w:rsid w:val="009C6092"/>
    <w:rsid w:val="009C7342"/>
    <w:rsid w:val="009D0BBD"/>
    <w:rsid w:val="009D4365"/>
    <w:rsid w:val="009D477B"/>
    <w:rsid w:val="009D4E3B"/>
    <w:rsid w:val="009D59C2"/>
    <w:rsid w:val="009D7BC9"/>
    <w:rsid w:val="009E122F"/>
    <w:rsid w:val="009E1982"/>
    <w:rsid w:val="009E2289"/>
    <w:rsid w:val="009E4D2C"/>
    <w:rsid w:val="009F0978"/>
    <w:rsid w:val="009F2601"/>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A05"/>
    <w:rsid w:val="00A37416"/>
    <w:rsid w:val="00A40ED6"/>
    <w:rsid w:val="00A418DE"/>
    <w:rsid w:val="00A47621"/>
    <w:rsid w:val="00A479CD"/>
    <w:rsid w:val="00A50CFC"/>
    <w:rsid w:val="00A54D67"/>
    <w:rsid w:val="00A55A3F"/>
    <w:rsid w:val="00A5656A"/>
    <w:rsid w:val="00A566FC"/>
    <w:rsid w:val="00A60103"/>
    <w:rsid w:val="00A652F6"/>
    <w:rsid w:val="00A65861"/>
    <w:rsid w:val="00A732EA"/>
    <w:rsid w:val="00A7489E"/>
    <w:rsid w:val="00A77D46"/>
    <w:rsid w:val="00A8015F"/>
    <w:rsid w:val="00A85039"/>
    <w:rsid w:val="00A906AA"/>
    <w:rsid w:val="00A94C5E"/>
    <w:rsid w:val="00AA252C"/>
    <w:rsid w:val="00AA65D2"/>
    <w:rsid w:val="00AA666E"/>
    <w:rsid w:val="00AA7960"/>
    <w:rsid w:val="00AB5518"/>
    <w:rsid w:val="00AB78F4"/>
    <w:rsid w:val="00AC3A0E"/>
    <w:rsid w:val="00AC3C14"/>
    <w:rsid w:val="00AC4A04"/>
    <w:rsid w:val="00AC4C41"/>
    <w:rsid w:val="00AC5679"/>
    <w:rsid w:val="00AD23D0"/>
    <w:rsid w:val="00AD336F"/>
    <w:rsid w:val="00AD685A"/>
    <w:rsid w:val="00AE134C"/>
    <w:rsid w:val="00AE1868"/>
    <w:rsid w:val="00AE2564"/>
    <w:rsid w:val="00AE301F"/>
    <w:rsid w:val="00AE3302"/>
    <w:rsid w:val="00AE333F"/>
    <w:rsid w:val="00AE5BA6"/>
    <w:rsid w:val="00AE6231"/>
    <w:rsid w:val="00AE7077"/>
    <w:rsid w:val="00AF04EC"/>
    <w:rsid w:val="00AF61C2"/>
    <w:rsid w:val="00AF6CC6"/>
    <w:rsid w:val="00AF7637"/>
    <w:rsid w:val="00AF771F"/>
    <w:rsid w:val="00B0296A"/>
    <w:rsid w:val="00B07E79"/>
    <w:rsid w:val="00B12295"/>
    <w:rsid w:val="00B13327"/>
    <w:rsid w:val="00B137BE"/>
    <w:rsid w:val="00B15998"/>
    <w:rsid w:val="00B17FA0"/>
    <w:rsid w:val="00B2292C"/>
    <w:rsid w:val="00B22C3C"/>
    <w:rsid w:val="00B24344"/>
    <w:rsid w:val="00B26769"/>
    <w:rsid w:val="00B2754B"/>
    <w:rsid w:val="00B31C91"/>
    <w:rsid w:val="00B3747F"/>
    <w:rsid w:val="00B42E76"/>
    <w:rsid w:val="00B43194"/>
    <w:rsid w:val="00B436BF"/>
    <w:rsid w:val="00B46408"/>
    <w:rsid w:val="00B47734"/>
    <w:rsid w:val="00B50FBA"/>
    <w:rsid w:val="00B558EB"/>
    <w:rsid w:val="00B577D3"/>
    <w:rsid w:val="00B60466"/>
    <w:rsid w:val="00B6548F"/>
    <w:rsid w:val="00B702C5"/>
    <w:rsid w:val="00B71A32"/>
    <w:rsid w:val="00B72935"/>
    <w:rsid w:val="00B7502A"/>
    <w:rsid w:val="00B77305"/>
    <w:rsid w:val="00B774BD"/>
    <w:rsid w:val="00B810B0"/>
    <w:rsid w:val="00B82CC2"/>
    <w:rsid w:val="00B84A89"/>
    <w:rsid w:val="00B9256C"/>
    <w:rsid w:val="00B92BEF"/>
    <w:rsid w:val="00B94443"/>
    <w:rsid w:val="00B966D9"/>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CB5"/>
    <w:rsid w:val="00BC460B"/>
    <w:rsid w:val="00BC4ED3"/>
    <w:rsid w:val="00BC4FDA"/>
    <w:rsid w:val="00BC5725"/>
    <w:rsid w:val="00BD30B1"/>
    <w:rsid w:val="00BE0F7B"/>
    <w:rsid w:val="00BE10C2"/>
    <w:rsid w:val="00BF0D6C"/>
    <w:rsid w:val="00BF2B51"/>
    <w:rsid w:val="00C01D14"/>
    <w:rsid w:val="00C01D97"/>
    <w:rsid w:val="00C025B4"/>
    <w:rsid w:val="00C029EC"/>
    <w:rsid w:val="00C15B86"/>
    <w:rsid w:val="00C161FD"/>
    <w:rsid w:val="00C17C9F"/>
    <w:rsid w:val="00C17FF5"/>
    <w:rsid w:val="00C23F17"/>
    <w:rsid w:val="00C246F2"/>
    <w:rsid w:val="00C2495D"/>
    <w:rsid w:val="00C26D0D"/>
    <w:rsid w:val="00C27C95"/>
    <w:rsid w:val="00C300D2"/>
    <w:rsid w:val="00C3270F"/>
    <w:rsid w:val="00C3278B"/>
    <w:rsid w:val="00C33375"/>
    <w:rsid w:val="00C34C23"/>
    <w:rsid w:val="00C34EC8"/>
    <w:rsid w:val="00C368FA"/>
    <w:rsid w:val="00C42005"/>
    <w:rsid w:val="00C4664D"/>
    <w:rsid w:val="00C472AA"/>
    <w:rsid w:val="00C47E52"/>
    <w:rsid w:val="00C507D8"/>
    <w:rsid w:val="00C50A05"/>
    <w:rsid w:val="00C54AED"/>
    <w:rsid w:val="00C555FC"/>
    <w:rsid w:val="00C55E9B"/>
    <w:rsid w:val="00C56D09"/>
    <w:rsid w:val="00C57D24"/>
    <w:rsid w:val="00C604D6"/>
    <w:rsid w:val="00C63CAB"/>
    <w:rsid w:val="00C63D00"/>
    <w:rsid w:val="00C6441B"/>
    <w:rsid w:val="00C6479B"/>
    <w:rsid w:val="00C65921"/>
    <w:rsid w:val="00C7108B"/>
    <w:rsid w:val="00C715E7"/>
    <w:rsid w:val="00C75883"/>
    <w:rsid w:val="00C77FA5"/>
    <w:rsid w:val="00C8089F"/>
    <w:rsid w:val="00C835FE"/>
    <w:rsid w:val="00C836CC"/>
    <w:rsid w:val="00C852D6"/>
    <w:rsid w:val="00C86AA1"/>
    <w:rsid w:val="00C87A74"/>
    <w:rsid w:val="00C919E0"/>
    <w:rsid w:val="00C91C18"/>
    <w:rsid w:val="00C92C71"/>
    <w:rsid w:val="00C93F8F"/>
    <w:rsid w:val="00C94F6B"/>
    <w:rsid w:val="00C97D08"/>
    <w:rsid w:val="00CA0894"/>
    <w:rsid w:val="00CA3593"/>
    <w:rsid w:val="00CA5726"/>
    <w:rsid w:val="00CA7E6A"/>
    <w:rsid w:val="00CB258E"/>
    <w:rsid w:val="00CB3C8F"/>
    <w:rsid w:val="00CB6E38"/>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7A8A"/>
    <w:rsid w:val="00D0274B"/>
    <w:rsid w:val="00D0503D"/>
    <w:rsid w:val="00D052BC"/>
    <w:rsid w:val="00D07026"/>
    <w:rsid w:val="00D07900"/>
    <w:rsid w:val="00D10F5E"/>
    <w:rsid w:val="00D146AE"/>
    <w:rsid w:val="00D22C8F"/>
    <w:rsid w:val="00D2621D"/>
    <w:rsid w:val="00D3203C"/>
    <w:rsid w:val="00D33491"/>
    <w:rsid w:val="00D3442D"/>
    <w:rsid w:val="00D36F00"/>
    <w:rsid w:val="00D43717"/>
    <w:rsid w:val="00D44B67"/>
    <w:rsid w:val="00D44F8E"/>
    <w:rsid w:val="00D51FD5"/>
    <w:rsid w:val="00D55DE0"/>
    <w:rsid w:val="00D607EF"/>
    <w:rsid w:val="00D60F88"/>
    <w:rsid w:val="00D638CB"/>
    <w:rsid w:val="00D646BD"/>
    <w:rsid w:val="00D65558"/>
    <w:rsid w:val="00D71201"/>
    <w:rsid w:val="00D720C7"/>
    <w:rsid w:val="00D760C7"/>
    <w:rsid w:val="00D84841"/>
    <w:rsid w:val="00D876E6"/>
    <w:rsid w:val="00D90958"/>
    <w:rsid w:val="00D93E90"/>
    <w:rsid w:val="00DA1025"/>
    <w:rsid w:val="00DA22EC"/>
    <w:rsid w:val="00DA5130"/>
    <w:rsid w:val="00DA5682"/>
    <w:rsid w:val="00DA5713"/>
    <w:rsid w:val="00DA5860"/>
    <w:rsid w:val="00DA5C0C"/>
    <w:rsid w:val="00DB2767"/>
    <w:rsid w:val="00DC12F0"/>
    <w:rsid w:val="00DC1B10"/>
    <w:rsid w:val="00DC2924"/>
    <w:rsid w:val="00DC4729"/>
    <w:rsid w:val="00DD31C5"/>
    <w:rsid w:val="00DD5020"/>
    <w:rsid w:val="00DD63BE"/>
    <w:rsid w:val="00DE4296"/>
    <w:rsid w:val="00DF2469"/>
    <w:rsid w:val="00DF2A2D"/>
    <w:rsid w:val="00DF7899"/>
    <w:rsid w:val="00E0524C"/>
    <w:rsid w:val="00E0591B"/>
    <w:rsid w:val="00E15751"/>
    <w:rsid w:val="00E17160"/>
    <w:rsid w:val="00E17D41"/>
    <w:rsid w:val="00E22F38"/>
    <w:rsid w:val="00E231D1"/>
    <w:rsid w:val="00E24063"/>
    <w:rsid w:val="00E3288D"/>
    <w:rsid w:val="00E35112"/>
    <w:rsid w:val="00E35BEC"/>
    <w:rsid w:val="00E41A6A"/>
    <w:rsid w:val="00E50821"/>
    <w:rsid w:val="00E51F91"/>
    <w:rsid w:val="00E5498A"/>
    <w:rsid w:val="00E559CE"/>
    <w:rsid w:val="00E57EA4"/>
    <w:rsid w:val="00E60F42"/>
    <w:rsid w:val="00E6746C"/>
    <w:rsid w:val="00E7086E"/>
    <w:rsid w:val="00E71248"/>
    <w:rsid w:val="00E73C41"/>
    <w:rsid w:val="00E75911"/>
    <w:rsid w:val="00E7598F"/>
    <w:rsid w:val="00E75EE2"/>
    <w:rsid w:val="00E76E1C"/>
    <w:rsid w:val="00E76F60"/>
    <w:rsid w:val="00E812B5"/>
    <w:rsid w:val="00E83D90"/>
    <w:rsid w:val="00E83F91"/>
    <w:rsid w:val="00E86299"/>
    <w:rsid w:val="00E9107A"/>
    <w:rsid w:val="00E91F62"/>
    <w:rsid w:val="00E929FD"/>
    <w:rsid w:val="00E93240"/>
    <w:rsid w:val="00E93A24"/>
    <w:rsid w:val="00E9479B"/>
    <w:rsid w:val="00E94E22"/>
    <w:rsid w:val="00E95F08"/>
    <w:rsid w:val="00E96AB7"/>
    <w:rsid w:val="00E97171"/>
    <w:rsid w:val="00EA1FE2"/>
    <w:rsid w:val="00EA4D48"/>
    <w:rsid w:val="00EA7ADF"/>
    <w:rsid w:val="00EB1DD9"/>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F4F"/>
    <w:rsid w:val="00EF68BB"/>
    <w:rsid w:val="00F01F92"/>
    <w:rsid w:val="00F030D4"/>
    <w:rsid w:val="00F04053"/>
    <w:rsid w:val="00F06573"/>
    <w:rsid w:val="00F10A08"/>
    <w:rsid w:val="00F15354"/>
    <w:rsid w:val="00F22AC5"/>
    <w:rsid w:val="00F24317"/>
    <w:rsid w:val="00F254D1"/>
    <w:rsid w:val="00F32B82"/>
    <w:rsid w:val="00F34C86"/>
    <w:rsid w:val="00F4043E"/>
    <w:rsid w:val="00F412A7"/>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A63E7"/>
    <w:rsid w:val="00FA7CFD"/>
    <w:rsid w:val="00FB03E0"/>
    <w:rsid w:val="00FB05DD"/>
    <w:rsid w:val="00FB0F7C"/>
    <w:rsid w:val="00FB24EA"/>
    <w:rsid w:val="00FB2711"/>
    <w:rsid w:val="00FB5FA6"/>
    <w:rsid w:val="00FC0334"/>
    <w:rsid w:val="00FC1310"/>
    <w:rsid w:val="00FC2FF3"/>
    <w:rsid w:val="00FC3263"/>
    <w:rsid w:val="00FC371B"/>
    <w:rsid w:val="00FC51F9"/>
    <w:rsid w:val="00FC5B40"/>
    <w:rsid w:val="00FC5FF8"/>
    <w:rsid w:val="00FD271B"/>
    <w:rsid w:val="00FD3D7C"/>
    <w:rsid w:val="00FD4F8F"/>
    <w:rsid w:val="00FE0C16"/>
    <w:rsid w:val="00FE14B1"/>
    <w:rsid w:val="00FE4BA0"/>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C4C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49203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4</Pages>
  <Words>1117</Words>
  <Characters>6371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Williams (PLANT)</cp:lastModifiedBy>
  <cp:revision>157</cp:revision>
  <cp:lastPrinted>2020-02-11T19:20:00Z</cp:lastPrinted>
  <dcterms:created xsi:type="dcterms:W3CDTF">2024-12-30T18:18:00Z</dcterms:created>
  <dcterms:modified xsi:type="dcterms:W3CDTF">2025-02-19T08:27:00Z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