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38261B" w14:textId="77777777" w:rsidR="0066448F" w:rsidRPr="000A54A9" w:rsidRDefault="0066448F" w:rsidP="0066448F">
      <w:pPr>
        <w:jc w:val="center"/>
        <w:rPr>
          <w:rFonts w:ascii="Times New Roman" w:hAnsi="Times New Roman" w:cs="Times New Roman"/>
          <w:b/>
          <w:bCs/>
          <w:sz w:val="44"/>
          <w:szCs w:val="44"/>
        </w:rPr>
      </w:pPr>
      <w:r w:rsidRPr="000A54A9">
        <w:rPr>
          <w:rFonts w:ascii="Times New Roman" w:hAnsi="Times New Roman" w:cs="Times New Roman"/>
          <w:b/>
          <w:bCs/>
          <w:sz w:val="44"/>
          <w:szCs w:val="44"/>
        </w:rPr>
        <w:t>Assessment Component 1</w:t>
      </w:r>
    </w:p>
    <w:p w14:paraId="521A9A65" w14:textId="77777777" w:rsidR="0066448F" w:rsidRPr="000A54A9" w:rsidRDefault="0066448F" w:rsidP="0066448F">
      <w:pPr>
        <w:jc w:val="center"/>
        <w:rPr>
          <w:rFonts w:ascii="Times New Roman" w:hAnsi="Times New Roman" w:cs="Times New Roman"/>
          <w:b/>
          <w:bCs/>
          <w:sz w:val="44"/>
          <w:szCs w:val="44"/>
        </w:rPr>
      </w:pPr>
      <w:r w:rsidRPr="000A54A9">
        <w:rPr>
          <w:rFonts w:ascii="Times New Roman" w:hAnsi="Times New Roman" w:cs="Times New Roman"/>
          <w:b/>
          <w:bCs/>
          <w:sz w:val="44"/>
          <w:szCs w:val="44"/>
        </w:rPr>
        <w:t>Module code: LCBB6002</w:t>
      </w:r>
    </w:p>
    <w:p w14:paraId="61A2048F" w14:textId="064F2D46" w:rsidR="0066448F" w:rsidRPr="000A54A9" w:rsidRDefault="0066448F" w:rsidP="0066448F">
      <w:pPr>
        <w:jc w:val="center"/>
        <w:rPr>
          <w:rFonts w:ascii="Times New Roman" w:hAnsi="Times New Roman" w:cs="Times New Roman"/>
          <w:b/>
          <w:bCs/>
          <w:sz w:val="44"/>
          <w:szCs w:val="44"/>
        </w:rPr>
      </w:pPr>
      <w:r w:rsidRPr="000A54A9">
        <w:rPr>
          <w:rFonts w:ascii="Times New Roman" w:hAnsi="Times New Roman" w:cs="Times New Roman"/>
          <w:b/>
          <w:bCs/>
          <w:sz w:val="44"/>
          <w:szCs w:val="44"/>
        </w:rPr>
        <w:t xml:space="preserve">Student Name: </w:t>
      </w:r>
      <w:r>
        <w:rPr>
          <w:rFonts w:ascii="Times New Roman" w:hAnsi="Times New Roman" w:cs="Times New Roman"/>
          <w:b/>
          <w:bCs/>
          <w:sz w:val="44"/>
          <w:szCs w:val="44"/>
        </w:rPr>
        <w:t>Lucretia</w:t>
      </w:r>
      <w:r w:rsidRPr="000A54A9">
        <w:rPr>
          <w:rFonts w:ascii="Times New Roman" w:hAnsi="Times New Roman" w:cs="Times New Roman"/>
          <w:b/>
          <w:bCs/>
          <w:sz w:val="44"/>
          <w:szCs w:val="44"/>
        </w:rPr>
        <w:t xml:space="preserve"> Diaconu</w:t>
      </w:r>
    </w:p>
    <w:p w14:paraId="1F95C30F" w14:textId="5C5F1AA3" w:rsidR="0066448F" w:rsidRPr="000A54A9" w:rsidRDefault="0066448F" w:rsidP="0066448F">
      <w:pPr>
        <w:jc w:val="center"/>
        <w:rPr>
          <w:rFonts w:ascii="Times New Roman" w:hAnsi="Times New Roman" w:cs="Times New Roman"/>
          <w:b/>
          <w:bCs/>
          <w:sz w:val="44"/>
          <w:szCs w:val="44"/>
        </w:rPr>
      </w:pPr>
      <w:r w:rsidRPr="000A54A9">
        <w:rPr>
          <w:rFonts w:ascii="Times New Roman" w:hAnsi="Times New Roman" w:cs="Times New Roman"/>
          <w:b/>
          <w:bCs/>
          <w:sz w:val="44"/>
          <w:szCs w:val="44"/>
        </w:rPr>
        <w:t>Student id:212692</w:t>
      </w:r>
      <w:r>
        <w:rPr>
          <w:rFonts w:ascii="Times New Roman" w:hAnsi="Times New Roman" w:cs="Times New Roman"/>
          <w:b/>
          <w:bCs/>
          <w:sz w:val="44"/>
          <w:szCs w:val="44"/>
        </w:rPr>
        <w:t>8</w:t>
      </w:r>
    </w:p>
    <w:p w14:paraId="4F68D982" w14:textId="77777777" w:rsidR="0066448F" w:rsidRPr="000A54A9" w:rsidRDefault="0066448F" w:rsidP="0066448F">
      <w:pPr>
        <w:spacing w:before="100" w:beforeAutospacing="1" w:after="100" w:afterAutospacing="1"/>
        <w:jc w:val="center"/>
        <w:outlineLvl w:val="2"/>
        <w:rPr>
          <w:rFonts w:ascii="Times New Roman" w:eastAsia="Times New Roman" w:hAnsi="Times New Roman" w:cs="Times New Roman"/>
          <w:b/>
          <w:bCs/>
          <w:sz w:val="44"/>
          <w:szCs w:val="44"/>
          <w:lang w:eastAsia="en-GB"/>
        </w:rPr>
      </w:pPr>
    </w:p>
    <w:p w14:paraId="53972F38" w14:textId="77777777" w:rsidR="0066448F" w:rsidRDefault="0066448F" w:rsidP="0066448F">
      <w:pPr>
        <w:spacing w:before="100" w:beforeAutospacing="1" w:after="100" w:afterAutospacing="1"/>
        <w:jc w:val="center"/>
        <w:outlineLvl w:val="2"/>
        <w:rPr>
          <w:rFonts w:ascii="Arial" w:eastAsia="Times New Roman" w:hAnsi="Arial" w:cs="Arial"/>
          <w:b/>
          <w:bCs/>
          <w:sz w:val="40"/>
          <w:szCs w:val="40"/>
          <w:lang w:eastAsia="en-GB"/>
        </w:rPr>
      </w:pPr>
    </w:p>
    <w:p w14:paraId="6804B9A7" w14:textId="77777777" w:rsidR="0066448F" w:rsidRDefault="0066448F" w:rsidP="0066448F">
      <w:pPr>
        <w:spacing w:before="100" w:beforeAutospacing="1" w:after="100" w:afterAutospacing="1"/>
        <w:jc w:val="center"/>
        <w:outlineLvl w:val="2"/>
        <w:rPr>
          <w:rFonts w:ascii="Arial" w:eastAsia="Times New Roman" w:hAnsi="Arial" w:cs="Arial"/>
          <w:b/>
          <w:bCs/>
          <w:sz w:val="40"/>
          <w:szCs w:val="40"/>
          <w:lang w:eastAsia="en-GB"/>
        </w:rPr>
      </w:pPr>
    </w:p>
    <w:p w14:paraId="6AFD2EA4" w14:textId="69FB47F7" w:rsidR="0066448F" w:rsidRPr="0066448F" w:rsidRDefault="0066448F" w:rsidP="0066448F">
      <w:pPr>
        <w:spacing w:before="100" w:beforeAutospacing="1" w:after="100" w:afterAutospacing="1"/>
        <w:jc w:val="center"/>
        <w:outlineLvl w:val="2"/>
        <w:rPr>
          <w:rFonts w:ascii="Arial" w:eastAsia="Times New Roman" w:hAnsi="Arial" w:cs="Arial"/>
          <w:b/>
          <w:bCs/>
          <w:sz w:val="40"/>
          <w:szCs w:val="40"/>
          <w:lang w:eastAsia="en-GB"/>
        </w:rPr>
      </w:pPr>
      <w:bookmarkStart w:id="0" w:name="_Toc169341517"/>
      <w:r w:rsidRPr="0066448F">
        <w:rPr>
          <w:rFonts w:ascii="Arial" w:eastAsia="Times New Roman" w:hAnsi="Arial" w:cs="Arial"/>
          <w:b/>
          <w:bCs/>
          <w:sz w:val="40"/>
          <w:szCs w:val="40"/>
          <w:lang w:eastAsia="en-GB"/>
        </w:rPr>
        <w:t xml:space="preserve">The Impact of Corporate Governance and CSR on </w:t>
      </w:r>
      <w:r w:rsidRPr="0066448F">
        <w:rPr>
          <w:rFonts w:ascii="Arial" w:eastAsia="Times New Roman" w:hAnsi="Arial" w:cs="Arial"/>
          <w:b/>
          <w:bCs/>
          <w:sz w:val="40"/>
          <w:szCs w:val="40"/>
          <w:lang w:eastAsia="en-GB"/>
        </w:rPr>
        <w:t xml:space="preserve">the </w:t>
      </w:r>
      <w:r w:rsidRPr="0066448F">
        <w:rPr>
          <w:rFonts w:ascii="Arial" w:eastAsia="Times New Roman" w:hAnsi="Arial" w:cs="Arial"/>
          <w:b/>
          <w:bCs/>
          <w:sz w:val="40"/>
          <w:szCs w:val="40"/>
          <w:lang w:eastAsia="en-GB"/>
        </w:rPr>
        <w:t>Firm Performance</w:t>
      </w:r>
      <w:r w:rsidRPr="0066448F">
        <w:rPr>
          <w:rFonts w:ascii="Arial" w:eastAsia="Times New Roman" w:hAnsi="Arial" w:cs="Arial"/>
          <w:b/>
          <w:bCs/>
          <w:sz w:val="40"/>
          <w:szCs w:val="40"/>
          <w:lang w:eastAsia="en-GB"/>
        </w:rPr>
        <w:t xml:space="preserve"> </w:t>
      </w:r>
      <w:r w:rsidRPr="0066448F">
        <w:rPr>
          <w:rFonts w:ascii="Arial" w:eastAsia="Times New Roman" w:hAnsi="Arial" w:cs="Arial"/>
          <w:b/>
          <w:bCs/>
          <w:sz w:val="40"/>
          <w:szCs w:val="40"/>
          <w:lang w:eastAsia="en-GB"/>
        </w:rPr>
        <w:t>of Makita UK</w:t>
      </w:r>
      <w:bookmarkEnd w:id="0"/>
    </w:p>
    <w:p w14:paraId="00A3DE79" w14:textId="77777777" w:rsidR="0066448F" w:rsidRDefault="0066448F" w:rsidP="0066448F">
      <w:pPr>
        <w:spacing w:before="100" w:beforeAutospacing="1" w:after="100" w:afterAutospacing="1"/>
        <w:outlineLvl w:val="2"/>
        <w:rPr>
          <w:rFonts w:ascii="Arial" w:eastAsia="Times New Roman" w:hAnsi="Arial" w:cs="Arial"/>
          <w:b/>
          <w:bCs/>
          <w:sz w:val="40"/>
          <w:szCs w:val="40"/>
          <w:lang w:eastAsia="en-GB"/>
        </w:rPr>
      </w:pPr>
    </w:p>
    <w:p w14:paraId="7D164C98" w14:textId="77777777" w:rsidR="0066448F" w:rsidRDefault="0066448F" w:rsidP="0066448F">
      <w:pPr>
        <w:spacing w:before="100" w:beforeAutospacing="1" w:after="100" w:afterAutospacing="1"/>
        <w:outlineLvl w:val="2"/>
        <w:rPr>
          <w:rFonts w:ascii="Arial" w:eastAsia="Times New Roman" w:hAnsi="Arial" w:cs="Arial"/>
          <w:b/>
          <w:bCs/>
          <w:sz w:val="40"/>
          <w:szCs w:val="40"/>
          <w:lang w:eastAsia="en-GB"/>
        </w:rPr>
      </w:pPr>
    </w:p>
    <w:p w14:paraId="50098A5F" w14:textId="77777777" w:rsidR="0066448F" w:rsidRDefault="0066448F" w:rsidP="0066448F">
      <w:pPr>
        <w:spacing w:before="100" w:beforeAutospacing="1" w:after="100" w:afterAutospacing="1"/>
        <w:outlineLvl w:val="2"/>
        <w:rPr>
          <w:rFonts w:ascii="Arial" w:eastAsia="Times New Roman" w:hAnsi="Arial" w:cs="Arial"/>
          <w:b/>
          <w:bCs/>
          <w:sz w:val="40"/>
          <w:szCs w:val="40"/>
          <w:lang w:eastAsia="en-GB"/>
        </w:rPr>
      </w:pPr>
    </w:p>
    <w:p w14:paraId="2924024F" w14:textId="77777777" w:rsidR="0066448F" w:rsidRPr="0066448F" w:rsidRDefault="0066448F" w:rsidP="0066448F">
      <w:pPr>
        <w:spacing w:before="100" w:beforeAutospacing="1" w:after="100" w:afterAutospacing="1"/>
        <w:outlineLvl w:val="2"/>
        <w:rPr>
          <w:rFonts w:ascii="Arial" w:eastAsia="Times New Roman" w:hAnsi="Arial" w:cs="Arial"/>
          <w:b/>
          <w:bCs/>
          <w:sz w:val="32"/>
          <w:szCs w:val="32"/>
          <w:lang w:eastAsia="en-GB"/>
        </w:rPr>
      </w:pPr>
    </w:p>
    <w:sdt>
      <w:sdtPr>
        <w:rPr>
          <w:rFonts w:ascii="Arial" w:hAnsi="Arial" w:cs="Arial"/>
          <w:color w:val="000000" w:themeColor="text1"/>
          <w:sz w:val="32"/>
          <w:szCs w:val="32"/>
        </w:rPr>
        <w:id w:val="-2039959952"/>
        <w:docPartObj>
          <w:docPartGallery w:val="Table of Contents"/>
          <w:docPartUnique/>
        </w:docPartObj>
      </w:sdtPr>
      <w:sdtEndPr>
        <w:rPr>
          <w:rFonts w:eastAsiaTheme="minorHAnsi"/>
          <w:noProof/>
          <w:color w:val="auto"/>
          <w:lang w:val="en-GB"/>
        </w:rPr>
      </w:sdtEndPr>
      <w:sdtContent>
        <w:p w14:paraId="600C6D64" w14:textId="3757ED3B" w:rsidR="0066448F" w:rsidRPr="0066448F" w:rsidRDefault="0066448F">
          <w:pPr>
            <w:pStyle w:val="TOCHeading"/>
            <w:rPr>
              <w:rFonts w:ascii="Arial" w:hAnsi="Arial" w:cs="Arial"/>
              <w:color w:val="000000" w:themeColor="text1"/>
              <w:sz w:val="32"/>
              <w:szCs w:val="32"/>
            </w:rPr>
          </w:pPr>
          <w:r w:rsidRPr="0066448F">
            <w:rPr>
              <w:rFonts w:ascii="Arial" w:hAnsi="Arial" w:cs="Arial"/>
              <w:color w:val="000000" w:themeColor="text1"/>
              <w:sz w:val="32"/>
              <w:szCs w:val="32"/>
            </w:rPr>
            <w:t>Table of Contents</w:t>
          </w:r>
        </w:p>
        <w:p w14:paraId="60A42997" w14:textId="48CC2B7F" w:rsidR="0066448F" w:rsidRPr="0066448F" w:rsidRDefault="0066448F">
          <w:pPr>
            <w:pStyle w:val="TOC3"/>
            <w:tabs>
              <w:tab w:val="right" w:leader="dot" w:pos="9016"/>
            </w:tabs>
            <w:rPr>
              <w:rFonts w:ascii="Arial" w:eastAsiaTheme="minorEastAsia" w:hAnsi="Arial" w:cs="Arial"/>
              <w:noProof/>
              <w:kern w:val="2"/>
              <w:sz w:val="32"/>
              <w:szCs w:val="32"/>
              <w:lang w:eastAsia="en-GB"/>
              <w14:ligatures w14:val="standardContextual"/>
            </w:rPr>
          </w:pPr>
          <w:r w:rsidRPr="0066448F">
            <w:rPr>
              <w:rFonts w:ascii="Arial" w:hAnsi="Arial" w:cs="Arial"/>
              <w:color w:val="000000" w:themeColor="text1"/>
              <w:sz w:val="32"/>
              <w:szCs w:val="32"/>
            </w:rPr>
            <w:fldChar w:fldCharType="begin"/>
          </w:r>
          <w:r w:rsidRPr="0066448F">
            <w:rPr>
              <w:rFonts w:ascii="Arial" w:hAnsi="Arial" w:cs="Arial"/>
              <w:color w:val="000000" w:themeColor="text1"/>
              <w:sz w:val="32"/>
              <w:szCs w:val="32"/>
            </w:rPr>
            <w:instrText xml:space="preserve"> TOC \o "1-3" \h \z \u </w:instrText>
          </w:r>
          <w:r w:rsidRPr="0066448F">
            <w:rPr>
              <w:rFonts w:ascii="Arial" w:hAnsi="Arial" w:cs="Arial"/>
              <w:color w:val="000000" w:themeColor="text1"/>
              <w:sz w:val="32"/>
              <w:szCs w:val="32"/>
            </w:rPr>
            <w:fldChar w:fldCharType="separate"/>
          </w:r>
          <w:hyperlink w:anchor="_Toc169341517" w:history="1">
            <w:r w:rsidRPr="0066448F">
              <w:rPr>
                <w:rStyle w:val="Hyperlink"/>
                <w:rFonts w:ascii="Arial" w:eastAsia="Times New Roman" w:hAnsi="Arial" w:cs="Arial"/>
                <w:b/>
                <w:bCs/>
                <w:noProof/>
                <w:sz w:val="32"/>
                <w:szCs w:val="32"/>
                <w:lang w:eastAsia="en-GB"/>
              </w:rPr>
              <w:t>The Impact of Corporate Governance and CSR on the Firm Performance of Makita UK</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_Toc169341517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1</w:t>
            </w:r>
            <w:r w:rsidRPr="0066448F">
              <w:rPr>
                <w:rFonts w:ascii="Arial" w:hAnsi="Arial" w:cs="Arial"/>
                <w:noProof/>
                <w:webHidden/>
                <w:sz w:val="32"/>
                <w:szCs w:val="32"/>
              </w:rPr>
              <w:fldChar w:fldCharType="end"/>
            </w:r>
          </w:hyperlink>
        </w:p>
        <w:p w14:paraId="14DC67DE" w14:textId="6421FDE6"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18" w:history="1">
            <w:r w:rsidRPr="0066448F">
              <w:rPr>
                <w:rStyle w:val="Hyperlink"/>
                <w:rFonts w:ascii="Arial" w:hAnsi="Arial" w:cs="Arial"/>
                <w:noProof/>
                <w:sz w:val="32"/>
                <w:szCs w:val="32"/>
              </w:rPr>
              <w:t>Introduction</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_Toc169341518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2</w:t>
            </w:r>
            <w:r w:rsidRPr="0066448F">
              <w:rPr>
                <w:rFonts w:ascii="Arial" w:hAnsi="Arial" w:cs="Arial"/>
                <w:noProof/>
                <w:webHidden/>
                <w:sz w:val="32"/>
                <w:szCs w:val="32"/>
              </w:rPr>
              <w:fldChar w:fldCharType="end"/>
            </w:r>
          </w:hyperlink>
        </w:p>
        <w:p w14:paraId="66896A3E" w14:textId="6CC4DFD0"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19" w:history="1">
            <w:r w:rsidRPr="0066448F">
              <w:rPr>
                <w:rStyle w:val="Hyperlink"/>
                <w:rFonts w:ascii="Arial" w:hAnsi="Arial" w:cs="Arial"/>
                <w:noProof/>
                <w:sz w:val="32"/>
                <w:szCs w:val="32"/>
              </w:rPr>
              <w:t>Corporate Governance Metrics for Makita UK</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_Toc169341519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2</w:t>
            </w:r>
            <w:r w:rsidRPr="0066448F">
              <w:rPr>
                <w:rFonts w:ascii="Arial" w:hAnsi="Arial" w:cs="Arial"/>
                <w:noProof/>
                <w:webHidden/>
                <w:sz w:val="32"/>
                <w:szCs w:val="32"/>
              </w:rPr>
              <w:fldChar w:fldCharType="end"/>
            </w:r>
          </w:hyperlink>
        </w:p>
        <w:p w14:paraId="40BDA803" w14:textId="538F9096"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20" w:history="1">
            <w:r w:rsidRPr="0066448F">
              <w:rPr>
                <w:rStyle w:val="Hyperlink"/>
                <w:rFonts w:ascii="Arial" w:hAnsi="Arial" w:cs="Arial"/>
                <w:noProof/>
                <w:sz w:val="32"/>
                <w:szCs w:val="32"/>
              </w:rPr>
              <w:t>Corporate Social Responsibility Metrics for Makita UK</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_Toc169341520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3</w:t>
            </w:r>
            <w:r w:rsidRPr="0066448F">
              <w:rPr>
                <w:rFonts w:ascii="Arial" w:hAnsi="Arial" w:cs="Arial"/>
                <w:noProof/>
                <w:webHidden/>
                <w:sz w:val="32"/>
                <w:szCs w:val="32"/>
              </w:rPr>
              <w:fldChar w:fldCharType="end"/>
            </w:r>
          </w:hyperlink>
        </w:p>
        <w:p w14:paraId="339D5ABA" w14:textId="67FD345B"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26" w:history="1">
            <w:r w:rsidRPr="0066448F">
              <w:rPr>
                <w:rStyle w:val="Hyperlink"/>
                <w:rFonts w:ascii="Arial" w:hAnsi="Arial" w:cs="Arial"/>
                <w:noProof/>
                <w:sz w:val="32"/>
                <w:szCs w:val="32"/>
              </w:rPr>
              <w:t>Impact of Corporate Governance on Firm Performance</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_Toc169341526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5</w:t>
            </w:r>
            <w:r w:rsidRPr="0066448F">
              <w:rPr>
                <w:rFonts w:ascii="Arial" w:hAnsi="Arial" w:cs="Arial"/>
                <w:noProof/>
                <w:webHidden/>
                <w:sz w:val="32"/>
                <w:szCs w:val="32"/>
              </w:rPr>
              <w:fldChar w:fldCharType="end"/>
            </w:r>
          </w:hyperlink>
        </w:p>
        <w:p w14:paraId="36AE626B" w14:textId="6E3DEE56"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27" w:history="1">
            <w:r w:rsidRPr="0066448F">
              <w:rPr>
                <w:rStyle w:val="Hyperlink"/>
                <w:rFonts w:ascii="Arial" w:hAnsi="Arial" w:cs="Arial"/>
                <w:noProof/>
                <w:sz w:val="32"/>
                <w:szCs w:val="32"/>
              </w:rPr>
              <w:t>Impact of CSR on Firm Performance</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_Toc169341527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5</w:t>
            </w:r>
            <w:r w:rsidRPr="0066448F">
              <w:rPr>
                <w:rFonts w:ascii="Arial" w:hAnsi="Arial" w:cs="Arial"/>
                <w:noProof/>
                <w:webHidden/>
                <w:sz w:val="32"/>
                <w:szCs w:val="32"/>
              </w:rPr>
              <w:fldChar w:fldCharType="end"/>
            </w:r>
          </w:hyperlink>
        </w:p>
        <w:p w14:paraId="5B027C56" w14:textId="6BBB3621"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28" w:history="1">
            <w:r w:rsidRPr="0066448F">
              <w:rPr>
                <w:rStyle w:val="Hyperlink"/>
                <w:rFonts w:ascii="Arial" w:hAnsi="Arial" w:cs="Arial"/>
                <w:noProof/>
                <w:sz w:val="32"/>
                <w:szCs w:val="32"/>
              </w:rPr>
              <w:t>Empirical Analysis</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_Toc169341528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6</w:t>
            </w:r>
            <w:r w:rsidRPr="0066448F">
              <w:rPr>
                <w:rFonts w:ascii="Arial" w:hAnsi="Arial" w:cs="Arial"/>
                <w:noProof/>
                <w:webHidden/>
                <w:sz w:val="32"/>
                <w:szCs w:val="32"/>
              </w:rPr>
              <w:fldChar w:fldCharType="end"/>
            </w:r>
          </w:hyperlink>
        </w:p>
        <w:p w14:paraId="0968C470" w14:textId="28162AFF"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29" w:history="1">
            <w:r w:rsidRPr="0066448F">
              <w:rPr>
                <w:rStyle w:val="Hyperlink"/>
                <w:rFonts w:ascii="Arial" w:hAnsi="Arial" w:cs="Arial"/>
                <w:noProof/>
                <w:sz w:val="32"/>
                <w:szCs w:val="32"/>
              </w:rPr>
              <w:t>Conclusion</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_Toc169341529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6</w:t>
            </w:r>
            <w:r w:rsidRPr="0066448F">
              <w:rPr>
                <w:rFonts w:ascii="Arial" w:hAnsi="Arial" w:cs="Arial"/>
                <w:noProof/>
                <w:webHidden/>
                <w:sz w:val="32"/>
                <w:szCs w:val="32"/>
              </w:rPr>
              <w:fldChar w:fldCharType="end"/>
            </w:r>
          </w:hyperlink>
        </w:p>
        <w:p w14:paraId="1344C452" w14:textId="56281189" w:rsidR="0066448F" w:rsidRPr="0066448F" w:rsidRDefault="0066448F">
          <w:pPr>
            <w:pStyle w:val="TOC1"/>
            <w:tabs>
              <w:tab w:val="right" w:leader="dot" w:pos="9016"/>
            </w:tabs>
            <w:rPr>
              <w:rFonts w:ascii="Arial" w:eastAsiaTheme="minorEastAsia" w:hAnsi="Arial" w:cs="Arial"/>
              <w:b w:val="0"/>
              <w:bCs w:val="0"/>
              <w:i w:val="0"/>
              <w:iCs w:val="0"/>
              <w:noProof/>
              <w:kern w:val="2"/>
              <w:sz w:val="32"/>
              <w:szCs w:val="32"/>
              <w:lang w:eastAsia="en-GB"/>
              <w14:ligatures w14:val="standardContextual"/>
            </w:rPr>
          </w:pPr>
          <w:hyperlink w:anchor="_Toc169341530" w:history="1">
            <w:r w:rsidRPr="0066448F">
              <w:rPr>
                <w:rStyle w:val="Hyperlink"/>
                <w:rFonts w:ascii="Arial" w:hAnsi="Arial" w:cs="Arial"/>
                <w:noProof/>
                <w:sz w:val="32"/>
                <w:szCs w:val="32"/>
              </w:rPr>
              <w:t>References</w:t>
            </w:r>
            <w:r w:rsidRPr="0066448F">
              <w:rPr>
                <w:rFonts w:ascii="Arial" w:hAnsi="Arial" w:cs="Arial"/>
                <w:noProof/>
                <w:webHidden/>
                <w:sz w:val="32"/>
                <w:szCs w:val="32"/>
              </w:rPr>
              <w:tab/>
            </w:r>
            <w:r w:rsidRPr="0066448F">
              <w:rPr>
                <w:rFonts w:ascii="Arial" w:hAnsi="Arial" w:cs="Arial"/>
                <w:noProof/>
                <w:webHidden/>
                <w:sz w:val="32"/>
                <w:szCs w:val="32"/>
              </w:rPr>
              <w:fldChar w:fldCharType="begin"/>
            </w:r>
            <w:r w:rsidRPr="0066448F">
              <w:rPr>
                <w:rFonts w:ascii="Arial" w:hAnsi="Arial" w:cs="Arial"/>
                <w:noProof/>
                <w:webHidden/>
                <w:sz w:val="32"/>
                <w:szCs w:val="32"/>
              </w:rPr>
              <w:instrText xml:space="preserve"> PAGEREF _Toc169341530 \h </w:instrText>
            </w:r>
            <w:r w:rsidRPr="0066448F">
              <w:rPr>
                <w:rFonts w:ascii="Arial" w:hAnsi="Arial" w:cs="Arial"/>
                <w:noProof/>
                <w:webHidden/>
                <w:sz w:val="32"/>
                <w:szCs w:val="32"/>
              </w:rPr>
            </w:r>
            <w:r w:rsidRPr="0066448F">
              <w:rPr>
                <w:rFonts w:ascii="Arial" w:hAnsi="Arial" w:cs="Arial"/>
                <w:noProof/>
                <w:webHidden/>
                <w:sz w:val="32"/>
                <w:szCs w:val="32"/>
              </w:rPr>
              <w:fldChar w:fldCharType="separate"/>
            </w:r>
            <w:r w:rsidRPr="0066448F">
              <w:rPr>
                <w:rFonts w:ascii="Arial" w:hAnsi="Arial" w:cs="Arial"/>
                <w:noProof/>
                <w:webHidden/>
                <w:sz w:val="32"/>
                <w:szCs w:val="32"/>
              </w:rPr>
              <w:t>7</w:t>
            </w:r>
            <w:r w:rsidRPr="0066448F">
              <w:rPr>
                <w:rFonts w:ascii="Arial" w:hAnsi="Arial" w:cs="Arial"/>
                <w:noProof/>
                <w:webHidden/>
                <w:sz w:val="32"/>
                <w:szCs w:val="32"/>
              </w:rPr>
              <w:fldChar w:fldCharType="end"/>
            </w:r>
          </w:hyperlink>
        </w:p>
        <w:p w14:paraId="57CD8F3C" w14:textId="502C4A24" w:rsidR="0066448F" w:rsidRPr="0066448F" w:rsidRDefault="0066448F">
          <w:pPr>
            <w:rPr>
              <w:rFonts w:ascii="Arial" w:hAnsi="Arial" w:cs="Arial"/>
              <w:sz w:val="36"/>
              <w:szCs w:val="36"/>
            </w:rPr>
          </w:pPr>
          <w:r w:rsidRPr="0066448F">
            <w:rPr>
              <w:rFonts w:ascii="Arial" w:hAnsi="Arial" w:cs="Arial"/>
              <w:b/>
              <w:bCs/>
              <w:noProof/>
              <w:color w:val="000000" w:themeColor="text1"/>
              <w:sz w:val="32"/>
              <w:szCs w:val="32"/>
            </w:rPr>
            <w:lastRenderedPageBreak/>
            <w:fldChar w:fldCharType="end"/>
          </w:r>
        </w:p>
      </w:sdtContent>
    </w:sdt>
    <w:p w14:paraId="08C44D5A" w14:textId="77777777" w:rsidR="0066448F" w:rsidRDefault="0066448F" w:rsidP="0066448F">
      <w:pPr>
        <w:pStyle w:val="TOCHeading"/>
      </w:pPr>
    </w:p>
    <w:p w14:paraId="0DF32C30" w14:textId="55070128" w:rsidR="0066448F" w:rsidRPr="0066448F" w:rsidRDefault="0066448F" w:rsidP="0066448F">
      <w:pPr>
        <w:pStyle w:val="Heading1"/>
      </w:pPr>
      <w:bookmarkStart w:id="1" w:name="_Toc169341518"/>
      <w:r w:rsidRPr="0066448F">
        <w:t>Introduction</w:t>
      </w:r>
      <w:bookmarkEnd w:id="1"/>
    </w:p>
    <w:p w14:paraId="44F2E269" w14:textId="59718994" w:rsidR="0066448F" w:rsidRPr="0066448F" w:rsidRDefault="0066448F" w:rsidP="0066448F">
      <w:pPr>
        <w:spacing w:before="100" w:beforeAutospacing="1" w:after="100" w:afterAutospacing="1"/>
        <w:rPr>
          <w:rFonts w:ascii="Arial" w:eastAsia="Times New Roman" w:hAnsi="Arial" w:cs="Arial"/>
          <w:lang w:eastAsia="en-GB"/>
        </w:rPr>
      </w:pPr>
      <w:r w:rsidRPr="0066448F">
        <w:rPr>
          <w:rFonts w:ascii="Arial" w:eastAsia="Times New Roman" w:hAnsi="Arial" w:cs="Arial"/>
          <w:lang w:eastAsia="en-GB"/>
        </w:rPr>
        <w:t xml:space="preserve">Makita UK, a subsidiary of the global Makita Corporation, is a leading manufacturer of power tools and related equipment. Established in the UK market, Makita has developed a reputation for quality and innovation. In the contemporary business environment, corporate </w:t>
      </w:r>
      <w:r w:rsidRPr="0066448F">
        <w:rPr>
          <w:rFonts w:ascii="Arial" w:eastAsia="Times New Roman" w:hAnsi="Arial" w:cs="Arial"/>
          <w:lang w:eastAsia="en-GB"/>
        </w:rPr>
        <w:t>governance,</w:t>
      </w:r>
      <w:r w:rsidRPr="0066448F">
        <w:rPr>
          <w:rFonts w:ascii="Arial" w:eastAsia="Times New Roman" w:hAnsi="Arial" w:cs="Arial"/>
          <w:lang w:eastAsia="en-GB"/>
        </w:rPr>
        <w:t xml:space="preserve"> and corporate social responsibility (CSR) have become critical factors influencing firm performance. This report aims to evaluate the impact of corporate governance and CSR on Makita UK's performance, drawing from concepts in International Financial Management (IFM). The report will identify key metrics for corporate governance and CSR and discuss their empirical effects on firm performance.</w:t>
      </w:r>
    </w:p>
    <w:p w14:paraId="3F58AB7D" w14:textId="77777777" w:rsidR="0066448F" w:rsidRPr="0066448F" w:rsidRDefault="0066448F" w:rsidP="0066448F">
      <w:pPr>
        <w:pStyle w:val="Heading1"/>
      </w:pPr>
      <w:bookmarkStart w:id="2" w:name="_Toc169341519"/>
      <w:r w:rsidRPr="0066448F">
        <w:t>Corporate Governance Metrics for Makita UK</w:t>
      </w:r>
      <w:bookmarkEnd w:id="2"/>
    </w:p>
    <w:p w14:paraId="47B7B4B3" w14:textId="4DFBA577" w:rsidR="0066448F" w:rsidRPr="0066448F" w:rsidRDefault="0066448F" w:rsidP="0066448F">
      <w:pPr>
        <w:pStyle w:val="NormalWeb"/>
        <w:rPr>
          <w:rFonts w:ascii="Arial" w:hAnsi="Arial" w:cs="Arial"/>
        </w:rPr>
      </w:pPr>
      <w:r w:rsidRPr="0066448F">
        <w:rPr>
          <w:rFonts w:ascii="Arial" w:hAnsi="Arial" w:cs="Arial"/>
        </w:rPr>
        <w:t xml:space="preserve">Corporate governance and corporate social responsibility (CSR) are integral components of contemporary corporate management. Effective corporate governance ensures that a company adheres to a set of rules, practices, and processes by which it is directed and controlled, while CSR involves the ethical responsibility of a firm towards the environment, its stakeholders, and society at large. This report examines the impact of corporate governance and CSR on the performance of Makita UK, drawing on relevant metrics and empirical </w:t>
      </w:r>
      <w:r w:rsidRPr="0066448F">
        <w:rPr>
          <w:rFonts w:ascii="Arial" w:hAnsi="Arial" w:cs="Arial"/>
        </w:rPr>
        <w:t>data</w:t>
      </w:r>
      <w:r w:rsidRPr="0066448F">
        <w:rPr>
          <w:rFonts w:ascii="Arial" w:hAnsi="Arial" w:cs="Arial"/>
        </w:rPr>
        <w:t xml:space="preserve"> For Makita UK, the following metrics are pertinent:</w:t>
      </w:r>
    </w:p>
    <w:p w14:paraId="6D9C0C25" w14:textId="77777777"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Board Composition</w:t>
      </w:r>
      <w:r w:rsidRPr="0066448F">
        <w:rPr>
          <w:rFonts w:ascii="Arial" w:hAnsi="Arial" w:cs="Arial"/>
        </w:rPr>
        <w:t>: The structure and diversity of the board, including the proportion of independent directors, gender diversity, and the expertise of board members.</w:t>
      </w:r>
    </w:p>
    <w:p w14:paraId="168ACE78" w14:textId="77777777"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Ownership Structure</w:t>
      </w:r>
      <w:r w:rsidRPr="0066448F">
        <w:rPr>
          <w:rFonts w:ascii="Arial" w:hAnsi="Arial" w:cs="Arial"/>
        </w:rPr>
        <w:t>: The distribution of ownership between insiders and outsiders, institutional ownership, and the presence of significant shareholders.</w:t>
      </w:r>
    </w:p>
    <w:p w14:paraId="661FA224" w14:textId="016CC755"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Executive Compensation</w:t>
      </w:r>
      <w:r w:rsidRPr="0066448F">
        <w:rPr>
          <w:rFonts w:ascii="Arial" w:hAnsi="Arial" w:cs="Arial"/>
        </w:rPr>
        <w:t xml:space="preserve">: The alignment of executive </w:t>
      </w:r>
      <w:r w:rsidRPr="0066448F">
        <w:rPr>
          <w:rFonts w:ascii="Arial" w:hAnsi="Arial" w:cs="Arial"/>
        </w:rPr>
        <w:t>pays</w:t>
      </w:r>
      <w:r w:rsidRPr="0066448F">
        <w:rPr>
          <w:rFonts w:ascii="Arial" w:hAnsi="Arial" w:cs="Arial"/>
        </w:rPr>
        <w:t xml:space="preserve"> with company performance, including bonuses, stock options, and other incentives.</w:t>
      </w:r>
    </w:p>
    <w:p w14:paraId="669C2308" w14:textId="77777777"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Audit Quality</w:t>
      </w:r>
      <w:r w:rsidRPr="0066448F">
        <w:rPr>
          <w:rFonts w:ascii="Arial" w:hAnsi="Arial" w:cs="Arial"/>
        </w:rPr>
        <w:t>: The robustness of the audit process, independence of the audit committee, and the frequency and quality of external audits.</w:t>
      </w:r>
    </w:p>
    <w:p w14:paraId="0EF8CF96" w14:textId="77777777"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Shareholder Rights</w:t>
      </w:r>
      <w:r w:rsidRPr="0066448F">
        <w:rPr>
          <w:rFonts w:ascii="Arial" w:hAnsi="Arial" w:cs="Arial"/>
        </w:rPr>
        <w:t>: Mechanisms for protecting shareholder interests, such as voting rights, transparency in communication, and avenues for shareholder activism.</w:t>
      </w:r>
    </w:p>
    <w:p w14:paraId="7A40739F" w14:textId="77777777" w:rsidR="0066448F" w:rsidRPr="0066448F" w:rsidRDefault="0066448F" w:rsidP="0066448F">
      <w:pPr>
        <w:pStyle w:val="NormalWeb"/>
        <w:numPr>
          <w:ilvl w:val="0"/>
          <w:numId w:val="23"/>
        </w:numPr>
        <w:rPr>
          <w:rFonts w:ascii="Arial" w:hAnsi="Arial" w:cs="Arial"/>
        </w:rPr>
      </w:pPr>
      <w:r w:rsidRPr="0066448F">
        <w:rPr>
          <w:rStyle w:val="Strong"/>
          <w:rFonts w:ascii="Arial" w:hAnsi="Arial" w:cs="Arial"/>
        </w:rPr>
        <w:t>Risk Management</w:t>
      </w:r>
      <w:r w:rsidRPr="0066448F">
        <w:rPr>
          <w:rFonts w:ascii="Arial" w:hAnsi="Arial" w:cs="Arial"/>
        </w:rPr>
        <w:t>: The processes in place for identifying, assessing, and managing financial and operational risks.</w:t>
      </w:r>
    </w:p>
    <w:p w14:paraId="1D144559" w14:textId="77777777" w:rsidR="0066448F" w:rsidRPr="0066448F" w:rsidRDefault="0066448F" w:rsidP="0066448F">
      <w:pPr>
        <w:pStyle w:val="NormalWeb"/>
        <w:rPr>
          <w:rFonts w:ascii="Arial" w:hAnsi="Arial" w:cs="Arial"/>
        </w:rPr>
      </w:pPr>
    </w:p>
    <w:p w14:paraId="14ACF9B9" w14:textId="77777777" w:rsidR="0066448F" w:rsidRPr="0066448F" w:rsidRDefault="0066448F" w:rsidP="0066448F">
      <w:pPr>
        <w:pStyle w:val="NormalWeb"/>
        <w:rPr>
          <w:rFonts w:ascii="Arial" w:hAnsi="Arial" w:cs="Arial"/>
        </w:rPr>
      </w:pPr>
    </w:p>
    <w:p w14:paraId="30885C7B" w14:textId="77777777" w:rsidR="0066448F" w:rsidRPr="0066448F" w:rsidRDefault="0066448F" w:rsidP="0066448F">
      <w:pPr>
        <w:pStyle w:val="NormalWeb"/>
        <w:rPr>
          <w:rFonts w:ascii="Arial" w:hAnsi="Arial" w:cs="Arial"/>
        </w:rPr>
      </w:pPr>
    </w:p>
    <w:p w14:paraId="042368AB" w14:textId="2DB52C44" w:rsidR="0066448F" w:rsidRPr="0066448F" w:rsidRDefault="0066448F" w:rsidP="0066448F">
      <w:pPr>
        <w:pStyle w:val="Heading1"/>
      </w:pPr>
      <w:bookmarkStart w:id="3" w:name="_Toc169341520"/>
      <w:r w:rsidRPr="0066448F">
        <w:lastRenderedPageBreak/>
        <w:t>Corporate Social Responsibility Metrics for Makita UK</w:t>
      </w:r>
      <w:bookmarkEnd w:id="3"/>
    </w:p>
    <w:p w14:paraId="74A48B7D" w14:textId="77777777" w:rsidR="0066448F" w:rsidRPr="0066448F" w:rsidRDefault="0066448F" w:rsidP="0066448F">
      <w:pPr>
        <w:pStyle w:val="NormalWeb"/>
        <w:rPr>
          <w:rFonts w:ascii="Arial" w:hAnsi="Arial" w:cs="Arial"/>
        </w:rPr>
      </w:pPr>
      <w:r w:rsidRPr="0066448F">
        <w:rPr>
          <w:rFonts w:ascii="Arial" w:hAnsi="Arial" w:cs="Arial"/>
        </w:rPr>
        <w:t>Corporate Social Responsibility (CSR) metrics are essential for evaluating a company's social and environmental performance, providing stakeholders with a clear view of how the company contributes to sustainable development. For Makita UK, relevant CSR metrics span environmental, social, and product responsibility dimensions.</w:t>
      </w:r>
    </w:p>
    <w:p w14:paraId="67883C2F" w14:textId="77777777" w:rsidR="0066448F" w:rsidRPr="0066448F" w:rsidRDefault="0066448F" w:rsidP="0066448F">
      <w:pPr>
        <w:pStyle w:val="Heading3"/>
        <w:rPr>
          <w:rFonts w:ascii="Arial" w:hAnsi="Arial" w:cs="Arial"/>
          <w:sz w:val="24"/>
          <w:szCs w:val="24"/>
        </w:rPr>
      </w:pPr>
      <w:bookmarkStart w:id="4" w:name="_Toc169341521"/>
      <w:r w:rsidRPr="0066448F">
        <w:rPr>
          <w:rFonts w:ascii="Arial" w:hAnsi="Arial" w:cs="Arial"/>
          <w:sz w:val="24"/>
          <w:szCs w:val="24"/>
        </w:rPr>
        <w:t>Environmental Initiatives</w:t>
      </w:r>
      <w:bookmarkEnd w:id="4"/>
    </w:p>
    <w:p w14:paraId="7079C7FD" w14:textId="77777777" w:rsidR="0066448F" w:rsidRPr="0066448F" w:rsidRDefault="0066448F" w:rsidP="0066448F">
      <w:pPr>
        <w:pStyle w:val="NormalWeb"/>
        <w:numPr>
          <w:ilvl w:val="0"/>
          <w:numId w:val="7"/>
        </w:numPr>
        <w:rPr>
          <w:rFonts w:ascii="Arial" w:hAnsi="Arial" w:cs="Arial"/>
        </w:rPr>
      </w:pPr>
      <w:r w:rsidRPr="0066448F">
        <w:rPr>
          <w:rStyle w:val="Strong"/>
          <w:rFonts w:ascii="Arial" w:hAnsi="Arial" w:cs="Arial"/>
        </w:rPr>
        <w:t>Carbon Footprint Reduction</w:t>
      </w:r>
      <w:r w:rsidRPr="0066448F">
        <w:rPr>
          <w:rFonts w:ascii="Arial" w:hAnsi="Arial" w:cs="Arial"/>
        </w:rPr>
        <w:t>: This metric tracks the total greenhouse gas emissions from Makita UK’s operations. Reducing carbon emissions through energy-efficient technologies, renewable energy adoption, and sustainable manufacturing processes is critical. Companies with lower carbon footprints tend to have better reputations and face fewer regulatory risks (Porter &amp; Kramer, 2006).</w:t>
      </w:r>
    </w:p>
    <w:p w14:paraId="0AFA2ADA" w14:textId="699AC1B1" w:rsidR="0066448F" w:rsidRPr="0066448F" w:rsidRDefault="0066448F" w:rsidP="0066448F">
      <w:pPr>
        <w:pStyle w:val="NormalWeb"/>
        <w:numPr>
          <w:ilvl w:val="0"/>
          <w:numId w:val="7"/>
        </w:numPr>
        <w:rPr>
          <w:rFonts w:ascii="Arial" w:hAnsi="Arial" w:cs="Arial"/>
        </w:rPr>
      </w:pPr>
      <w:r w:rsidRPr="0066448F">
        <w:rPr>
          <w:rStyle w:val="Strong"/>
          <w:rFonts w:ascii="Arial" w:hAnsi="Arial" w:cs="Arial"/>
        </w:rPr>
        <w:t>Waste Management</w:t>
      </w:r>
      <w:r w:rsidRPr="0066448F">
        <w:rPr>
          <w:rFonts w:ascii="Arial" w:hAnsi="Arial" w:cs="Arial"/>
        </w:rPr>
        <w:t xml:space="preserve">: Effective waste management practices include reducing waste generation and increasing recycling rates. Metrics such as the percentage of waste </w:t>
      </w:r>
      <w:r w:rsidRPr="0066448F">
        <w:rPr>
          <w:rFonts w:ascii="Arial" w:hAnsi="Arial" w:cs="Arial"/>
        </w:rPr>
        <w:t>recycled,</w:t>
      </w:r>
      <w:r w:rsidRPr="0066448F">
        <w:rPr>
          <w:rFonts w:ascii="Arial" w:hAnsi="Arial" w:cs="Arial"/>
        </w:rPr>
        <w:t xml:space="preserve"> and the volume of hazardous waste properly disposed of are crucial. Improved waste management not only reduces environmental impact but also operational costs (Hsu et al., 2013).</w:t>
      </w:r>
    </w:p>
    <w:p w14:paraId="3A4A9CED" w14:textId="77777777" w:rsidR="0066448F" w:rsidRPr="0066448F" w:rsidRDefault="0066448F" w:rsidP="0066448F">
      <w:pPr>
        <w:pStyle w:val="NormalWeb"/>
        <w:numPr>
          <w:ilvl w:val="0"/>
          <w:numId w:val="7"/>
        </w:numPr>
        <w:rPr>
          <w:rFonts w:ascii="Arial" w:hAnsi="Arial" w:cs="Arial"/>
        </w:rPr>
      </w:pPr>
      <w:r w:rsidRPr="0066448F">
        <w:rPr>
          <w:rStyle w:val="Strong"/>
          <w:rFonts w:ascii="Arial" w:hAnsi="Arial" w:cs="Arial"/>
        </w:rPr>
        <w:t>Energy Efficiency</w:t>
      </w:r>
      <w:r w:rsidRPr="0066448F">
        <w:rPr>
          <w:rFonts w:ascii="Arial" w:hAnsi="Arial" w:cs="Arial"/>
        </w:rPr>
        <w:t>: Monitoring energy consumption per unit of output helps assess how efficiently Makita UK uses energy resources. Implementing energy-saving measures can significantly lower operational costs and environmental impact (Hart &amp; Ahuja, 1996).</w:t>
      </w:r>
    </w:p>
    <w:p w14:paraId="5B72FE9F" w14:textId="77777777" w:rsidR="0066448F" w:rsidRPr="0066448F" w:rsidRDefault="0066448F" w:rsidP="0066448F">
      <w:pPr>
        <w:pStyle w:val="Heading3"/>
        <w:rPr>
          <w:rFonts w:ascii="Arial" w:hAnsi="Arial" w:cs="Arial"/>
          <w:sz w:val="24"/>
          <w:szCs w:val="24"/>
        </w:rPr>
      </w:pPr>
      <w:bookmarkStart w:id="5" w:name="_Toc169341522"/>
      <w:r w:rsidRPr="0066448F">
        <w:rPr>
          <w:rFonts w:ascii="Arial" w:hAnsi="Arial" w:cs="Arial"/>
          <w:sz w:val="24"/>
          <w:szCs w:val="24"/>
        </w:rPr>
        <w:t>Social Contributions</w:t>
      </w:r>
      <w:bookmarkEnd w:id="5"/>
    </w:p>
    <w:p w14:paraId="659F0163" w14:textId="77777777" w:rsidR="0066448F" w:rsidRPr="0066448F" w:rsidRDefault="0066448F" w:rsidP="0066448F">
      <w:pPr>
        <w:pStyle w:val="NormalWeb"/>
        <w:numPr>
          <w:ilvl w:val="0"/>
          <w:numId w:val="8"/>
        </w:numPr>
        <w:rPr>
          <w:rFonts w:ascii="Arial" w:hAnsi="Arial" w:cs="Arial"/>
        </w:rPr>
      </w:pPr>
      <w:r w:rsidRPr="0066448F">
        <w:rPr>
          <w:rStyle w:val="Strong"/>
          <w:rFonts w:ascii="Arial" w:hAnsi="Arial" w:cs="Arial"/>
        </w:rPr>
        <w:t>Community Engagement</w:t>
      </w:r>
      <w:r w:rsidRPr="0066448F">
        <w:rPr>
          <w:rFonts w:ascii="Arial" w:hAnsi="Arial" w:cs="Arial"/>
        </w:rPr>
        <w:t>: This metric evaluates the extent of Makita UK's involvement in local communities through projects and charitable activities. Metrics include the number of community projects supported, volunteer hours by employees, and financial donations. Community engagement strengthens social ties and enhances corporate reputation (Kotler &amp; Lee, 2005).</w:t>
      </w:r>
    </w:p>
    <w:p w14:paraId="200514D3" w14:textId="77777777" w:rsidR="0066448F" w:rsidRPr="0066448F" w:rsidRDefault="0066448F" w:rsidP="0066448F">
      <w:pPr>
        <w:pStyle w:val="NormalWeb"/>
        <w:numPr>
          <w:ilvl w:val="0"/>
          <w:numId w:val="8"/>
        </w:numPr>
        <w:rPr>
          <w:rFonts w:ascii="Arial" w:hAnsi="Arial" w:cs="Arial"/>
        </w:rPr>
      </w:pPr>
      <w:r w:rsidRPr="0066448F">
        <w:rPr>
          <w:rStyle w:val="Strong"/>
          <w:rFonts w:ascii="Arial" w:hAnsi="Arial" w:cs="Arial"/>
        </w:rPr>
        <w:t>Educational Programs</w:t>
      </w:r>
      <w:r w:rsidRPr="0066448F">
        <w:rPr>
          <w:rFonts w:ascii="Arial" w:hAnsi="Arial" w:cs="Arial"/>
        </w:rPr>
        <w:t>: Investments in educational initiatives, such as scholarships and training programs, reflect the company's commitment to societal development. Metrics to track include the number of beneficiaries of educational programs and partnerships with educational institutions (McWilliams &amp; Siegel, 2001).</w:t>
      </w:r>
    </w:p>
    <w:p w14:paraId="7DFC9EAB" w14:textId="77777777" w:rsidR="0066448F" w:rsidRPr="0066448F" w:rsidRDefault="0066448F" w:rsidP="0066448F">
      <w:pPr>
        <w:pStyle w:val="Heading3"/>
        <w:rPr>
          <w:rFonts w:ascii="Arial" w:hAnsi="Arial" w:cs="Arial"/>
          <w:sz w:val="24"/>
          <w:szCs w:val="24"/>
        </w:rPr>
      </w:pPr>
      <w:bookmarkStart w:id="6" w:name="_Toc169341523"/>
      <w:r w:rsidRPr="0066448F">
        <w:rPr>
          <w:rFonts w:ascii="Arial" w:hAnsi="Arial" w:cs="Arial"/>
          <w:sz w:val="24"/>
          <w:szCs w:val="24"/>
        </w:rPr>
        <w:t>Employee Relations</w:t>
      </w:r>
      <w:bookmarkEnd w:id="6"/>
    </w:p>
    <w:p w14:paraId="7EF6F151" w14:textId="77777777" w:rsidR="0066448F" w:rsidRPr="0066448F" w:rsidRDefault="0066448F" w:rsidP="0066448F">
      <w:pPr>
        <w:pStyle w:val="NormalWeb"/>
        <w:numPr>
          <w:ilvl w:val="0"/>
          <w:numId w:val="15"/>
        </w:numPr>
        <w:rPr>
          <w:rFonts w:ascii="Arial" w:hAnsi="Arial" w:cs="Arial"/>
        </w:rPr>
      </w:pPr>
      <w:r w:rsidRPr="0066448F">
        <w:rPr>
          <w:rStyle w:val="Strong"/>
          <w:rFonts w:ascii="Arial" w:hAnsi="Arial" w:cs="Arial"/>
        </w:rPr>
        <w:t>Diversity and Inclusion</w:t>
      </w:r>
      <w:r w:rsidRPr="0066448F">
        <w:rPr>
          <w:rFonts w:ascii="Arial" w:hAnsi="Arial" w:cs="Arial"/>
        </w:rPr>
        <w:t>: Tracking workforce diversity and inclusion initiatives reflects Makita UK's commitment to an equitable work environment. Metrics include demographic diversity at various organizational levels and the implementation of diversity training programs (Cox &amp; Blake, 1991).</w:t>
      </w:r>
    </w:p>
    <w:p w14:paraId="6294A95C" w14:textId="77777777" w:rsidR="0066448F" w:rsidRPr="0066448F" w:rsidRDefault="0066448F" w:rsidP="0066448F">
      <w:pPr>
        <w:pStyle w:val="NormalWeb"/>
        <w:numPr>
          <w:ilvl w:val="0"/>
          <w:numId w:val="15"/>
        </w:numPr>
        <w:rPr>
          <w:rFonts w:ascii="Arial" w:hAnsi="Arial" w:cs="Arial"/>
        </w:rPr>
      </w:pPr>
      <w:r w:rsidRPr="0066448F">
        <w:rPr>
          <w:rStyle w:val="Strong"/>
          <w:rFonts w:ascii="Arial" w:hAnsi="Arial" w:cs="Arial"/>
        </w:rPr>
        <w:t>Training and Development</w:t>
      </w:r>
      <w:r w:rsidRPr="0066448F">
        <w:rPr>
          <w:rFonts w:ascii="Arial" w:hAnsi="Arial" w:cs="Arial"/>
        </w:rPr>
        <w:t>: Measuring the quality and quantity of employee training programs is essential. Metrics include the number of training hours per employee and the scope of skill development initiatives, which are linked to increased employee productivity and satisfaction (Barney, 1991).</w:t>
      </w:r>
    </w:p>
    <w:p w14:paraId="7C320EB4" w14:textId="77777777" w:rsidR="0066448F" w:rsidRPr="0066448F" w:rsidRDefault="0066448F" w:rsidP="0066448F">
      <w:pPr>
        <w:pStyle w:val="Heading3"/>
        <w:rPr>
          <w:rFonts w:ascii="Arial" w:hAnsi="Arial" w:cs="Arial"/>
          <w:sz w:val="24"/>
          <w:szCs w:val="24"/>
        </w:rPr>
      </w:pPr>
      <w:bookmarkStart w:id="7" w:name="_Toc169341524"/>
      <w:r w:rsidRPr="0066448F">
        <w:rPr>
          <w:rFonts w:ascii="Arial" w:hAnsi="Arial" w:cs="Arial"/>
          <w:sz w:val="24"/>
          <w:szCs w:val="24"/>
        </w:rPr>
        <w:lastRenderedPageBreak/>
        <w:t>Product Responsibility</w:t>
      </w:r>
      <w:bookmarkEnd w:id="7"/>
    </w:p>
    <w:p w14:paraId="276AF8E4" w14:textId="77777777" w:rsidR="0066448F" w:rsidRPr="0066448F" w:rsidRDefault="0066448F" w:rsidP="0066448F">
      <w:pPr>
        <w:pStyle w:val="NormalWeb"/>
        <w:numPr>
          <w:ilvl w:val="0"/>
          <w:numId w:val="16"/>
        </w:numPr>
        <w:rPr>
          <w:rFonts w:ascii="Arial" w:hAnsi="Arial" w:cs="Arial"/>
        </w:rPr>
      </w:pPr>
      <w:r w:rsidRPr="0066448F">
        <w:rPr>
          <w:rStyle w:val="Strong"/>
          <w:rFonts w:ascii="Arial" w:hAnsi="Arial" w:cs="Arial"/>
        </w:rPr>
        <w:t>Product Quality and Safety</w:t>
      </w:r>
      <w:r w:rsidRPr="0066448F">
        <w:rPr>
          <w:rFonts w:ascii="Arial" w:hAnsi="Arial" w:cs="Arial"/>
        </w:rPr>
        <w:t>: Ensuring high product quality and safety standards is crucial. Metrics include the number of product recalls and customer complaints, ensuring adherence to safety regulations (Berry &amp; Parasuraman, 1991).</w:t>
      </w:r>
    </w:p>
    <w:p w14:paraId="4DDB1313" w14:textId="77777777" w:rsidR="0066448F" w:rsidRPr="0066448F" w:rsidRDefault="0066448F" w:rsidP="0066448F">
      <w:pPr>
        <w:pStyle w:val="NormalWeb"/>
        <w:numPr>
          <w:ilvl w:val="0"/>
          <w:numId w:val="16"/>
        </w:numPr>
        <w:rPr>
          <w:rFonts w:ascii="Arial" w:hAnsi="Arial" w:cs="Arial"/>
        </w:rPr>
      </w:pPr>
      <w:r w:rsidRPr="0066448F">
        <w:rPr>
          <w:rStyle w:val="Strong"/>
          <w:rFonts w:ascii="Arial" w:hAnsi="Arial" w:cs="Arial"/>
        </w:rPr>
        <w:t>Customer Satisfaction</w:t>
      </w:r>
      <w:r w:rsidRPr="0066448F">
        <w:rPr>
          <w:rFonts w:ascii="Arial" w:hAnsi="Arial" w:cs="Arial"/>
        </w:rPr>
        <w:t>: Customer satisfaction scores and feedback surveys provide insights into how well Makita UK meets customer needs and maintains high product standards, directly impacting brand loyalty (</w:t>
      </w:r>
      <w:proofErr w:type="spellStart"/>
      <w:r w:rsidRPr="0066448F">
        <w:rPr>
          <w:rFonts w:ascii="Arial" w:hAnsi="Arial" w:cs="Arial"/>
        </w:rPr>
        <w:t>Fornell</w:t>
      </w:r>
      <w:proofErr w:type="spellEnd"/>
      <w:r w:rsidRPr="0066448F">
        <w:rPr>
          <w:rFonts w:ascii="Arial" w:hAnsi="Arial" w:cs="Arial"/>
        </w:rPr>
        <w:t xml:space="preserve"> et al., 1996).</w:t>
      </w:r>
    </w:p>
    <w:p w14:paraId="6877AE58" w14:textId="77777777" w:rsidR="0066448F" w:rsidRPr="0066448F" w:rsidRDefault="0066448F" w:rsidP="0066448F">
      <w:pPr>
        <w:pStyle w:val="Heading3"/>
        <w:rPr>
          <w:rFonts w:ascii="Arial" w:hAnsi="Arial" w:cs="Arial"/>
          <w:sz w:val="24"/>
          <w:szCs w:val="24"/>
        </w:rPr>
      </w:pPr>
      <w:bookmarkStart w:id="8" w:name="_Toc169341525"/>
      <w:r w:rsidRPr="0066448F">
        <w:rPr>
          <w:rFonts w:ascii="Arial" w:hAnsi="Arial" w:cs="Arial"/>
          <w:sz w:val="24"/>
          <w:szCs w:val="24"/>
        </w:rPr>
        <w:t>Supply Chain Responsibility</w:t>
      </w:r>
      <w:bookmarkEnd w:id="8"/>
    </w:p>
    <w:p w14:paraId="52685C21" w14:textId="54F4017E" w:rsidR="0066448F" w:rsidRPr="0066448F" w:rsidRDefault="0066448F" w:rsidP="0066448F">
      <w:pPr>
        <w:pStyle w:val="NormalWeb"/>
        <w:numPr>
          <w:ilvl w:val="0"/>
          <w:numId w:val="17"/>
        </w:numPr>
        <w:jc w:val="both"/>
        <w:rPr>
          <w:rFonts w:ascii="Arial" w:hAnsi="Arial" w:cs="Arial"/>
        </w:rPr>
      </w:pPr>
      <w:r w:rsidRPr="0066448F">
        <w:rPr>
          <w:rStyle w:val="Strong"/>
          <w:rFonts w:ascii="Arial" w:hAnsi="Arial" w:cs="Arial"/>
        </w:rPr>
        <w:t>Ethical Sourcing</w:t>
      </w:r>
      <w:r w:rsidRPr="0066448F">
        <w:rPr>
          <w:rFonts w:ascii="Arial" w:hAnsi="Arial" w:cs="Arial"/>
        </w:rPr>
        <w:t>: This metric evaluates the ethical standards of suppliers, including labo</w:t>
      </w:r>
      <w:r w:rsidRPr="0066448F">
        <w:rPr>
          <w:rFonts w:ascii="Arial" w:hAnsi="Arial" w:cs="Arial"/>
        </w:rPr>
        <w:t>u</w:t>
      </w:r>
      <w:r w:rsidRPr="0066448F">
        <w:rPr>
          <w:rFonts w:ascii="Arial" w:hAnsi="Arial" w:cs="Arial"/>
        </w:rPr>
        <w:t>r practices and environmental impact. Ensuring that suppliers comply with ethical standards is critical for maintaining Makita UK's CSR commitments (Carter &amp; Jennings, 2004).</w:t>
      </w:r>
    </w:p>
    <w:p w14:paraId="08A348FD" w14:textId="77777777" w:rsidR="0066448F" w:rsidRPr="0066448F" w:rsidRDefault="0066448F" w:rsidP="0066448F">
      <w:pPr>
        <w:pStyle w:val="NormalWeb"/>
        <w:numPr>
          <w:ilvl w:val="0"/>
          <w:numId w:val="17"/>
        </w:numPr>
        <w:jc w:val="both"/>
        <w:rPr>
          <w:rFonts w:ascii="Arial" w:hAnsi="Arial" w:cs="Arial"/>
        </w:rPr>
      </w:pPr>
      <w:r w:rsidRPr="0066448F">
        <w:rPr>
          <w:rStyle w:val="Strong"/>
          <w:rFonts w:ascii="Arial" w:hAnsi="Arial" w:cs="Arial"/>
        </w:rPr>
        <w:t>Sustainability in the Supply Chain</w:t>
      </w:r>
      <w:r w:rsidRPr="0066448F">
        <w:rPr>
          <w:rFonts w:ascii="Arial" w:hAnsi="Arial" w:cs="Arial"/>
        </w:rPr>
        <w:t>: Assessing the environmental impact of the supply chain, such as the carbon footprint of suppliers and the sustainability of raw materials, helps ensure alignment with the company’s CSR goals (</w:t>
      </w:r>
      <w:proofErr w:type="spellStart"/>
      <w:r w:rsidRPr="0066448F">
        <w:rPr>
          <w:rFonts w:ascii="Arial" w:hAnsi="Arial" w:cs="Arial"/>
        </w:rPr>
        <w:t>Seuring</w:t>
      </w:r>
      <w:proofErr w:type="spellEnd"/>
      <w:r w:rsidRPr="0066448F">
        <w:rPr>
          <w:rFonts w:ascii="Arial" w:hAnsi="Arial" w:cs="Arial"/>
        </w:rPr>
        <w:t xml:space="preserve"> &amp; Müller, 2008).</w:t>
      </w:r>
    </w:p>
    <w:p w14:paraId="31ED7837" w14:textId="77777777" w:rsidR="0066448F" w:rsidRPr="0066448F" w:rsidRDefault="0066448F" w:rsidP="0066448F">
      <w:pPr>
        <w:pStyle w:val="NormalWeb"/>
        <w:ind w:left="720"/>
        <w:jc w:val="both"/>
        <w:rPr>
          <w:rFonts w:ascii="Arial" w:hAnsi="Arial" w:cs="Arial"/>
        </w:rPr>
      </w:pPr>
    </w:p>
    <w:p w14:paraId="5506C8D4" w14:textId="77777777" w:rsidR="0066448F" w:rsidRPr="0066448F" w:rsidRDefault="0066448F" w:rsidP="0066448F">
      <w:pPr>
        <w:pStyle w:val="TOCHeading"/>
      </w:pPr>
    </w:p>
    <w:p w14:paraId="1B399C89" w14:textId="77777777" w:rsidR="0066448F" w:rsidRPr="0066448F" w:rsidRDefault="0066448F" w:rsidP="0066448F">
      <w:pPr>
        <w:pStyle w:val="Heading1"/>
      </w:pPr>
      <w:bookmarkStart w:id="9" w:name="_Toc169341526"/>
      <w:r w:rsidRPr="0066448F">
        <w:t>Impact of Corporate Governance on Firm Performance</w:t>
      </w:r>
      <w:bookmarkEnd w:id="9"/>
    </w:p>
    <w:p w14:paraId="0C36FA0E" w14:textId="6D2936C0" w:rsidR="0066448F" w:rsidRPr="0066448F" w:rsidRDefault="0066448F" w:rsidP="0066448F">
      <w:pPr>
        <w:pStyle w:val="NormalWeb"/>
        <w:rPr>
          <w:rFonts w:ascii="Arial" w:hAnsi="Arial" w:cs="Arial"/>
        </w:rPr>
      </w:pPr>
      <w:r w:rsidRPr="0066448F">
        <w:rPr>
          <w:rFonts w:ascii="Arial" w:hAnsi="Arial" w:cs="Arial"/>
        </w:rPr>
        <w:t xml:space="preserve">The relationship between corporate governance and firm performance can be </w:t>
      </w:r>
      <w:r w:rsidRPr="0066448F">
        <w:rPr>
          <w:rFonts w:ascii="Arial" w:hAnsi="Arial" w:cs="Arial"/>
        </w:rPr>
        <w:t>analysed</w:t>
      </w:r>
      <w:r w:rsidRPr="0066448F">
        <w:rPr>
          <w:rFonts w:ascii="Arial" w:hAnsi="Arial" w:cs="Arial"/>
        </w:rPr>
        <w:t xml:space="preserve"> using empirical data. For Makita UK, key governance practices have been linked to various performance indicators, including financial performance, market valuation, and operational efficiency.</w:t>
      </w:r>
    </w:p>
    <w:p w14:paraId="147640E2" w14:textId="77777777" w:rsidR="0066448F" w:rsidRPr="0066448F" w:rsidRDefault="0066448F" w:rsidP="0066448F">
      <w:pPr>
        <w:pStyle w:val="NormalWeb"/>
        <w:ind w:left="360"/>
        <w:jc w:val="both"/>
        <w:rPr>
          <w:rFonts w:ascii="Arial" w:hAnsi="Arial" w:cs="Arial"/>
        </w:rPr>
      </w:pPr>
    </w:p>
    <w:p w14:paraId="31A4F0E2" w14:textId="77777777" w:rsidR="0066448F" w:rsidRPr="0066448F" w:rsidRDefault="0066448F" w:rsidP="0066448F">
      <w:pPr>
        <w:pStyle w:val="NormalWeb"/>
        <w:numPr>
          <w:ilvl w:val="0"/>
          <w:numId w:val="22"/>
        </w:numPr>
        <w:ind w:left="360"/>
        <w:rPr>
          <w:rFonts w:ascii="Arial" w:hAnsi="Arial" w:cs="Arial"/>
        </w:rPr>
      </w:pPr>
      <w:r w:rsidRPr="0066448F">
        <w:rPr>
          <w:rStyle w:val="Strong"/>
          <w:rFonts w:ascii="Arial" w:hAnsi="Arial" w:cs="Arial"/>
        </w:rPr>
        <w:t>Board Composition and Performance</w:t>
      </w:r>
      <w:r w:rsidRPr="0066448F">
        <w:rPr>
          <w:rFonts w:ascii="Arial" w:hAnsi="Arial" w:cs="Arial"/>
        </w:rPr>
        <w:t>: Research indicates that a well-composed board, with a mix of independent and diverse members, can enhance decision-making quality and oversight (Adams &amp; Ferreira, 2009). Makita UK's board structure, which emphasizes independence and expertise, has been associated with improved financial metrics such as Return on Equity (ROE) and Return on Assets (ROA).</w:t>
      </w:r>
    </w:p>
    <w:p w14:paraId="1FB9E3AC" w14:textId="77777777" w:rsidR="0066448F" w:rsidRPr="0066448F" w:rsidRDefault="0066448F" w:rsidP="0066448F">
      <w:pPr>
        <w:pStyle w:val="NormalWeb"/>
        <w:numPr>
          <w:ilvl w:val="0"/>
          <w:numId w:val="22"/>
        </w:numPr>
        <w:ind w:left="360"/>
        <w:rPr>
          <w:rFonts w:ascii="Arial" w:hAnsi="Arial" w:cs="Arial"/>
        </w:rPr>
      </w:pPr>
      <w:r w:rsidRPr="0066448F">
        <w:rPr>
          <w:rStyle w:val="Strong"/>
          <w:rFonts w:ascii="Arial" w:hAnsi="Arial" w:cs="Arial"/>
        </w:rPr>
        <w:t>Ownership Structure</w:t>
      </w:r>
      <w:r w:rsidRPr="0066448F">
        <w:rPr>
          <w:rFonts w:ascii="Arial" w:hAnsi="Arial" w:cs="Arial"/>
        </w:rPr>
        <w:t xml:space="preserve">: Studies show that concentrated ownership, especially by institutional investors, can lead to better monitoring and improved performance (Shleifer &amp; </w:t>
      </w:r>
      <w:proofErr w:type="spellStart"/>
      <w:r w:rsidRPr="0066448F">
        <w:rPr>
          <w:rFonts w:ascii="Arial" w:hAnsi="Arial" w:cs="Arial"/>
        </w:rPr>
        <w:t>Vishny</w:t>
      </w:r>
      <w:proofErr w:type="spellEnd"/>
      <w:r w:rsidRPr="0066448F">
        <w:rPr>
          <w:rFonts w:ascii="Arial" w:hAnsi="Arial" w:cs="Arial"/>
        </w:rPr>
        <w:t>, 1997). Makita UK’s ownership structure, characterized by significant institutional holdings, has positively influenced its financial stability and market performance.</w:t>
      </w:r>
    </w:p>
    <w:p w14:paraId="39600198" w14:textId="77777777" w:rsidR="0066448F" w:rsidRPr="0066448F" w:rsidRDefault="0066448F" w:rsidP="0066448F">
      <w:pPr>
        <w:pStyle w:val="NormalWeb"/>
        <w:numPr>
          <w:ilvl w:val="0"/>
          <w:numId w:val="22"/>
        </w:numPr>
        <w:ind w:left="360"/>
        <w:rPr>
          <w:rFonts w:ascii="Arial" w:hAnsi="Arial" w:cs="Arial"/>
        </w:rPr>
      </w:pPr>
      <w:r w:rsidRPr="0066448F">
        <w:rPr>
          <w:rStyle w:val="Strong"/>
          <w:rFonts w:ascii="Arial" w:hAnsi="Arial" w:cs="Arial"/>
        </w:rPr>
        <w:t>Executive Compensation</w:t>
      </w:r>
      <w:r w:rsidRPr="0066448F">
        <w:rPr>
          <w:rFonts w:ascii="Arial" w:hAnsi="Arial" w:cs="Arial"/>
        </w:rPr>
        <w:t xml:space="preserve">: Aligning executive compensation with firm performance incentivizes management to focus on long-term value creation (Jensen &amp; Murphy, 1990). Makita UK’s compensation policies, which include </w:t>
      </w:r>
      <w:r w:rsidRPr="0066448F">
        <w:rPr>
          <w:rFonts w:ascii="Arial" w:hAnsi="Arial" w:cs="Arial"/>
        </w:rPr>
        <w:lastRenderedPageBreak/>
        <w:t>performance-based bonuses and stock options, have been correlated with sustained growth in earnings and shareholder value.</w:t>
      </w:r>
    </w:p>
    <w:p w14:paraId="332A0254" w14:textId="77777777" w:rsidR="0066448F" w:rsidRPr="0066448F" w:rsidRDefault="0066448F" w:rsidP="0066448F">
      <w:pPr>
        <w:pStyle w:val="NormalWeb"/>
        <w:numPr>
          <w:ilvl w:val="0"/>
          <w:numId w:val="22"/>
        </w:numPr>
        <w:ind w:left="360"/>
        <w:rPr>
          <w:rFonts w:ascii="Arial" w:hAnsi="Arial" w:cs="Arial"/>
        </w:rPr>
      </w:pPr>
      <w:r w:rsidRPr="0066448F">
        <w:rPr>
          <w:rStyle w:val="Strong"/>
          <w:rFonts w:ascii="Arial" w:hAnsi="Arial" w:cs="Arial"/>
        </w:rPr>
        <w:t>Audit Quality</w:t>
      </w:r>
      <w:r w:rsidRPr="0066448F">
        <w:rPr>
          <w:rFonts w:ascii="Arial" w:hAnsi="Arial" w:cs="Arial"/>
        </w:rPr>
        <w:t>: High audit quality is critical for financial integrity and investor confidence. Makita UK's rigorous audit practices have contributed to transparent financial reporting and robust internal controls, thereby enhancing its reputation and market trust.</w:t>
      </w:r>
    </w:p>
    <w:p w14:paraId="6DA82FBF" w14:textId="77777777" w:rsidR="0066448F" w:rsidRPr="0066448F" w:rsidRDefault="0066448F" w:rsidP="0066448F">
      <w:pPr>
        <w:pStyle w:val="NormalWeb"/>
        <w:numPr>
          <w:ilvl w:val="0"/>
          <w:numId w:val="22"/>
        </w:numPr>
        <w:ind w:left="360"/>
        <w:rPr>
          <w:rFonts w:ascii="Arial" w:hAnsi="Arial" w:cs="Arial"/>
        </w:rPr>
      </w:pPr>
      <w:r w:rsidRPr="0066448F">
        <w:rPr>
          <w:rStyle w:val="Strong"/>
          <w:rFonts w:ascii="Arial" w:hAnsi="Arial" w:cs="Arial"/>
        </w:rPr>
        <w:t>Shareholder Rights</w:t>
      </w:r>
      <w:r w:rsidRPr="0066448F">
        <w:rPr>
          <w:rFonts w:ascii="Arial" w:hAnsi="Arial" w:cs="Arial"/>
        </w:rPr>
        <w:t>: Protecting shareholder rights through transparent governance practices fosters investor trust and can lead to a higher market valuation (La Porta et al., 1998). Makita UK’s commitment to shareholder engagement and transparency has been reflected in its strong market performance and investor loyalty.</w:t>
      </w:r>
    </w:p>
    <w:p w14:paraId="683CAD6B" w14:textId="77777777" w:rsidR="0066448F" w:rsidRPr="0066448F" w:rsidRDefault="0066448F" w:rsidP="0066448F">
      <w:pPr>
        <w:pStyle w:val="Heading1"/>
      </w:pPr>
      <w:bookmarkStart w:id="10" w:name="_Toc169341527"/>
      <w:r w:rsidRPr="0066448F">
        <w:t>Impact of CSR on Firm Performance</w:t>
      </w:r>
      <w:bookmarkEnd w:id="10"/>
    </w:p>
    <w:p w14:paraId="7AD5C573" w14:textId="77777777" w:rsidR="0066448F" w:rsidRPr="0066448F" w:rsidRDefault="0066448F" w:rsidP="0066448F">
      <w:pPr>
        <w:rPr>
          <w:rFonts w:ascii="Arial" w:hAnsi="Arial" w:cs="Arial"/>
        </w:rPr>
      </w:pPr>
      <w:r w:rsidRPr="0066448F">
        <w:rPr>
          <w:rFonts w:ascii="Arial" w:hAnsi="Arial" w:cs="Arial"/>
        </w:rPr>
        <w:t>The influence of CSR on firm performance is multifaceted, affecting not only financial metrics but also brand reputation, customer loyalty, and employee satisfaction.</w:t>
      </w:r>
    </w:p>
    <w:p w14:paraId="7604B5F9" w14:textId="77777777" w:rsidR="0066448F" w:rsidRPr="0066448F" w:rsidRDefault="0066448F" w:rsidP="0066448F">
      <w:pPr>
        <w:pStyle w:val="NormalWeb"/>
        <w:numPr>
          <w:ilvl w:val="0"/>
          <w:numId w:val="22"/>
        </w:numPr>
        <w:rPr>
          <w:rFonts w:ascii="Arial" w:hAnsi="Arial" w:cs="Arial"/>
        </w:rPr>
      </w:pPr>
      <w:r w:rsidRPr="0066448F">
        <w:rPr>
          <w:rStyle w:val="Strong"/>
          <w:rFonts w:ascii="Arial" w:hAnsi="Arial" w:cs="Arial"/>
        </w:rPr>
        <w:t>Environmental Initiatives and Performance</w:t>
      </w:r>
      <w:r w:rsidRPr="0066448F">
        <w:rPr>
          <w:rFonts w:ascii="Arial" w:hAnsi="Arial" w:cs="Arial"/>
        </w:rPr>
        <w:t>: Companies that actively engage in environmental sustainability often see long-term cost savings and enhanced brand value (Porter &amp; van der Linde, 1995). Makita UK’s initiatives to reduce its carbon footprint and improve energy efficiency have led to lower operational costs and a stronger brand image.</w:t>
      </w:r>
    </w:p>
    <w:p w14:paraId="2DC6128F" w14:textId="77777777" w:rsidR="0066448F" w:rsidRPr="0066448F" w:rsidRDefault="0066448F" w:rsidP="0066448F">
      <w:pPr>
        <w:pStyle w:val="NormalWeb"/>
        <w:numPr>
          <w:ilvl w:val="0"/>
          <w:numId w:val="22"/>
        </w:numPr>
        <w:rPr>
          <w:rFonts w:ascii="Arial" w:hAnsi="Arial" w:cs="Arial"/>
        </w:rPr>
      </w:pPr>
      <w:r w:rsidRPr="0066448F">
        <w:rPr>
          <w:rStyle w:val="Strong"/>
          <w:rFonts w:ascii="Arial" w:hAnsi="Arial" w:cs="Arial"/>
        </w:rPr>
        <w:t>Social Contributions</w:t>
      </w:r>
      <w:r w:rsidRPr="0066448F">
        <w:rPr>
          <w:rFonts w:ascii="Arial" w:hAnsi="Arial" w:cs="Arial"/>
        </w:rPr>
        <w:t>: Active involvement in social welfare and community development can enhance a company’s reputation and customer loyalty (Kotler &amp; Lee, 2005). Makita UK’s community engagement programs have fostered goodwill and customer loyalty, which in turn have positively impacted sales and market share.</w:t>
      </w:r>
    </w:p>
    <w:p w14:paraId="22C2D097" w14:textId="2569AA4A" w:rsidR="0066448F" w:rsidRPr="0066448F" w:rsidRDefault="0066448F" w:rsidP="0066448F">
      <w:pPr>
        <w:pStyle w:val="NormalWeb"/>
        <w:numPr>
          <w:ilvl w:val="0"/>
          <w:numId w:val="22"/>
        </w:numPr>
        <w:rPr>
          <w:rFonts w:ascii="Arial" w:hAnsi="Arial" w:cs="Arial"/>
        </w:rPr>
      </w:pPr>
      <w:r w:rsidRPr="0066448F">
        <w:rPr>
          <w:rStyle w:val="Strong"/>
          <w:rFonts w:ascii="Arial" w:hAnsi="Arial" w:cs="Arial"/>
        </w:rPr>
        <w:t>Employee Relations</w:t>
      </w:r>
      <w:r w:rsidRPr="0066448F">
        <w:rPr>
          <w:rFonts w:ascii="Arial" w:hAnsi="Arial" w:cs="Arial"/>
        </w:rPr>
        <w:t>: Good labo</w:t>
      </w:r>
      <w:r w:rsidRPr="0066448F">
        <w:rPr>
          <w:rFonts w:ascii="Arial" w:hAnsi="Arial" w:cs="Arial"/>
        </w:rPr>
        <w:t>u</w:t>
      </w:r>
      <w:r w:rsidRPr="0066448F">
        <w:rPr>
          <w:rFonts w:ascii="Arial" w:hAnsi="Arial" w:cs="Arial"/>
        </w:rPr>
        <w:t>r practices and a focus on employee welfare can lead to higher employee morale, lower turnover, and increased productivity (</w:t>
      </w:r>
      <w:proofErr w:type="spellStart"/>
      <w:r w:rsidRPr="0066448F">
        <w:rPr>
          <w:rFonts w:ascii="Arial" w:hAnsi="Arial" w:cs="Arial"/>
        </w:rPr>
        <w:t>Huselid</w:t>
      </w:r>
      <w:proofErr w:type="spellEnd"/>
      <w:r w:rsidRPr="0066448F">
        <w:rPr>
          <w:rFonts w:ascii="Arial" w:hAnsi="Arial" w:cs="Arial"/>
        </w:rPr>
        <w:t>, 1995). Makita UK’s commitment to employee training, diversity, and inclusion has resulted in a more motivated and productive workforce.</w:t>
      </w:r>
    </w:p>
    <w:p w14:paraId="26C90620" w14:textId="77777777" w:rsidR="0066448F" w:rsidRPr="0066448F" w:rsidRDefault="0066448F" w:rsidP="0066448F">
      <w:pPr>
        <w:pStyle w:val="NormalWeb"/>
        <w:numPr>
          <w:ilvl w:val="0"/>
          <w:numId w:val="22"/>
        </w:numPr>
        <w:rPr>
          <w:rFonts w:ascii="Arial" w:hAnsi="Arial" w:cs="Arial"/>
        </w:rPr>
      </w:pPr>
      <w:r w:rsidRPr="0066448F">
        <w:rPr>
          <w:rStyle w:val="Strong"/>
          <w:rFonts w:ascii="Arial" w:hAnsi="Arial" w:cs="Arial"/>
        </w:rPr>
        <w:t>Product Responsibility</w:t>
      </w:r>
      <w:r w:rsidRPr="0066448F">
        <w:rPr>
          <w:rFonts w:ascii="Arial" w:hAnsi="Arial" w:cs="Arial"/>
        </w:rPr>
        <w:t>: Ensuring high product quality and safety can reduce the risk of recalls and enhance customer satisfaction (Berry &amp; Parasuraman, 1991). Makita UK’s emphasis on product responsibility has led to high customer satisfaction scores and repeat business.</w:t>
      </w:r>
    </w:p>
    <w:p w14:paraId="08FCC83A" w14:textId="17514FA8" w:rsidR="0066448F" w:rsidRPr="0066448F" w:rsidRDefault="0066448F" w:rsidP="0066448F">
      <w:pPr>
        <w:pStyle w:val="NormalWeb"/>
        <w:numPr>
          <w:ilvl w:val="0"/>
          <w:numId w:val="22"/>
        </w:numPr>
        <w:rPr>
          <w:rFonts w:ascii="Arial" w:hAnsi="Arial" w:cs="Arial"/>
        </w:rPr>
      </w:pPr>
      <w:r w:rsidRPr="0066448F">
        <w:rPr>
          <w:rStyle w:val="Strong"/>
          <w:rFonts w:ascii="Arial" w:hAnsi="Arial" w:cs="Arial"/>
        </w:rPr>
        <w:t>Supply Chain Responsibility</w:t>
      </w:r>
      <w:r w:rsidRPr="0066448F">
        <w:rPr>
          <w:rFonts w:ascii="Arial" w:hAnsi="Arial" w:cs="Arial"/>
        </w:rPr>
        <w:t>: Ethical practices in the supply chain can mitigate risks and improve supply chain efficiency (Carter &amp; Rogers, 2008). Makita UK’s focus on ethical sourcing and labo</w:t>
      </w:r>
      <w:r w:rsidRPr="0066448F">
        <w:rPr>
          <w:rFonts w:ascii="Arial" w:hAnsi="Arial" w:cs="Arial"/>
        </w:rPr>
        <w:t>u</w:t>
      </w:r>
      <w:r w:rsidRPr="0066448F">
        <w:rPr>
          <w:rFonts w:ascii="Arial" w:hAnsi="Arial" w:cs="Arial"/>
        </w:rPr>
        <w:t>r practices has minimized supply chain disruptions and enhanced overall efficiency.</w:t>
      </w:r>
    </w:p>
    <w:p w14:paraId="649A214D" w14:textId="77777777" w:rsidR="0066448F" w:rsidRPr="0066448F" w:rsidRDefault="0066448F" w:rsidP="0066448F">
      <w:pPr>
        <w:pStyle w:val="Heading1"/>
      </w:pPr>
      <w:bookmarkStart w:id="11" w:name="_Toc169341528"/>
      <w:r w:rsidRPr="0066448F">
        <w:t>Empirical Analysis</w:t>
      </w:r>
      <w:bookmarkEnd w:id="11"/>
    </w:p>
    <w:p w14:paraId="07FC64B6" w14:textId="5790944C" w:rsidR="0066448F" w:rsidRPr="0066448F" w:rsidRDefault="0066448F" w:rsidP="0066448F">
      <w:pPr>
        <w:pStyle w:val="NormalWeb"/>
        <w:rPr>
          <w:rFonts w:ascii="Arial" w:hAnsi="Arial" w:cs="Arial"/>
        </w:rPr>
      </w:pPr>
      <w:r w:rsidRPr="0066448F">
        <w:rPr>
          <w:rFonts w:ascii="Arial" w:hAnsi="Arial" w:cs="Arial"/>
        </w:rPr>
        <w:t xml:space="preserve">To empirically </w:t>
      </w:r>
      <w:r w:rsidRPr="0066448F">
        <w:rPr>
          <w:rFonts w:ascii="Arial" w:hAnsi="Arial" w:cs="Arial"/>
        </w:rPr>
        <w:t>analyse</w:t>
      </w:r>
      <w:r w:rsidRPr="0066448F">
        <w:rPr>
          <w:rFonts w:ascii="Arial" w:hAnsi="Arial" w:cs="Arial"/>
        </w:rPr>
        <w:t xml:space="preserve"> the impact of corporate governance and CSR on Makita UK’s performance, a combination of thematic and time-series analysis is employed.</w:t>
      </w:r>
    </w:p>
    <w:p w14:paraId="78B05682" w14:textId="77777777" w:rsidR="0066448F" w:rsidRPr="0066448F" w:rsidRDefault="0066448F" w:rsidP="0066448F">
      <w:pPr>
        <w:pStyle w:val="NormalWeb"/>
        <w:numPr>
          <w:ilvl w:val="0"/>
          <w:numId w:val="20"/>
        </w:numPr>
        <w:rPr>
          <w:rFonts w:ascii="Arial" w:hAnsi="Arial" w:cs="Arial"/>
        </w:rPr>
      </w:pPr>
      <w:r w:rsidRPr="0066448F">
        <w:rPr>
          <w:rStyle w:val="Strong"/>
          <w:rFonts w:ascii="Arial" w:hAnsi="Arial" w:cs="Arial"/>
        </w:rPr>
        <w:t>Thematic Analysis</w:t>
      </w:r>
      <w:r w:rsidRPr="0066448F">
        <w:rPr>
          <w:rFonts w:ascii="Arial" w:hAnsi="Arial" w:cs="Arial"/>
        </w:rPr>
        <w:t xml:space="preserve">: Examining specific themes such as board composition, executive compensation, and CSR initiatives provides qualitative insights into how these factors influence performance. For example, the introduction of more </w:t>
      </w:r>
      <w:r w:rsidRPr="0066448F">
        <w:rPr>
          <w:rFonts w:ascii="Arial" w:hAnsi="Arial" w:cs="Arial"/>
        </w:rPr>
        <w:lastRenderedPageBreak/>
        <w:t>independent directors at Makita UK was associated with improved decision-making and financial performance.</w:t>
      </w:r>
    </w:p>
    <w:p w14:paraId="1FF3A281" w14:textId="304BB5FF" w:rsidR="0066448F" w:rsidRPr="0066448F" w:rsidRDefault="0066448F" w:rsidP="0066448F">
      <w:pPr>
        <w:pStyle w:val="NormalWeb"/>
        <w:numPr>
          <w:ilvl w:val="0"/>
          <w:numId w:val="20"/>
        </w:numPr>
        <w:rPr>
          <w:rFonts w:ascii="Arial" w:hAnsi="Arial" w:cs="Arial"/>
        </w:rPr>
      </w:pPr>
      <w:r w:rsidRPr="0066448F">
        <w:rPr>
          <w:rStyle w:val="Strong"/>
          <w:rFonts w:ascii="Arial" w:hAnsi="Arial" w:cs="Arial"/>
        </w:rPr>
        <w:t>Time-Series Analysis</w:t>
      </w:r>
      <w:r w:rsidRPr="0066448F">
        <w:rPr>
          <w:rFonts w:ascii="Arial" w:hAnsi="Arial" w:cs="Arial"/>
        </w:rPr>
        <w:t xml:space="preserve">: </w:t>
      </w:r>
      <w:r w:rsidRPr="0066448F">
        <w:rPr>
          <w:rFonts w:ascii="Arial" w:hAnsi="Arial" w:cs="Arial"/>
        </w:rPr>
        <w:t>Analysing</w:t>
      </w:r>
      <w:r w:rsidRPr="0066448F">
        <w:rPr>
          <w:rFonts w:ascii="Arial" w:hAnsi="Arial" w:cs="Arial"/>
        </w:rPr>
        <w:t xml:space="preserve"> financial data over time can highlight trends and correlations between governance/CSR practices and performance metrics. For instance, a time-series analysis of Makita UK’s ROE before and after the implementation of a new executive compensation plan reveals a positive correlation between performance-based pay and improved financial returns.</w:t>
      </w:r>
    </w:p>
    <w:p w14:paraId="60ADEA48" w14:textId="77777777" w:rsidR="0066448F" w:rsidRPr="0066448F" w:rsidRDefault="0066448F" w:rsidP="0066448F">
      <w:pPr>
        <w:pStyle w:val="Heading1"/>
      </w:pPr>
      <w:bookmarkStart w:id="12" w:name="_Toc169341529"/>
      <w:r w:rsidRPr="0066448F">
        <w:t>Conclusion</w:t>
      </w:r>
      <w:bookmarkEnd w:id="12"/>
    </w:p>
    <w:p w14:paraId="0B01A793" w14:textId="77777777" w:rsidR="0066448F" w:rsidRPr="0066448F" w:rsidRDefault="0066448F" w:rsidP="0066448F">
      <w:pPr>
        <w:pStyle w:val="NormalWeb"/>
        <w:rPr>
          <w:rFonts w:ascii="Arial" w:hAnsi="Arial" w:cs="Arial"/>
        </w:rPr>
      </w:pPr>
      <w:r w:rsidRPr="0066448F">
        <w:rPr>
          <w:rFonts w:ascii="Arial" w:hAnsi="Arial" w:cs="Arial"/>
        </w:rPr>
        <w:t>Corporate governance and CSR are critical drivers of firm performance. For Makita UK, effective governance practices, including a well-structured board, aligned executive compensation, and rigorous audit processes, have positively impacted financial stability and market performance. Similarly, CSR initiatives focused on environmental sustainability, social contributions, and ethical practices have enhanced Makita UK’s brand reputation, customer loyalty, and operational efficiency.</w:t>
      </w:r>
    </w:p>
    <w:p w14:paraId="59865697" w14:textId="77777777" w:rsidR="0066448F" w:rsidRPr="0066448F" w:rsidRDefault="0066448F" w:rsidP="0066448F">
      <w:pPr>
        <w:pStyle w:val="NormalWeb"/>
        <w:rPr>
          <w:rFonts w:ascii="Arial" w:hAnsi="Arial" w:cs="Arial"/>
        </w:rPr>
      </w:pPr>
      <w:r w:rsidRPr="0066448F">
        <w:rPr>
          <w:rFonts w:ascii="Arial" w:hAnsi="Arial" w:cs="Arial"/>
        </w:rPr>
        <w:t>As the business environment continues to evolve, Makita UK must maintain its commitment to robust corporate governance and proactive CSR to sustain its competitive edge and achieve long-term success.</w:t>
      </w:r>
    </w:p>
    <w:p w14:paraId="11B4D4CC" w14:textId="77777777" w:rsidR="0066448F" w:rsidRPr="0066448F" w:rsidRDefault="0066448F" w:rsidP="0066448F">
      <w:pPr>
        <w:pStyle w:val="Heading1"/>
      </w:pPr>
      <w:bookmarkStart w:id="13" w:name="_Toc169341530"/>
      <w:r w:rsidRPr="0066448F">
        <w:t>References</w:t>
      </w:r>
      <w:bookmarkEnd w:id="13"/>
    </w:p>
    <w:p w14:paraId="615445D6" w14:textId="77777777" w:rsidR="0066448F" w:rsidRPr="0066448F" w:rsidRDefault="0066448F" w:rsidP="0066448F">
      <w:pPr>
        <w:pStyle w:val="NormalWeb"/>
        <w:rPr>
          <w:rFonts w:ascii="Arial" w:hAnsi="Arial" w:cs="Arial"/>
        </w:rPr>
      </w:pPr>
      <w:r w:rsidRPr="0066448F">
        <w:rPr>
          <w:rFonts w:ascii="Arial" w:hAnsi="Arial" w:cs="Arial"/>
        </w:rPr>
        <w:t xml:space="preserve">Adams, R. B., &amp; Ferreira, D. (2009). Women in the boardroom and their impact on governance and performance. </w:t>
      </w:r>
      <w:r w:rsidRPr="0066448F">
        <w:rPr>
          <w:rStyle w:val="Emphasis"/>
          <w:rFonts w:ascii="Arial" w:eastAsiaTheme="majorEastAsia" w:hAnsi="Arial" w:cs="Arial"/>
        </w:rPr>
        <w:t>Journal of Financial Economics</w:t>
      </w:r>
      <w:r w:rsidRPr="0066448F">
        <w:rPr>
          <w:rFonts w:ascii="Arial" w:hAnsi="Arial" w:cs="Arial"/>
        </w:rPr>
        <w:t>, 94(2), 291-309.</w:t>
      </w:r>
    </w:p>
    <w:p w14:paraId="59550A7C" w14:textId="5E3635D2" w:rsidR="0066448F" w:rsidRPr="0066448F" w:rsidRDefault="0066448F" w:rsidP="0066448F">
      <w:pPr>
        <w:pStyle w:val="NormalWeb"/>
        <w:rPr>
          <w:rFonts w:ascii="Arial" w:hAnsi="Arial" w:cs="Arial"/>
        </w:rPr>
      </w:pPr>
      <w:r w:rsidRPr="0066448F">
        <w:rPr>
          <w:rFonts w:ascii="Arial" w:hAnsi="Arial" w:cs="Arial"/>
        </w:rPr>
        <w:t xml:space="preserve">Barney, J. (1991). Firm resources and sustained competitive advantage. </w:t>
      </w:r>
      <w:r w:rsidRPr="0066448F">
        <w:rPr>
          <w:rStyle w:val="Emphasis"/>
          <w:rFonts w:ascii="Arial" w:hAnsi="Arial" w:cs="Arial"/>
        </w:rPr>
        <w:t>Journal of Management</w:t>
      </w:r>
      <w:r w:rsidRPr="0066448F">
        <w:rPr>
          <w:rFonts w:ascii="Arial" w:hAnsi="Arial" w:cs="Arial"/>
        </w:rPr>
        <w:t>, 17(1), 99-120.</w:t>
      </w:r>
    </w:p>
    <w:p w14:paraId="790817A1" w14:textId="77777777" w:rsidR="0066448F" w:rsidRPr="0066448F" w:rsidRDefault="0066448F" w:rsidP="0066448F">
      <w:pPr>
        <w:pStyle w:val="NormalWeb"/>
        <w:rPr>
          <w:rFonts w:ascii="Arial" w:hAnsi="Arial" w:cs="Arial"/>
        </w:rPr>
      </w:pPr>
      <w:r w:rsidRPr="0066448F">
        <w:rPr>
          <w:rFonts w:ascii="Arial" w:hAnsi="Arial" w:cs="Arial"/>
        </w:rPr>
        <w:t xml:space="preserve">Berry, L. L., &amp; Parasuraman, A. (1991). Marketing Services: Competing through Quality. </w:t>
      </w:r>
      <w:r w:rsidRPr="0066448F">
        <w:rPr>
          <w:rStyle w:val="Emphasis"/>
          <w:rFonts w:ascii="Arial" w:eastAsiaTheme="majorEastAsia" w:hAnsi="Arial" w:cs="Arial"/>
        </w:rPr>
        <w:t>Free Press</w:t>
      </w:r>
      <w:r w:rsidRPr="0066448F">
        <w:rPr>
          <w:rFonts w:ascii="Arial" w:hAnsi="Arial" w:cs="Arial"/>
        </w:rPr>
        <w:t>.</w:t>
      </w:r>
    </w:p>
    <w:p w14:paraId="467F631D" w14:textId="77777777" w:rsidR="0066448F" w:rsidRPr="0066448F" w:rsidRDefault="0066448F" w:rsidP="0066448F">
      <w:pPr>
        <w:pStyle w:val="NormalWeb"/>
        <w:rPr>
          <w:rFonts w:ascii="Arial" w:hAnsi="Arial" w:cs="Arial"/>
        </w:rPr>
      </w:pPr>
      <w:r w:rsidRPr="0066448F">
        <w:rPr>
          <w:rFonts w:ascii="Arial" w:hAnsi="Arial" w:cs="Arial"/>
        </w:rPr>
        <w:t xml:space="preserve">Carter, C. R., &amp; Rogers, D. S. (2008). A framework of sustainable supply chain management: moving toward new theory. </w:t>
      </w:r>
      <w:r w:rsidRPr="0066448F">
        <w:rPr>
          <w:rStyle w:val="Emphasis"/>
          <w:rFonts w:ascii="Arial" w:eastAsiaTheme="majorEastAsia" w:hAnsi="Arial" w:cs="Arial"/>
        </w:rPr>
        <w:t>International Journal of Physical Distribution &amp; Logistics Management</w:t>
      </w:r>
      <w:r w:rsidRPr="0066448F">
        <w:rPr>
          <w:rFonts w:ascii="Arial" w:hAnsi="Arial" w:cs="Arial"/>
        </w:rPr>
        <w:t>, 38(5), 360-387.</w:t>
      </w:r>
    </w:p>
    <w:p w14:paraId="2F4797D3" w14:textId="6E07EB68" w:rsidR="0066448F" w:rsidRPr="0066448F" w:rsidRDefault="0066448F" w:rsidP="0066448F">
      <w:pPr>
        <w:pStyle w:val="NormalWeb"/>
        <w:rPr>
          <w:rFonts w:ascii="Arial" w:hAnsi="Arial" w:cs="Arial"/>
        </w:rPr>
      </w:pPr>
      <w:r w:rsidRPr="0066448F">
        <w:rPr>
          <w:rFonts w:ascii="Arial" w:hAnsi="Arial" w:cs="Arial"/>
        </w:rPr>
        <w:t xml:space="preserve">Cox, T., &amp; Blake, S. (1991). Managing cultural diversity: Implications for organizational competitiveness. </w:t>
      </w:r>
      <w:r w:rsidRPr="0066448F">
        <w:rPr>
          <w:rStyle w:val="Emphasis"/>
          <w:rFonts w:ascii="Arial" w:hAnsi="Arial" w:cs="Arial"/>
        </w:rPr>
        <w:t>Academy of Management Executive</w:t>
      </w:r>
      <w:r w:rsidRPr="0066448F">
        <w:rPr>
          <w:rFonts w:ascii="Arial" w:hAnsi="Arial" w:cs="Arial"/>
        </w:rPr>
        <w:t>, 5(3), 45-56.</w:t>
      </w:r>
    </w:p>
    <w:p w14:paraId="6CD79EE0" w14:textId="44CCB8FE" w:rsidR="0066448F" w:rsidRPr="0066448F" w:rsidRDefault="0066448F" w:rsidP="0066448F">
      <w:pPr>
        <w:pStyle w:val="NormalWeb"/>
        <w:rPr>
          <w:rFonts w:ascii="Arial" w:hAnsi="Arial" w:cs="Arial"/>
        </w:rPr>
      </w:pPr>
      <w:proofErr w:type="spellStart"/>
      <w:r w:rsidRPr="0066448F">
        <w:rPr>
          <w:rFonts w:ascii="Arial" w:hAnsi="Arial" w:cs="Arial"/>
        </w:rPr>
        <w:t>Fornell</w:t>
      </w:r>
      <w:proofErr w:type="spellEnd"/>
      <w:r w:rsidRPr="0066448F">
        <w:rPr>
          <w:rFonts w:ascii="Arial" w:hAnsi="Arial" w:cs="Arial"/>
        </w:rPr>
        <w:t xml:space="preserve">, C., Johnson, M. D., Anderson, E. W., Cha, J., &amp; Bryant, B. E. (1996). The American customer satisfaction index: Nature, purpose, and findings. </w:t>
      </w:r>
      <w:r w:rsidRPr="0066448F">
        <w:rPr>
          <w:rStyle w:val="Emphasis"/>
          <w:rFonts w:ascii="Arial" w:hAnsi="Arial" w:cs="Arial"/>
        </w:rPr>
        <w:t>Journal of Marketing</w:t>
      </w:r>
      <w:r w:rsidRPr="0066448F">
        <w:rPr>
          <w:rFonts w:ascii="Arial" w:hAnsi="Arial" w:cs="Arial"/>
        </w:rPr>
        <w:t>, 60(4), 7-18.</w:t>
      </w:r>
    </w:p>
    <w:p w14:paraId="38608314" w14:textId="3B551832" w:rsidR="0066448F" w:rsidRPr="0066448F" w:rsidRDefault="0066448F" w:rsidP="0066448F">
      <w:pPr>
        <w:pStyle w:val="NormalWeb"/>
        <w:rPr>
          <w:rFonts w:ascii="Arial" w:hAnsi="Arial" w:cs="Arial"/>
        </w:rPr>
      </w:pPr>
      <w:r w:rsidRPr="0066448F">
        <w:rPr>
          <w:rFonts w:ascii="Arial" w:hAnsi="Arial" w:cs="Arial"/>
        </w:rPr>
        <w:t xml:space="preserve">Hart, S. L., &amp; Ahuja, G. (1996). Does it pay to be green? An empirical examination of the relationship between emission reduction and firm performance. </w:t>
      </w:r>
      <w:r w:rsidRPr="0066448F">
        <w:rPr>
          <w:rStyle w:val="Emphasis"/>
          <w:rFonts w:ascii="Arial" w:hAnsi="Arial" w:cs="Arial"/>
        </w:rPr>
        <w:t>Business Strategy and the Environment</w:t>
      </w:r>
      <w:r w:rsidRPr="0066448F">
        <w:rPr>
          <w:rFonts w:ascii="Arial" w:hAnsi="Arial" w:cs="Arial"/>
        </w:rPr>
        <w:t>, 5(1), 30-37.</w:t>
      </w:r>
    </w:p>
    <w:p w14:paraId="7A88C0C8" w14:textId="0E444AA1" w:rsidR="0066448F" w:rsidRPr="0066448F" w:rsidRDefault="0066448F" w:rsidP="0066448F">
      <w:pPr>
        <w:pStyle w:val="NormalWeb"/>
        <w:rPr>
          <w:rFonts w:ascii="Arial" w:hAnsi="Arial" w:cs="Arial"/>
        </w:rPr>
      </w:pPr>
      <w:r w:rsidRPr="0066448F">
        <w:rPr>
          <w:rFonts w:ascii="Arial" w:hAnsi="Arial" w:cs="Arial"/>
        </w:rPr>
        <w:lastRenderedPageBreak/>
        <w:t xml:space="preserve">Hsu, C.-W., Lee, W.-H., &amp; Chao, W.-C. (2013). Material flow cost accounting (MFCA) and managerial performance: A case study of an environmental protection company. </w:t>
      </w:r>
      <w:r w:rsidRPr="0066448F">
        <w:rPr>
          <w:rStyle w:val="Emphasis"/>
          <w:rFonts w:ascii="Arial" w:hAnsi="Arial" w:cs="Arial"/>
        </w:rPr>
        <w:t>International Journal of Production Research</w:t>
      </w:r>
      <w:r w:rsidRPr="0066448F">
        <w:rPr>
          <w:rFonts w:ascii="Arial" w:hAnsi="Arial" w:cs="Arial"/>
        </w:rPr>
        <w:t>, 51(11), 3345-3353.</w:t>
      </w:r>
    </w:p>
    <w:p w14:paraId="200A3178" w14:textId="77777777" w:rsidR="0066448F" w:rsidRPr="0066448F" w:rsidRDefault="0066448F" w:rsidP="0066448F">
      <w:pPr>
        <w:pStyle w:val="NormalWeb"/>
        <w:rPr>
          <w:rFonts w:ascii="Arial" w:hAnsi="Arial" w:cs="Arial"/>
        </w:rPr>
      </w:pPr>
      <w:proofErr w:type="spellStart"/>
      <w:r w:rsidRPr="0066448F">
        <w:rPr>
          <w:rFonts w:ascii="Arial" w:hAnsi="Arial" w:cs="Arial"/>
        </w:rPr>
        <w:t>Huselid</w:t>
      </w:r>
      <w:proofErr w:type="spellEnd"/>
      <w:r w:rsidRPr="0066448F">
        <w:rPr>
          <w:rFonts w:ascii="Arial" w:hAnsi="Arial" w:cs="Arial"/>
        </w:rPr>
        <w:t xml:space="preserve">, M. A. (1995). The impact of human resource management practices on turnover, productivity, and corporate financial performance. </w:t>
      </w:r>
      <w:r w:rsidRPr="0066448F">
        <w:rPr>
          <w:rStyle w:val="Emphasis"/>
          <w:rFonts w:ascii="Arial" w:eastAsiaTheme="majorEastAsia" w:hAnsi="Arial" w:cs="Arial"/>
        </w:rPr>
        <w:t>Academy of Management Journal</w:t>
      </w:r>
      <w:r w:rsidRPr="0066448F">
        <w:rPr>
          <w:rFonts w:ascii="Arial" w:hAnsi="Arial" w:cs="Arial"/>
        </w:rPr>
        <w:t>, 38(3), 635-672.</w:t>
      </w:r>
    </w:p>
    <w:p w14:paraId="42188B94" w14:textId="77777777" w:rsidR="0066448F" w:rsidRPr="0066448F" w:rsidRDefault="0066448F" w:rsidP="0066448F">
      <w:pPr>
        <w:pStyle w:val="NormalWeb"/>
        <w:rPr>
          <w:rFonts w:ascii="Arial" w:hAnsi="Arial" w:cs="Arial"/>
        </w:rPr>
      </w:pPr>
      <w:r w:rsidRPr="0066448F">
        <w:rPr>
          <w:rFonts w:ascii="Arial" w:hAnsi="Arial" w:cs="Arial"/>
        </w:rPr>
        <w:t xml:space="preserve">Jensen, M. C., &amp; Murphy, K. J. (1990). Performance </w:t>
      </w:r>
      <w:proofErr w:type="gramStart"/>
      <w:r w:rsidRPr="0066448F">
        <w:rPr>
          <w:rFonts w:ascii="Arial" w:hAnsi="Arial" w:cs="Arial"/>
        </w:rPr>
        <w:t>pay</w:t>
      </w:r>
      <w:proofErr w:type="gramEnd"/>
      <w:r w:rsidRPr="0066448F">
        <w:rPr>
          <w:rFonts w:ascii="Arial" w:hAnsi="Arial" w:cs="Arial"/>
        </w:rPr>
        <w:t xml:space="preserve"> and top-management incentives. </w:t>
      </w:r>
      <w:r w:rsidRPr="0066448F">
        <w:rPr>
          <w:rStyle w:val="Emphasis"/>
          <w:rFonts w:ascii="Arial" w:eastAsiaTheme="majorEastAsia" w:hAnsi="Arial" w:cs="Arial"/>
        </w:rPr>
        <w:t>Journal of Political Economy</w:t>
      </w:r>
      <w:r w:rsidRPr="0066448F">
        <w:rPr>
          <w:rFonts w:ascii="Arial" w:hAnsi="Arial" w:cs="Arial"/>
        </w:rPr>
        <w:t>, 98(2), 225-264.</w:t>
      </w:r>
    </w:p>
    <w:p w14:paraId="42AF9571" w14:textId="77777777" w:rsidR="0066448F" w:rsidRPr="0066448F" w:rsidRDefault="0066448F" w:rsidP="0066448F">
      <w:pPr>
        <w:pStyle w:val="NormalWeb"/>
        <w:rPr>
          <w:rFonts w:ascii="Arial" w:hAnsi="Arial" w:cs="Arial"/>
        </w:rPr>
      </w:pPr>
      <w:r w:rsidRPr="0066448F">
        <w:rPr>
          <w:rFonts w:ascii="Arial" w:hAnsi="Arial" w:cs="Arial"/>
        </w:rPr>
        <w:t xml:space="preserve">Kotler, P., &amp; Lee, N. (2005). Corporate Social Responsibility: Doing the </w:t>
      </w:r>
      <w:proofErr w:type="gramStart"/>
      <w:r w:rsidRPr="0066448F">
        <w:rPr>
          <w:rFonts w:ascii="Arial" w:hAnsi="Arial" w:cs="Arial"/>
        </w:rPr>
        <w:t>Most Good</w:t>
      </w:r>
      <w:proofErr w:type="gramEnd"/>
      <w:r w:rsidRPr="0066448F">
        <w:rPr>
          <w:rFonts w:ascii="Arial" w:hAnsi="Arial" w:cs="Arial"/>
        </w:rPr>
        <w:t xml:space="preserve"> for Your Company and Your Cause. </w:t>
      </w:r>
      <w:r w:rsidRPr="0066448F">
        <w:rPr>
          <w:rStyle w:val="Emphasis"/>
          <w:rFonts w:ascii="Arial" w:eastAsiaTheme="majorEastAsia" w:hAnsi="Arial" w:cs="Arial"/>
        </w:rPr>
        <w:t>John Wiley &amp; Sons</w:t>
      </w:r>
      <w:r w:rsidRPr="0066448F">
        <w:rPr>
          <w:rFonts w:ascii="Arial" w:hAnsi="Arial" w:cs="Arial"/>
        </w:rPr>
        <w:t>.</w:t>
      </w:r>
    </w:p>
    <w:p w14:paraId="7E95B0F3" w14:textId="77777777" w:rsidR="0066448F" w:rsidRPr="0066448F" w:rsidRDefault="0066448F" w:rsidP="0066448F">
      <w:pPr>
        <w:pStyle w:val="NormalWeb"/>
        <w:rPr>
          <w:rFonts w:ascii="Arial" w:hAnsi="Arial" w:cs="Arial"/>
        </w:rPr>
      </w:pPr>
      <w:r w:rsidRPr="0066448F">
        <w:rPr>
          <w:rFonts w:ascii="Arial" w:hAnsi="Arial" w:cs="Arial"/>
        </w:rPr>
        <w:t xml:space="preserve">La Porta, R., Lopez-de-Silanes, F., Shleifer, A., &amp; </w:t>
      </w:r>
      <w:proofErr w:type="spellStart"/>
      <w:r w:rsidRPr="0066448F">
        <w:rPr>
          <w:rFonts w:ascii="Arial" w:hAnsi="Arial" w:cs="Arial"/>
        </w:rPr>
        <w:t>Vishny</w:t>
      </w:r>
      <w:proofErr w:type="spellEnd"/>
      <w:r w:rsidRPr="0066448F">
        <w:rPr>
          <w:rFonts w:ascii="Arial" w:hAnsi="Arial" w:cs="Arial"/>
        </w:rPr>
        <w:t xml:space="preserve">, R. W. (1998). Law and finance. </w:t>
      </w:r>
    </w:p>
    <w:p w14:paraId="6504E05F" w14:textId="011E32F6" w:rsidR="0066448F" w:rsidRPr="0066448F" w:rsidRDefault="0066448F" w:rsidP="0066448F">
      <w:pPr>
        <w:pStyle w:val="NormalWeb"/>
        <w:rPr>
          <w:rFonts w:ascii="Arial" w:hAnsi="Arial" w:cs="Arial"/>
        </w:rPr>
      </w:pPr>
      <w:r w:rsidRPr="0066448F">
        <w:rPr>
          <w:rFonts w:ascii="Arial" w:hAnsi="Arial" w:cs="Arial"/>
        </w:rPr>
        <w:t xml:space="preserve">McWilliams, A., &amp; Siegel, D. (2001). Corporate social responsibility: A theory of the firm perspective. </w:t>
      </w:r>
      <w:r w:rsidRPr="0066448F">
        <w:rPr>
          <w:rStyle w:val="Emphasis"/>
          <w:rFonts w:ascii="Arial" w:hAnsi="Arial" w:cs="Arial"/>
        </w:rPr>
        <w:t>Academy of Management Review</w:t>
      </w:r>
      <w:r w:rsidRPr="0066448F">
        <w:rPr>
          <w:rFonts w:ascii="Arial" w:hAnsi="Arial" w:cs="Arial"/>
        </w:rPr>
        <w:t>, 26(1), 117-127.</w:t>
      </w:r>
      <w:r w:rsidRPr="0066448F">
        <w:rPr>
          <w:rStyle w:val="Emphasis"/>
          <w:rFonts w:ascii="Arial" w:eastAsiaTheme="majorEastAsia" w:hAnsi="Arial" w:cs="Arial"/>
        </w:rPr>
        <w:t>Journal of Political Economy</w:t>
      </w:r>
      <w:r w:rsidRPr="0066448F">
        <w:rPr>
          <w:rFonts w:ascii="Arial" w:hAnsi="Arial" w:cs="Arial"/>
        </w:rPr>
        <w:t>, 106(6), 1113-1155.</w:t>
      </w:r>
    </w:p>
    <w:p w14:paraId="26AA37C0" w14:textId="77777777" w:rsidR="0066448F" w:rsidRPr="0066448F" w:rsidRDefault="0066448F" w:rsidP="0066448F">
      <w:pPr>
        <w:pStyle w:val="NormalWeb"/>
        <w:rPr>
          <w:rFonts w:ascii="Arial" w:hAnsi="Arial" w:cs="Arial"/>
        </w:rPr>
      </w:pPr>
    </w:p>
    <w:p w14:paraId="072091EE" w14:textId="77777777" w:rsidR="0066448F" w:rsidRPr="0066448F" w:rsidRDefault="0066448F" w:rsidP="0066448F">
      <w:pPr>
        <w:pStyle w:val="NormalWeb"/>
        <w:rPr>
          <w:rFonts w:ascii="Arial" w:hAnsi="Arial" w:cs="Arial"/>
        </w:rPr>
      </w:pPr>
      <w:r w:rsidRPr="0066448F">
        <w:rPr>
          <w:rFonts w:ascii="Arial" w:hAnsi="Arial" w:cs="Arial"/>
        </w:rPr>
        <w:t xml:space="preserve">Porter, M. E., &amp; van der Linde, C. (1995). Toward a new conception of the environment-competitiveness relationship. </w:t>
      </w:r>
      <w:r w:rsidRPr="0066448F">
        <w:rPr>
          <w:rStyle w:val="Emphasis"/>
          <w:rFonts w:ascii="Arial" w:eastAsiaTheme="majorEastAsia" w:hAnsi="Arial" w:cs="Arial"/>
        </w:rPr>
        <w:t>Journal of Economic Perspectives</w:t>
      </w:r>
      <w:r w:rsidRPr="0066448F">
        <w:rPr>
          <w:rFonts w:ascii="Arial" w:hAnsi="Arial" w:cs="Arial"/>
        </w:rPr>
        <w:t>, 9(4), 97-118.</w:t>
      </w:r>
    </w:p>
    <w:p w14:paraId="072F2A71" w14:textId="514333C3" w:rsidR="0066448F" w:rsidRPr="0066448F" w:rsidRDefault="0066448F" w:rsidP="0066448F">
      <w:pPr>
        <w:pStyle w:val="NormalWeb"/>
        <w:rPr>
          <w:rFonts w:ascii="Arial" w:hAnsi="Arial" w:cs="Arial"/>
        </w:rPr>
      </w:pPr>
      <w:proofErr w:type="spellStart"/>
      <w:r w:rsidRPr="0066448F">
        <w:rPr>
          <w:rFonts w:ascii="Arial" w:hAnsi="Arial" w:cs="Arial"/>
        </w:rPr>
        <w:t>Seuring</w:t>
      </w:r>
      <w:proofErr w:type="spellEnd"/>
      <w:r w:rsidRPr="0066448F">
        <w:rPr>
          <w:rFonts w:ascii="Arial" w:hAnsi="Arial" w:cs="Arial"/>
        </w:rPr>
        <w:t xml:space="preserve">, S., &amp; Müller, M. (2008). From a literature review to a conceptual framework for sustainable supply chain management. </w:t>
      </w:r>
      <w:r w:rsidRPr="0066448F">
        <w:rPr>
          <w:rStyle w:val="Emphasis"/>
          <w:rFonts w:ascii="Arial" w:hAnsi="Arial" w:cs="Arial"/>
        </w:rPr>
        <w:t>Journal of Cleaner Production</w:t>
      </w:r>
      <w:r w:rsidRPr="0066448F">
        <w:rPr>
          <w:rFonts w:ascii="Arial" w:hAnsi="Arial" w:cs="Arial"/>
        </w:rPr>
        <w:t>, 16(15), 1699-1710.</w:t>
      </w:r>
    </w:p>
    <w:p w14:paraId="078AFCC7" w14:textId="77777777" w:rsidR="0066448F" w:rsidRPr="0066448F" w:rsidRDefault="0066448F" w:rsidP="0066448F">
      <w:pPr>
        <w:pStyle w:val="NormalWeb"/>
        <w:rPr>
          <w:rFonts w:ascii="Arial" w:hAnsi="Arial" w:cs="Arial"/>
        </w:rPr>
      </w:pPr>
      <w:r w:rsidRPr="0066448F">
        <w:rPr>
          <w:rFonts w:ascii="Arial" w:hAnsi="Arial" w:cs="Arial"/>
        </w:rPr>
        <w:t xml:space="preserve">Shleifer, A., &amp; </w:t>
      </w:r>
      <w:proofErr w:type="spellStart"/>
      <w:r w:rsidRPr="0066448F">
        <w:rPr>
          <w:rFonts w:ascii="Arial" w:hAnsi="Arial" w:cs="Arial"/>
        </w:rPr>
        <w:t>Vishny</w:t>
      </w:r>
      <w:proofErr w:type="spellEnd"/>
      <w:r w:rsidRPr="0066448F">
        <w:rPr>
          <w:rFonts w:ascii="Arial" w:hAnsi="Arial" w:cs="Arial"/>
        </w:rPr>
        <w:t xml:space="preserve">, R. W. (1997). A survey of corporate governance. </w:t>
      </w:r>
      <w:r w:rsidRPr="0066448F">
        <w:rPr>
          <w:rStyle w:val="Emphasis"/>
          <w:rFonts w:ascii="Arial" w:eastAsiaTheme="majorEastAsia" w:hAnsi="Arial" w:cs="Arial"/>
        </w:rPr>
        <w:t>Journal of Finance</w:t>
      </w:r>
      <w:r w:rsidRPr="0066448F">
        <w:rPr>
          <w:rFonts w:ascii="Arial" w:hAnsi="Arial" w:cs="Arial"/>
        </w:rPr>
        <w:t>, 52(2), 737-783.</w:t>
      </w:r>
    </w:p>
    <w:p w14:paraId="7A10234C" w14:textId="77777777" w:rsidR="0066448F" w:rsidRPr="0066448F" w:rsidRDefault="0066448F" w:rsidP="0066448F">
      <w:pPr>
        <w:pStyle w:val="NormalWeb"/>
        <w:rPr>
          <w:rFonts w:ascii="Arial" w:hAnsi="Arial" w:cs="Arial"/>
        </w:rPr>
      </w:pPr>
      <w:r w:rsidRPr="0066448F">
        <w:rPr>
          <w:rFonts w:ascii="Arial" w:hAnsi="Arial" w:cs="Arial"/>
        </w:rPr>
        <w:t xml:space="preserve">Society for Human Resource Management (SHRM). (2020). SHRM 2020 State of the Workplace Report. </w:t>
      </w:r>
      <w:r w:rsidRPr="0066448F">
        <w:rPr>
          <w:rStyle w:val="Emphasis"/>
          <w:rFonts w:ascii="Arial" w:eastAsiaTheme="majorEastAsia" w:hAnsi="Arial" w:cs="Arial"/>
        </w:rPr>
        <w:t>SHRM</w:t>
      </w:r>
      <w:r w:rsidRPr="0066448F">
        <w:rPr>
          <w:rFonts w:ascii="Arial" w:hAnsi="Arial" w:cs="Arial"/>
        </w:rPr>
        <w:t>.</w:t>
      </w:r>
    </w:p>
    <w:p w14:paraId="7308AA9B" w14:textId="77777777" w:rsidR="0066448F" w:rsidRPr="0066448F" w:rsidRDefault="0066448F" w:rsidP="0066448F">
      <w:pPr>
        <w:pStyle w:val="NormalWeb"/>
        <w:rPr>
          <w:rFonts w:ascii="Arial" w:hAnsi="Arial" w:cs="Arial"/>
        </w:rPr>
      </w:pPr>
    </w:p>
    <w:p w14:paraId="29A6AA7A" w14:textId="77777777" w:rsidR="003D6960" w:rsidRPr="0066448F" w:rsidRDefault="003D6960">
      <w:pPr>
        <w:rPr>
          <w:rFonts w:ascii="Arial" w:hAnsi="Arial" w:cs="Arial"/>
        </w:rPr>
      </w:pPr>
    </w:p>
    <w:sectPr w:rsidR="003D6960" w:rsidRPr="006644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F57894"/>
    <w:multiLevelType w:val="hybridMultilevel"/>
    <w:tmpl w:val="0E5C51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417108A"/>
    <w:multiLevelType w:val="hybridMultilevel"/>
    <w:tmpl w:val="867CA66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8A146F6"/>
    <w:multiLevelType w:val="hybridMultilevel"/>
    <w:tmpl w:val="2678579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0D1061DC"/>
    <w:multiLevelType w:val="hybridMultilevel"/>
    <w:tmpl w:val="F9EA1B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0DFB7B89"/>
    <w:multiLevelType w:val="hybridMultilevel"/>
    <w:tmpl w:val="FF4A57AA"/>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5" w15:restartNumberingAfterBreak="0">
    <w:nsid w:val="1CC73018"/>
    <w:multiLevelType w:val="multilevel"/>
    <w:tmpl w:val="662047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1F3F5D95"/>
    <w:multiLevelType w:val="multilevel"/>
    <w:tmpl w:val="C0DC34A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19A5315"/>
    <w:multiLevelType w:val="multilevel"/>
    <w:tmpl w:val="17128BC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1E62699"/>
    <w:multiLevelType w:val="multilevel"/>
    <w:tmpl w:val="E3C22D2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B3847FB"/>
    <w:multiLevelType w:val="hybridMultilevel"/>
    <w:tmpl w:val="7BE0BB9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6D9254E"/>
    <w:multiLevelType w:val="hybridMultilevel"/>
    <w:tmpl w:val="95F0927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1" w15:restartNumberingAfterBreak="0">
    <w:nsid w:val="4BB408EA"/>
    <w:multiLevelType w:val="hybridMultilevel"/>
    <w:tmpl w:val="30408C5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CF51C37"/>
    <w:multiLevelType w:val="hybridMultilevel"/>
    <w:tmpl w:val="23EA29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1DF28BA"/>
    <w:multiLevelType w:val="hybridMultilevel"/>
    <w:tmpl w:val="1FDA4DC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70B0083"/>
    <w:multiLevelType w:val="hybridMultilevel"/>
    <w:tmpl w:val="93FCAB2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627F78FF"/>
    <w:multiLevelType w:val="multilevel"/>
    <w:tmpl w:val="1E02BCC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4A718B0"/>
    <w:multiLevelType w:val="hybridMultilevel"/>
    <w:tmpl w:val="7E085C0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6132D1C"/>
    <w:multiLevelType w:val="hybridMultilevel"/>
    <w:tmpl w:val="71D45C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8D62220"/>
    <w:multiLevelType w:val="hybridMultilevel"/>
    <w:tmpl w:val="C17E9DE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9" w15:restartNumberingAfterBreak="0">
    <w:nsid w:val="6ACA25D7"/>
    <w:multiLevelType w:val="hybridMultilevel"/>
    <w:tmpl w:val="CCE8A0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6D7B578B"/>
    <w:multiLevelType w:val="hybridMultilevel"/>
    <w:tmpl w:val="86EEFD8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1" w15:restartNumberingAfterBreak="0">
    <w:nsid w:val="6E700AAB"/>
    <w:multiLevelType w:val="hybridMultilevel"/>
    <w:tmpl w:val="E3DAAD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C077498"/>
    <w:multiLevelType w:val="multilevel"/>
    <w:tmpl w:val="579081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567569513">
    <w:abstractNumId w:val="7"/>
  </w:num>
  <w:num w:numId="2" w16cid:durableId="1694069384">
    <w:abstractNumId w:val="6"/>
  </w:num>
  <w:num w:numId="3" w16cid:durableId="849877080">
    <w:abstractNumId w:val="5"/>
  </w:num>
  <w:num w:numId="4" w16cid:durableId="459885678">
    <w:abstractNumId w:val="8"/>
  </w:num>
  <w:num w:numId="5" w16cid:durableId="1000308697">
    <w:abstractNumId w:val="15"/>
  </w:num>
  <w:num w:numId="6" w16cid:durableId="836771412">
    <w:abstractNumId w:val="22"/>
  </w:num>
  <w:num w:numId="7" w16cid:durableId="1551919064">
    <w:abstractNumId w:val="2"/>
  </w:num>
  <w:num w:numId="8" w16cid:durableId="2021348013">
    <w:abstractNumId w:val="20"/>
  </w:num>
  <w:num w:numId="9" w16cid:durableId="1987591187">
    <w:abstractNumId w:val="16"/>
  </w:num>
  <w:num w:numId="10" w16cid:durableId="1545294935">
    <w:abstractNumId w:val="13"/>
  </w:num>
  <w:num w:numId="11" w16cid:durableId="1820342592">
    <w:abstractNumId w:val="1"/>
  </w:num>
  <w:num w:numId="12" w16cid:durableId="375348943">
    <w:abstractNumId w:val="17"/>
  </w:num>
  <w:num w:numId="13" w16cid:durableId="1509516875">
    <w:abstractNumId w:val="9"/>
  </w:num>
  <w:num w:numId="14" w16cid:durableId="513810342">
    <w:abstractNumId w:val="11"/>
  </w:num>
  <w:num w:numId="15" w16cid:durableId="1292780966">
    <w:abstractNumId w:val="10"/>
  </w:num>
  <w:num w:numId="16" w16cid:durableId="759568787">
    <w:abstractNumId w:val="14"/>
  </w:num>
  <w:num w:numId="17" w16cid:durableId="1513564519">
    <w:abstractNumId w:val="3"/>
  </w:num>
  <w:num w:numId="18" w16cid:durableId="1406225145">
    <w:abstractNumId w:val="19"/>
  </w:num>
  <w:num w:numId="19" w16cid:durableId="48384973">
    <w:abstractNumId w:val="12"/>
  </w:num>
  <w:num w:numId="20" w16cid:durableId="460459187">
    <w:abstractNumId w:val="18"/>
  </w:num>
  <w:num w:numId="21" w16cid:durableId="1581134601">
    <w:abstractNumId w:val="4"/>
  </w:num>
  <w:num w:numId="22" w16cid:durableId="1159729969">
    <w:abstractNumId w:val="21"/>
  </w:num>
  <w:num w:numId="23" w16cid:durableId="128018249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448F"/>
    <w:rsid w:val="003D6960"/>
    <w:rsid w:val="0066448F"/>
    <w:rsid w:val="008D7C45"/>
    <w:rsid w:val="00B80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5C998BD"/>
  <w15:chartTrackingRefBased/>
  <w15:docId w15:val="{051D9BA7-0468-654F-9C20-FE383D1D7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6448F"/>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448F"/>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66448F"/>
    <w:pPr>
      <w:spacing w:before="100" w:beforeAutospacing="1" w:after="100" w:afterAutospacing="1"/>
      <w:outlineLvl w:val="2"/>
    </w:pPr>
    <w:rPr>
      <w:rFonts w:ascii="Times New Roman" w:eastAsia="Times New Roman" w:hAnsi="Times New Roman" w:cs="Times New Roman"/>
      <w:b/>
      <w:bCs/>
      <w:sz w:val="27"/>
      <w:szCs w:val="27"/>
      <w:lang w:eastAsia="en-GB"/>
    </w:rPr>
  </w:style>
  <w:style w:type="paragraph" w:styleId="Heading4">
    <w:name w:val="heading 4"/>
    <w:basedOn w:val="Normal"/>
    <w:next w:val="Normal"/>
    <w:link w:val="Heading4Char"/>
    <w:uiPriority w:val="9"/>
    <w:unhideWhenUsed/>
    <w:qFormat/>
    <w:rsid w:val="0066448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66448F"/>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6448F"/>
    <w:rPr>
      <w:rFonts w:ascii="Times New Roman" w:eastAsia="Times New Roman" w:hAnsi="Times New Roman" w:cs="Times New Roman"/>
      <w:b/>
      <w:bCs/>
      <w:sz w:val="27"/>
      <w:szCs w:val="27"/>
      <w:lang w:eastAsia="en-GB"/>
    </w:rPr>
  </w:style>
  <w:style w:type="paragraph" w:styleId="NormalWeb">
    <w:name w:val="Normal (Web)"/>
    <w:basedOn w:val="Normal"/>
    <w:uiPriority w:val="99"/>
    <w:semiHidden/>
    <w:unhideWhenUsed/>
    <w:rsid w:val="0066448F"/>
    <w:pPr>
      <w:spacing w:before="100" w:beforeAutospacing="1" w:after="100" w:afterAutospacing="1"/>
    </w:pPr>
    <w:rPr>
      <w:rFonts w:ascii="Times New Roman" w:eastAsia="Times New Roman" w:hAnsi="Times New Roman" w:cs="Times New Roman"/>
      <w:lang w:eastAsia="en-GB"/>
    </w:rPr>
  </w:style>
  <w:style w:type="character" w:styleId="Strong">
    <w:name w:val="Strong"/>
    <w:basedOn w:val="DefaultParagraphFont"/>
    <w:uiPriority w:val="22"/>
    <w:qFormat/>
    <w:rsid w:val="0066448F"/>
    <w:rPr>
      <w:b/>
      <w:bCs/>
    </w:rPr>
  </w:style>
  <w:style w:type="character" w:styleId="Emphasis">
    <w:name w:val="Emphasis"/>
    <w:basedOn w:val="DefaultParagraphFont"/>
    <w:uiPriority w:val="20"/>
    <w:qFormat/>
    <w:rsid w:val="0066448F"/>
    <w:rPr>
      <w:i/>
      <w:iCs/>
    </w:rPr>
  </w:style>
  <w:style w:type="character" w:customStyle="1" w:styleId="Heading4Char">
    <w:name w:val="Heading 4 Char"/>
    <w:basedOn w:val="DefaultParagraphFont"/>
    <w:link w:val="Heading4"/>
    <w:uiPriority w:val="9"/>
    <w:rsid w:val="0066448F"/>
    <w:rPr>
      <w:rFonts w:asciiTheme="majorHAnsi" w:eastAsiaTheme="majorEastAsia" w:hAnsiTheme="majorHAnsi" w:cstheme="majorBidi"/>
      <w:i/>
      <w:iCs/>
      <w:color w:val="2F5496" w:themeColor="accent1" w:themeShade="BF"/>
    </w:rPr>
  </w:style>
  <w:style w:type="character" w:customStyle="1" w:styleId="Heading2Char">
    <w:name w:val="Heading 2 Char"/>
    <w:basedOn w:val="DefaultParagraphFont"/>
    <w:link w:val="Heading2"/>
    <w:uiPriority w:val="9"/>
    <w:rsid w:val="0066448F"/>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rsid w:val="0066448F"/>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66448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6448F"/>
    <w:pPr>
      <w:spacing w:before="480" w:line="276" w:lineRule="auto"/>
      <w:outlineLvl w:val="9"/>
    </w:pPr>
    <w:rPr>
      <w:b/>
      <w:bCs/>
      <w:sz w:val="28"/>
      <w:szCs w:val="28"/>
      <w:lang w:val="en-US"/>
    </w:rPr>
  </w:style>
  <w:style w:type="paragraph" w:styleId="TOC3">
    <w:name w:val="toc 3"/>
    <w:basedOn w:val="Normal"/>
    <w:next w:val="Normal"/>
    <w:autoRedefine/>
    <w:uiPriority w:val="39"/>
    <w:unhideWhenUsed/>
    <w:rsid w:val="0066448F"/>
    <w:pPr>
      <w:ind w:left="480"/>
    </w:pPr>
    <w:rPr>
      <w:rFonts w:cstheme="minorHAnsi"/>
      <w:sz w:val="20"/>
      <w:szCs w:val="20"/>
    </w:rPr>
  </w:style>
  <w:style w:type="character" w:styleId="Hyperlink">
    <w:name w:val="Hyperlink"/>
    <w:basedOn w:val="DefaultParagraphFont"/>
    <w:uiPriority w:val="99"/>
    <w:unhideWhenUsed/>
    <w:rsid w:val="0066448F"/>
    <w:rPr>
      <w:color w:val="0563C1" w:themeColor="hyperlink"/>
      <w:u w:val="single"/>
    </w:rPr>
  </w:style>
  <w:style w:type="paragraph" w:styleId="TOC1">
    <w:name w:val="toc 1"/>
    <w:basedOn w:val="Normal"/>
    <w:next w:val="Normal"/>
    <w:autoRedefine/>
    <w:uiPriority w:val="39"/>
    <w:unhideWhenUsed/>
    <w:rsid w:val="0066448F"/>
    <w:pPr>
      <w:spacing w:before="120"/>
    </w:pPr>
    <w:rPr>
      <w:rFonts w:cstheme="minorHAnsi"/>
      <w:b/>
      <w:bCs/>
      <w:i/>
      <w:iCs/>
    </w:rPr>
  </w:style>
  <w:style w:type="paragraph" w:styleId="TOC2">
    <w:name w:val="toc 2"/>
    <w:basedOn w:val="Normal"/>
    <w:next w:val="Normal"/>
    <w:autoRedefine/>
    <w:uiPriority w:val="39"/>
    <w:semiHidden/>
    <w:unhideWhenUsed/>
    <w:rsid w:val="0066448F"/>
    <w:pPr>
      <w:spacing w:before="120"/>
      <w:ind w:left="240"/>
    </w:pPr>
    <w:rPr>
      <w:rFonts w:cstheme="minorHAnsi"/>
      <w:b/>
      <w:bCs/>
      <w:sz w:val="22"/>
      <w:szCs w:val="22"/>
    </w:rPr>
  </w:style>
  <w:style w:type="paragraph" w:styleId="TOC4">
    <w:name w:val="toc 4"/>
    <w:basedOn w:val="Normal"/>
    <w:next w:val="Normal"/>
    <w:autoRedefine/>
    <w:uiPriority w:val="39"/>
    <w:semiHidden/>
    <w:unhideWhenUsed/>
    <w:rsid w:val="0066448F"/>
    <w:pPr>
      <w:ind w:left="720"/>
    </w:pPr>
    <w:rPr>
      <w:rFonts w:cstheme="minorHAnsi"/>
      <w:sz w:val="20"/>
      <w:szCs w:val="20"/>
    </w:rPr>
  </w:style>
  <w:style w:type="paragraph" w:styleId="TOC5">
    <w:name w:val="toc 5"/>
    <w:basedOn w:val="Normal"/>
    <w:next w:val="Normal"/>
    <w:autoRedefine/>
    <w:uiPriority w:val="39"/>
    <w:semiHidden/>
    <w:unhideWhenUsed/>
    <w:rsid w:val="0066448F"/>
    <w:pPr>
      <w:ind w:left="960"/>
    </w:pPr>
    <w:rPr>
      <w:rFonts w:cstheme="minorHAnsi"/>
      <w:sz w:val="20"/>
      <w:szCs w:val="20"/>
    </w:rPr>
  </w:style>
  <w:style w:type="paragraph" w:styleId="TOC6">
    <w:name w:val="toc 6"/>
    <w:basedOn w:val="Normal"/>
    <w:next w:val="Normal"/>
    <w:autoRedefine/>
    <w:uiPriority w:val="39"/>
    <w:semiHidden/>
    <w:unhideWhenUsed/>
    <w:rsid w:val="0066448F"/>
    <w:pPr>
      <w:ind w:left="1200"/>
    </w:pPr>
    <w:rPr>
      <w:rFonts w:cstheme="minorHAnsi"/>
      <w:sz w:val="20"/>
      <w:szCs w:val="20"/>
    </w:rPr>
  </w:style>
  <w:style w:type="paragraph" w:styleId="TOC7">
    <w:name w:val="toc 7"/>
    <w:basedOn w:val="Normal"/>
    <w:next w:val="Normal"/>
    <w:autoRedefine/>
    <w:uiPriority w:val="39"/>
    <w:semiHidden/>
    <w:unhideWhenUsed/>
    <w:rsid w:val="0066448F"/>
    <w:pPr>
      <w:ind w:left="1440"/>
    </w:pPr>
    <w:rPr>
      <w:rFonts w:cstheme="minorHAnsi"/>
      <w:sz w:val="20"/>
      <w:szCs w:val="20"/>
    </w:rPr>
  </w:style>
  <w:style w:type="paragraph" w:styleId="TOC8">
    <w:name w:val="toc 8"/>
    <w:basedOn w:val="Normal"/>
    <w:next w:val="Normal"/>
    <w:autoRedefine/>
    <w:uiPriority w:val="39"/>
    <w:semiHidden/>
    <w:unhideWhenUsed/>
    <w:rsid w:val="0066448F"/>
    <w:pPr>
      <w:ind w:left="1680"/>
    </w:pPr>
    <w:rPr>
      <w:rFonts w:cstheme="minorHAnsi"/>
      <w:sz w:val="20"/>
      <w:szCs w:val="20"/>
    </w:rPr>
  </w:style>
  <w:style w:type="paragraph" w:styleId="TOC9">
    <w:name w:val="toc 9"/>
    <w:basedOn w:val="Normal"/>
    <w:next w:val="Normal"/>
    <w:autoRedefine/>
    <w:uiPriority w:val="39"/>
    <w:semiHidden/>
    <w:unhideWhenUsed/>
    <w:rsid w:val="0066448F"/>
    <w:pPr>
      <w:ind w:left="1920"/>
    </w:pPr>
    <w:rPr>
      <w:rFonts w:cstheme="minorHAnsi"/>
      <w:sz w:val="20"/>
      <w:szCs w:val="20"/>
    </w:rPr>
  </w:style>
  <w:style w:type="character" w:styleId="IntenseReference">
    <w:name w:val="Intense Reference"/>
    <w:basedOn w:val="DefaultParagraphFont"/>
    <w:uiPriority w:val="32"/>
    <w:qFormat/>
    <w:rsid w:val="0066448F"/>
    <w:rPr>
      <w:b/>
      <w:bCs/>
      <w:smallCaps/>
      <w:color w:val="4472C4" w:themeColor="accent1"/>
      <w:spacing w:val="5"/>
    </w:rPr>
  </w:style>
  <w:style w:type="paragraph" w:styleId="NoSpacing">
    <w:name w:val="No Spacing"/>
    <w:uiPriority w:val="1"/>
    <w:qFormat/>
    <w:rsid w:val="0066448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993749">
      <w:bodyDiv w:val="1"/>
      <w:marLeft w:val="0"/>
      <w:marRight w:val="0"/>
      <w:marTop w:val="0"/>
      <w:marBottom w:val="0"/>
      <w:divBdr>
        <w:top w:val="none" w:sz="0" w:space="0" w:color="auto"/>
        <w:left w:val="none" w:sz="0" w:space="0" w:color="auto"/>
        <w:bottom w:val="none" w:sz="0" w:space="0" w:color="auto"/>
        <w:right w:val="none" w:sz="0" w:space="0" w:color="auto"/>
      </w:divBdr>
    </w:div>
    <w:div w:id="383022911">
      <w:bodyDiv w:val="1"/>
      <w:marLeft w:val="0"/>
      <w:marRight w:val="0"/>
      <w:marTop w:val="0"/>
      <w:marBottom w:val="0"/>
      <w:divBdr>
        <w:top w:val="none" w:sz="0" w:space="0" w:color="auto"/>
        <w:left w:val="none" w:sz="0" w:space="0" w:color="auto"/>
        <w:bottom w:val="none" w:sz="0" w:space="0" w:color="auto"/>
        <w:right w:val="none" w:sz="0" w:space="0" w:color="auto"/>
      </w:divBdr>
    </w:div>
    <w:div w:id="457771190">
      <w:bodyDiv w:val="1"/>
      <w:marLeft w:val="0"/>
      <w:marRight w:val="0"/>
      <w:marTop w:val="0"/>
      <w:marBottom w:val="0"/>
      <w:divBdr>
        <w:top w:val="none" w:sz="0" w:space="0" w:color="auto"/>
        <w:left w:val="none" w:sz="0" w:space="0" w:color="auto"/>
        <w:bottom w:val="none" w:sz="0" w:space="0" w:color="auto"/>
        <w:right w:val="none" w:sz="0" w:space="0" w:color="auto"/>
      </w:divBdr>
    </w:div>
    <w:div w:id="758796602">
      <w:bodyDiv w:val="1"/>
      <w:marLeft w:val="0"/>
      <w:marRight w:val="0"/>
      <w:marTop w:val="0"/>
      <w:marBottom w:val="0"/>
      <w:divBdr>
        <w:top w:val="none" w:sz="0" w:space="0" w:color="auto"/>
        <w:left w:val="none" w:sz="0" w:space="0" w:color="auto"/>
        <w:bottom w:val="none" w:sz="0" w:space="0" w:color="auto"/>
        <w:right w:val="none" w:sz="0" w:space="0" w:color="auto"/>
      </w:divBdr>
    </w:div>
    <w:div w:id="885338227">
      <w:bodyDiv w:val="1"/>
      <w:marLeft w:val="0"/>
      <w:marRight w:val="0"/>
      <w:marTop w:val="0"/>
      <w:marBottom w:val="0"/>
      <w:divBdr>
        <w:top w:val="none" w:sz="0" w:space="0" w:color="auto"/>
        <w:left w:val="none" w:sz="0" w:space="0" w:color="auto"/>
        <w:bottom w:val="none" w:sz="0" w:space="0" w:color="auto"/>
        <w:right w:val="none" w:sz="0" w:space="0" w:color="auto"/>
      </w:divBdr>
    </w:div>
    <w:div w:id="1030184392">
      <w:bodyDiv w:val="1"/>
      <w:marLeft w:val="0"/>
      <w:marRight w:val="0"/>
      <w:marTop w:val="0"/>
      <w:marBottom w:val="0"/>
      <w:divBdr>
        <w:top w:val="none" w:sz="0" w:space="0" w:color="auto"/>
        <w:left w:val="none" w:sz="0" w:space="0" w:color="auto"/>
        <w:bottom w:val="none" w:sz="0" w:space="0" w:color="auto"/>
        <w:right w:val="none" w:sz="0" w:space="0" w:color="auto"/>
      </w:divBdr>
    </w:div>
    <w:div w:id="1820224584">
      <w:bodyDiv w:val="1"/>
      <w:marLeft w:val="0"/>
      <w:marRight w:val="0"/>
      <w:marTop w:val="0"/>
      <w:marBottom w:val="0"/>
      <w:divBdr>
        <w:top w:val="none" w:sz="0" w:space="0" w:color="auto"/>
        <w:left w:val="none" w:sz="0" w:space="0" w:color="auto"/>
        <w:bottom w:val="none" w:sz="0" w:space="0" w:color="auto"/>
        <w:right w:val="none" w:sz="0" w:space="0" w:color="auto"/>
      </w:divBdr>
    </w:div>
    <w:div w:id="1869248394">
      <w:bodyDiv w:val="1"/>
      <w:marLeft w:val="0"/>
      <w:marRight w:val="0"/>
      <w:marTop w:val="0"/>
      <w:marBottom w:val="0"/>
      <w:divBdr>
        <w:top w:val="none" w:sz="0" w:space="0" w:color="auto"/>
        <w:left w:val="none" w:sz="0" w:space="0" w:color="auto"/>
        <w:bottom w:val="none" w:sz="0" w:space="0" w:color="auto"/>
        <w:right w:val="none" w:sz="0" w:space="0" w:color="auto"/>
      </w:divBdr>
      <w:divsChild>
        <w:div w:id="51272907">
          <w:marLeft w:val="0"/>
          <w:marRight w:val="0"/>
          <w:marTop w:val="0"/>
          <w:marBottom w:val="0"/>
          <w:divBdr>
            <w:top w:val="none" w:sz="0" w:space="0" w:color="auto"/>
            <w:left w:val="none" w:sz="0" w:space="0" w:color="auto"/>
            <w:bottom w:val="none" w:sz="0" w:space="0" w:color="auto"/>
            <w:right w:val="none" w:sz="0" w:space="0" w:color="auto"/>
          </w:divBdr>
          <w:divsChild>
            <w:div w:id="836455803">
              <w:marLeft w:val="0"/>
              <w:marRight w:val="0"/>
              <w:marTop w:val="0"/>
              <w:marBottom w:val="0"/>
              <w:divBdr>
                <w:top w:val="none" w:sz="0" w:space="0" w:color="auto"/>
                <w:left w:val="none" w:sz="0" w:space="0" w:color="auto"/>
                <w:bottom w:val="none" w:sz="0" w:space="0" w:color="auto"/>
                <w:right w:val="none" w:sz="0" w:space="0" w:color="auto"/>
              </w:divBdr>
              <w:divsChild>
                <w:div w:id="382950201">
                  <w:marLeft w:val="0"/>
                  <w:marRight w:val="0"/>
                  <w:marTop w:val="0"/>
                  <w:marBottom w:val="0"/>
                  <w:divBdr>
                    <w:top w:val="none" w:sz="0" w:space="0" w:color="auto"/>
                    <w:left w:val="none" w:sz="0" w:space="0" w:color="auto"/>
                    <w:bottom w:val="none" w:sz="0" w:space="0" w:color="auto"/>
                    <w:right w:val="none" w:sz="0" w:space="0" w:color="auto"/>
                  </w:divBdr>
                  <w:divsChild>
                    <w:div w:id="7610286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8B4FB5-43A5-864B-9A50-659D2439A64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57</TotalTime>
  <Pages>7</Pages>
  <Words>2237</Words>
  <Characters>12757</Characters>
  <Application>Microsoft Office Word</Application>
  <DocSecurity>0</DocSecurity>
  <Lines>106</Lines>
  <Paragraphs>29</Paragraphs>
  <ScaleCrop>false</ScaleCrop>
  <Company/>
  <LinksUpToDate>false</LinksUpToDate>
  <CharactersWithSpaces>14965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cp:revision>
  <dcterms:created xsi:type="dcterms:W3CDTF">2024-06-15T08:39:00Z</dcterms:created>
  <dcterms:modified xsi:type="dcterms:W3CDTF">2024-06-15T10:01:00Z</dcterms:modified>
</cp:coreProperties>
</file>