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2510" w:rsidRPr="00152510" w:rsidRDefault="00152510" w:rsidP="00152510">
      <w:r w:rsidRPr="00152510">
        <w:t>Material Culture and Conflict : The Great War 1914-2003, A chapter in Matters of Conflict: Material Culture, Memory, and The First World war.</w:t>
      </w:r>
    </w:p>
    <w:p w:rsidR="00152510" w:rsidRPr="00152510" w:rsidRDefault="00152510" w:rsidP="00152510">
      <w:r w:rsidRPr="00152510">
        <w:rPr>
          <w:i/>
          <w:iCs/>
        </w:rPr>
        <w:t>Material Culture and Conflict : The Great War 1914-2003</w:t>
      </w:r>
      <w:r w:rsidRPr="00152510">
        <w:t xml:space="preserve"> is the first chapter in</w:t>
      </w:r>
      <w:r w:rsidRPr="00152510">
        <w:rPr>
          <w:i/>
          <w:iCs/>
        </w:rPr>
        <w:t xml:space="preserve"> Matters of Conflict: Material Culture, Memory, and The First World war, </w:t>
      </w:r>
      <w:r w:rsidRPr="00152510">
        <w:t>a book edited by Nicholas J. Saunders</w:t>
      </w:r>
      <w:r w:rsidR="00823B2B">
        <w:t>, originally published in London, the US and Canada simultaneously, 2004</w:t>
      </w:r>
      <w:r w:rsidRPr="00152510">
        <w:t xml:space="preserve">. Each chapter is contributed by a different academic, forming a cross disciplinary exploration of a materialities approach to the First World War. </w:t>
      </w:r>
    </w:p>
    <w:p w:rsidR="00152510" w:rsidRPr="00152510" w:rsidRDefault="00152510" w:rsidP="00152510">
      <w:r w:rsidRPr="00152510">
        <w:t>Despite the anthropological nature of a materialities approach, only Saunders comes from an anthropology background, his chapter</w:t>
      </w:r>
      <w:r>
        <w:t>,</w:t>
      </w:r>
      <w:r w:rsidRPr="00152510">
        <w:rPr>
          <w:i/>
          <w:iCs/>
        </w:rPr>
        <w:t xml:space="preserve"> Material Culture and Conflict : The Great War 1914-2003</w:t>
      </w:r>
      <w:r>
        <w:t>,</w:t>
      </w:r>
      <w:r w:rsidRPr="00152510">
        <w:t xml:space="preserve"> setting about to discuss the importance of such an approach</w:t>
      </w:r>
      <w:r>
        <w:t>, before demonstrating the applicability via the examination of war memorabilia and battlefield landscapes.</w:t>
      </w:r>
      <w:r w:rsidR="00C15369">
        <w:t xml:space="preserve"> He focuses on materialities and mourning in Britain in the second half of the chapter.</w:t>
      </w:r>
    </w:p>
    <w:p w:rsidR="00152510" w:rsidRDefault="00152510" w:rsidP="00152510">
      <w:r w:rsidRPr="00152510">
        <w:t>Saunders is an anthropologist, he lectured on material culture in the department of anthropology at University College London at the time of publishing. Prior to publishing he was British academy senior research fellow investigating anthropology and the first world war. He has authored several academic books and journal articles on the subject of materialities and the Great War</w:t>
      </w:r>
      <w:r w:rsidR="00773E0E">
        <w:rPr>
          <w:rStyle w:val="FootnoteReference"/>
        </w:rPr>
        <w:footnoteReference w:id="1"/>
      </w:r>
      <w:r w:rsidRPr="00152510">
        <w:t xml:space="preserve">. </w:t>
      </w:r>
    </w:p>
    <w:p w:rsidR="006011FC" w:rsidRDefault="00152510" w:rsidP="00152510">
      <w:r w:rsidRPr="00152510">
        <w:rPr>
          <w:i/>
          <w:iCs/>
        </w:rPr>
        <w:t>Material Culture and Conflict : The Great War 1914-2003</w:t>
      </w:r>
      <w:r>
        <w:t xml:space="preserve"> </w:t>
      </w:r>
      <w:r w:rsidRPr="00152510">
        <w:t xml:space="preserve"> first discusses the both destructive and creative nature of war</w:t>
      </w:r>
      <w:r w:rsidR="006011FC">
        <w:t xml:space="preserve"> and</w:t>
      </w:r>
      <w:r w:rsidRPr="00152510">
        <w:t xml:space="preserve"> how this leaves a wealth of material culture to study</w:t>
      </w:r>
      <w:r w:rsidR="006011FC">
        <w:t>. He discusses how an anthropological approach presents itself as a useful tool for analysing this resource</w:t>
      </w:r>
      <w:r w:rsidR="00773E0E">
        <w:rPr>
          <w:rStyle w:val="FootnoteReference"/>
        </w:rPr>
        <w:footnoteReference w:id="2"/>
      </w:r>
      <w:r w:rsidR="006011FC">
        <w:t>. Traditionally, materialities in anthropology is the study of human interactions with objects, investigating how the material world can inform us about the lives of people. In Saunders’ words, ‘</w:t>
      </w:r>
      <w:r w:rsidR="006011FC" w:rsidRPr="006011FC">
        <w:t>The</w:t>
      </w:r>
      <w:r w:rsidR="006011FC">
        <w:t xml:space="preserve"> </w:t>
      </w:r>
      <w:r w:rsidR="006011FC" w:rsidRPr="006011FC">
        <w:t>transformative quality of modern war’s material culture, and its ability to</w:t>
      </w:r>
      <w:r w:rsidR="006011FC">
        <w:t xml:space="preserve"> </w:t>
      </w:r>
      <w:r w:rsidR="006011FC" w:rsidRPr="006011FC">
        <w:t>move across disciplinary boundaries, demands an anthropologically informed</w:t>
      </w:r>
      <w:r w:rsidR="006011FC">
        <w:t xml:space="preserve"> </w:t>
      </w:r>
      <w:r w:rsidR="006011FC" w:rsidRPr="006011FC">
        <w:lastRenderedPageBreak/>
        <w:t>interdisciplinary response.</w:t>
      </w:r>
      <w:r w:rsidR="006011FC">
        <w:t>’</w:t>
      </w:r>
      <w:r w:rsidR="006011FC">
        <w:rPr>
          <w:rStyle w:val="FootnoteReference"/>
        </w:rPr>
        <w:footnoteReference w:id="3"/>
      </w:r>
      <w:r w:rsidR="000F6776">
        <w:t xml:space="preserve"> He conveys this point effectively, giving an informed discussion on how to use a materialities approach, with reference to Kopytoff’s ‘social life’ of an object approach and it can be applied.</w:t>
      </w:r>
    </w:p>
    <w:p w:rsidR="000F6776" w:rsidRDefault="000F6776" w:rsidP="00152510">
      <w:r>
        <w:t xml:space="preserve">He </w:t>
      </w:r>
      <w:r w:rsidR="007617C1">
        <w:t>establishes</w:t>
      </w:r>
      <w:r>
        <w:t xml:space="preserve"> what he considers the artefacts that this approach can be applied to</w:t>
      </w:r>
      <w:r w:rsidR="007617C1">
        <w:t>, notably stating;</w:t>
      </w:r>
    </w:p>
    <w:p w:rsidR="000F6776" w:rsidRDefault="000F6776" w:rsidP="007617C1">
      <w:pPr>
        <w:ind w:left="720" w:right="804"/>
      </w:pPr>
      <w:r w:rsidRPr="000F6776">
        <w:t>the Western Front is as much a cultural artefact as a Second World War</w:t>
      </w:r>
      <w:r>
        <w:t xml:space="preserve"> </w:t>
      </w:r>
      <w:r w:rsidRPr="000F6776">
        <w:t>V2 rocket as are photographs, films, war memorials, war souvenirs and</w:t>
      </w:r>
      <w:r>
        <w:t xml:space="preserve"> </w:t>
      </w:r>
      <w:r w:rsidRPr="000F6776">
        <w:t>museums. Similarly artefactual, though not always understood as such, are</w:t>
      </w:r>
      <w:r>
        <w:t xml:space="preserve"> </w:t>
      </w:r>
      <w:r w:rsidRPr="000F6776">
        <w:t>the war maimed (sometimes fitted with prostheses), specialist associations,</w:t>
      </w:r>
      <w:r>
        <w:t xml:space="preserve"> </w:t>
      </w:r>
      <w:r w:rsidRPr="000F6776">
        <w:t>and the post-war ‘presence of absence’ on the streets of large numbers of</w:t>
      </w:r>
      <w:r>
        <w:t xml:space="preserve"> </w:t>
      </w:r>
      <w:r w:rsidRPr="000F6776">
        <w:t>missing men</w:t>
      </w:r>
      <w:r w:rsidR="007617C1">
        <w:rPr>
          <w:rStyle w:val="FootnoteReference"/>
        </w:rPr>
        <w:footnoteReference w:id="4"/>
      </w:r>
    </w:p>
    <w:p w:rsidR="007617C1" w:rsidRDefault="007617C1" w:rsidP="00152510">
      <w:r>
        <w:t>Having clarified this broader conception of ‘artefact’ he next indicates his intension to use ‘</w:t>
      </w:r>
      <w:r w:rsidRPr="007617C1">
        <w:t>battlefield landscapes, the meanings of memorabilia,</w:t>
      </w:r>
      <w:r>
        <w:t xml:space="preserve"> </w:t>
      </w:r>
      <w:r w:rsidRPr="007617C1">
        <w:t>and the nascent archaeology of the war</w:t>
      </w:r>
      <w:r>
        <w:t>,’ to illustrate effective potential of a materialities approach.</w:t>
      </w:r>
    </w:p>
    <w:p w:rsidR="00152510" w:rsidRDefault="00411CA0" w:rsidP="00152510">
      <w:r>
        <w:t>In this first subsection of the chapter, sunders focuses on ‘great war landscapes,’ aiming to concisely establish how a single physical location can be ‘multi-vocal’. He uses the example of a French war cemetery (</w:t>
      </w:r>
      <w:proofErr w:type="spellStart"/>
      <w:r w:rsidRPr="00411CA0">
        <w:t>Étaples</w:t>
      </w:r>
      <w:proofErr w:type="spellEnd"/>
      <w:r>
        <w:t>,</w:t>
      </w:r>
      <w:r w:rsidRPr="00411CA0">
        <w:t xml:space="preserve"> Boulogne</w:t>
      </w:r>
      <w:r>
        <w:t>) being defaced with graffiti in 2003 to illustrate how a single place can be interpreted differently</w:t>
      </w:r>
      <w:r w:rsidR="006F31D1">
        <w:t>, dependent on the individuals cultural viewpoint</w:t>
      </w:r>
      <w:r w:rsidR="00773E0E">
        <w:rPr>
          <w:rStyle w:val="FootnoteReference"/>
        </w:rPr>
        <w:footnoteReference w:id="5"/>
      </w:r>
      <w:r w:rsidR="006F31D1">
        <w:t>.</w:t>
      </w:r>
    </w:p>
    <w:p w:rsidR="006F31D1" w:rsidRDefault="006F31D1" w:rsidP="00152510">
      <w:r>
        <w:t>The next subsection, entitled ‘</w:t>
      </w:r>
      <w:r w:rsidRPr="006F31D1">
        <w:rPr>
          <w:i/>
          <w:iCs/>
        </w:rPr>
        <w:t>How War Creates’</w:t>
      </w:r>
      <w:r>
        <w:t>,</w:t>
      </w:r>
      <w:r w:rsidR="00221C9A">
        <w:t xml:space="preserve"> addresses the materiality of battlefields, how they simultaneously create and are created by the soldiers. Saunders uses the account of a British soldier’s experience on the frontlines to illustrate this, discussing how the soldier’s vision was frequently impaired by smoke, so they learned to navigate their surroundings by other senses, quickly developing the ability to identify different smells and sounds</w:t>
      </w:r>
      <w:r w:rsidR="00773E0E">
        <w:rPr>
          <w:rStyle w:val="FootnoteReference"/>
        </w:rPr>
        <w:footnoteReference w:id="6"/>
      </w:r>
      <w:r w:rsidR="00221C9A">
        <w:t xml:space="preserve">. He uses this to </w:t>
      </w:r>
      <w:r w:rsidR="00C15369">
        <w:t>reinforce his point that landscape shapes experience.</w:t>
      </w:r>
    </w:p>
    <w:p w:rsidR="00C15369" w:rsidRDefault="00C15369" w:rsidP="00152510">
      <w:r>
        <w:lastRenderedPageBreak/>
        <w:t xml:space="preserve">Saunders follows this analysis with an examination of the British war memorial at the Butte De </w:t>
      </w:r>
      <w:proofErr w:type="spellStart"/>
      <w:r>
        <w:t>Warlencourt</w:t>
      </w:r>
      <w:proofErr w:type="spellEnd"/>
      <w:r>
        <w:t xml:space="preserve">. The Butte is a battlefield on the Somme, </w:t>
      </w:r>
      <w:proofErr w:type="spellStart"/>
      <w:r>
        <w:t>wich</w:t>
      </w:r>
      <w:proofErr w:type="spellEnd"/>
      <w:r>
        <w:t xml:space="preserve"> has a history outside of the Great War, as it was significant in the Franco-Prussian wars, and initially a Gallic burial mound</w:t>
      </w:r>
      <w:r w:rsidR="0019046A">
        <w:rPr>
          <w:rStyle w:val="FootnoteReference"/>
        </w:rPr>
        <w:footnoteReference w:id="7"/>
      </w:r>
      <w:r>
        <w:t xml:space="preserve">. Saunders uses the Butte as an example of how history is multi-layered, </w:t>
      </w:r>
      <w:r w:rsidR="00744255">
        <w:t>and how memorialisation allows us to choose hat and how we remember.</w:t>
      </w:r>
    </w:p>
    <w:p w:rsidR="00744255" w:rsidRDefault="00744255" w:rsidP="00152510">
      <w:r>
        <w:t>In the next section the focus shifts towards the experience of the British public, as he considers intentionality. He uses the example of the British media to demonstrate how important it is to consider intentionality when examining an object. British policy prohibited official British media photography from showing British dead</w:t>
      </w:r>
      <w:r w:rsidR="00F10B66">
        <w:t>, highlighting how the intentionality of British wartime media was to keep the public in favour of the war. He also uses the example of casualties amongst those clearing former battlefields showing the intentionality of war technology</w:t>
      </w:r>
      <w:r w:rsidR="0019046A">
        <w:rPr>
          <w:rStyle w:val="FootnoteReference"/>
        </w:rPr>
        <w:footnoteReference w:id="8"/>
      </w:r>
      <w:r w:rsidR="00F10B66">
        <w:t>.</w:t>
      </w:r>
    </w:p>
    <w:p w:rsidR="00F10B66" w:rsidRDefault="00294774" w:rsidP="00152510">
      <w:r>
        <w:t>The penultimate subsection discusses materiality and memorabilia. Saunders looks at memorialisation in Britain after the war, specifically at widows. He discusses the memorabilia bought at the front lines by travelling widows, and how the ritualised maintenance of this memorabilia helped the healing process after the war. The memorabilia acted as a signifier that connected the bereaved within communities and provided a tangible, material link with their lost loved ones</w:t>
      </w:r>
      <w:r w:rsidR="0019046A">
        <w:rPr>
          <w:rStyle w:val="FootnoteReference"/>
        </w:rPr>
        <w:footnoteReference w:id="9"/>
      </w:r>
      <w:r>
        <w:t xml:space="preserve">. As </w:t>
      </w:r>
      <w:r w:rsidR="00823B2B">
        <w:t>Saunders</w:t>
      </w:r>
      <w:r>
        <w:t xml:space="preserve"> </w:t>
      </w:r>
      <w:r w:rsidR="00823B2B">
        <w:t>puts it, ‘the memory of the missing body was replaced by that of the present object’</w:t>
      </w:r>
      <w:r w:rsidR="00823B2B">
        <w:rPr>
          <w:rStyle w:val="FootnoteReference"/>
        </w:rPr>
        <w:footnoteReference w:id="10"/>
      </w:r>
      <w:r w:rsidR="00823B2B">
        <w:t>. His analysis of souvenir memorabilia with respects to memorialisation is an effective demonstration of an applied materialities approach to history, achieving what the chapter set out to do.</w:t>
      </w:r>
    </w:p>
    <w:p w:rsidR="00823B2B" w:rsidRDefault="00823B2B" w:rsidP="00152510">
      <w:r>
        <w:t xml:space="preserve">Finally, Saunders </w:t>
      </w:r>
      <w:r w:rsidR="00DD0863">
        <w:t xml:space="preserve">turns to archaeology, observing how Great War archaeology is just emerging, and is by nature heavily linked with anthropology via materialities.  He briefly discusses the phenomenon of museum cafes, </w:t>
      </w:r>
      <w:r w:rsidR="00614321">
        <w:t>and the dangers of war archaeology due to the inherent lethality of war material</w:t>
      </w:r>
      <w:r w:rsidR="0019046A">
        <w:rPr>
          <w:rStyle w:val="FootnoteReference"/>
        </w:rPr>
        <w:footnoteReference w:id="11"/>
      </w:r>
      <w:r w:rsidR="00614321">
        <w:t>.</w:t>
      </w:r>
    </w:p>
    <w:p w:rsidR="00614321" w:rsidRDefault="00614321" w:rsidP="00152510">
      <w:r>
        <w:lastRenderedPageBreak/>
        <w:t>He concludes by restating the potential of a materialities approach, for investigating human experience of the Great War.</w:t>
      </w:r>
    </w:p>
    <w:p w:rsidR="007678BB" w:rsidRDefault="00614321" w:rsidP="00152510">
      <w:r>
        <w:t xml:space="preserve">Overall, Saunders articulates his points well, demonstrating the potential of a cross-disciplinary, materialities approach to Great War history. He uses a variety of photographs and occasional first hand account to illustrate his point, and does so in an effective, easy to understand way. </w:t>
      </w:r>
      <w:r w:rsidR="008A48B3">
        <w:t>Though I say this having come from an anthropology background myself, which may have aided in my understanding of the chapter. He applies Kopytoff’s biographical approach in the way it was intended, demonstrating by example the usefulness of the approach within the discipline</w:t>
      </w:r>
      <w:r w:rsidR="008A48B3">
        <w:rPr>
          <w:rStyle w:val="FootnoteReference"/>
        </w:rPr>
        <w:footnoteReference w:id="12"/>
      </w:r>
      <w:r w:rsidR="008A48B3">
        <w:t>.</w:t>
      </w:r>
    </w:p>
    <w:p w:rsidR="00614321" w:rsidRDefault="007678BB" w:rsidP="00152510">
      <w:r>
        <w:t>The chapter achieves all the things it set out to do, presenting a potential approach, explaining how its can be applied, and setting up a framework from which the following chapters in the book can be understood with more ease.</w:t>
      </w:r>
      <w:r w:rsidR="00A613C1">
        <w:t xml:space="preserve"> Saunders explores how a materialities approach can help historians study British experience in the Great War in a way that makes it accessible to scholars in other disciplines. </w:t>
      </w:r>
    </w:p>
    <w:p w:rsidR="00A613C1" w:rsidRDefault="00A613C1" w:rsidP="00152510"/>
    <w:p w:rsidR="00A613C1" w:rsidRDefault="0019046A" w:rsidP="00152510">
      <w:r>
        <w:t>Bibliography</w:t>
      </w:r>
    </w:p>
    <w:p w:rsidR="0019046A" w:rsidRPr="0019046A" w:rsidRDefault="0019046A" w:rsidP="0019046A">
      <w:pPr>
        <w:pStyle w:val="Bibliography"/>
      </w:pPr>
      <w:r>
        <w:fldChar w:fldCharType="begin"/>
      </w:r>
      <w:r>
        <w:instrText xml:space="preserve"> ADDIN ZOTERO_BIBL {"uncited":[],"omitted":[],"custom":[]} CSL_BIBLIOGRAPHY </w:instrText>
      </w:r>
      <w:r>
        <w:fldChar w:fldCharType="separate"/>
      </w:r>
      <w:r w:rsidRPr="0019046A">
        <w:t>Bristol, University of, ‘Professor Nicholas Saunders - School of Arts’ &lt;/school-of-arts/people/</w:t>
      </w:r>
      <w:proofErr w:type="spellStart"/>
      <w:r w:rsidRPr="0019046A">
        <w:t>nicholas</w:t>
      </w:r>
      <w:proofErr w:type="spellEnd"/>
      <w:r w:rsidRPr="0019046A">
        <w:t>-j-</w:t>
      </w:r>
      <w:proofErr w:type="spellStart"/>
      <w:r w:rsidRPr="0019046A">
        <w:t>saunders</w:t>
      </w:r>
      <w:proofErr w:type="spellEnd"/>
      <w:r w:rsidRPr="0019046A">
        <w:t>/index.html&gt; [accessed 22 November 2019]</w:t>
      </w:r>
    </w:p>
    <w:p w:rsidR="0019046A" w:rsidRPr="0019046A" w:rsidRDefault="0019046A" w:rsidP="0019046A">
      <w:pPr>
        <w:pStyle w:val="Bibliography"/>
      </w:pPr>
      <w:r w:rsidRPr="0019046A">
        <w:t xml:space="preserve">Kopytoff, Igor, ‘The Cultural Biography of Things: </w:t>
      </w:r>
      <w:proofErr w:type="spellStart"/>
      <w:r w:rsidRPr="0019046A">
        <w:t>Commditization</w:t>
      </w:r>
      <w:proofErr w:type="spellEnd"/>
      <w:r w:rsidRPr="0019046A">
        <w:t xml:space="preserve"> as a Process’, in </w:t>
      </w:r>
      <w:r w:rsidRPr="0019046A">
        <w:rPr>
          <w:i/>
          <w:iCs/>
        </w:rPr>
        <w:t>The Social Life of Things: Commodities in Cultural Perspective</w:t>
      </w:r>
      <w:r w:rsidRPr="0019046A">
        <w:t xml:space="preserve"> (Cambridge University Press, 1988)</w:t>
      </w:r>
    </w:p>
    <w:p w:rsidR="0019046A" w:rsidRPr="0019046A" w:rsidRDefault="0019046A" w:rsidP="0019046A">
      <w:pPr>
        <w:pStyle w:val="Bibliography"/>
      </w:pPr>
      <w:r w:rsidRPr="0019046A">
        <w:t xml:space="preserve">Saunders, Nicholas J., </w:t>
      </w:r>
      <w:r w:rsidRPr="0019046A">
        <w:rPr>
          <w:i/>
          <w:iCs/>
        </w:rPr>
        <w:t>Matters of Conflict: Material Culture, Memory and the First World War</w:t>
      </w:r>
      <w:r w:rsidRPr="0019046A">
        <w:t xml:space="preserve">, 1st </w:t>
      </w:r>
      <w:proofErr w:type="spellStart"/>
      <w:r w:rsidRPr="0019046A">
        <w:t>edn</w:t>
      </w:r>
      <w:proofErr w:type="spellEnd"/>
      <w:r w:rsidRPr="0019046A">
        <w:t xml:space="preserve"> (Routledge, 2004) &lt;https://doi.org/10.4324/9780203502549&gt;</w:t>
      </w:r>
    </w:p>
    <w:p w:rsidR="0019046A" w:rsidRDefault="0019046A" w:rsidP="00152510">
      <w:r>
        <w:fldChar w:fldCharType="end"/>
      </w:r>
    </w:p>
    <w:p w:rsidR="00614321" w:rsidRDefault="00614321" w:rsidP="00152510"/>
    <w:p w:rsidR="00F10B66" w:rsidRDefault="00F10B66"/>
    <w:p w:rsidR="003B6842" w:rsidRDefault="003B6842"/>
    <w:p w:rsidR="003B6842" w:rsidRDefault="003B6842" w:rsidP="003B6842">
      <w:r>
        <w:lastRenderedPageBreak/>
        <w:t xml:space="preserve">Butte De </w:t>
      </w:r>
      <w:proofErr w:type="spellStart"/>
      <w:r>
        <w:t>Warlencourt</w:t>
      </w:r>
      <w:proofErr w:type="spellEnd"/>
      <w:r>
        <w:t xml:space="preserve"> – Primary source analysis</w:t>
      </w:r>
    </w:p>
    <w:p w:rsidR="003B6842" w:rsidRDefault="003B6842" w:rsidP="003B6842">
      <w:r>
        <w:t xml:space="preserve">The Butte De </w:t>
      </w:r>
      <w:proofErr w:type="spellStart"/>
      <w:r>
        <w:t>Warlencourt</w:t>
      </w:r>
      <w:proofErr w:type="spellEnd"/>
      <w:r>
        <w:t xml:space="preserve"> is a war memorial, owned by the western front association, in France, near the Somme. During the first world war the butte marked the extent of British advancement on the western front, switching occupation between Germany and Britain a total of nine times. It was also the first site where the Germans tested their stormtroopers. It is an earthen mound some 20 metres high, standing within the open, mostly level, landscape of Picardy, near to the town of </w:t>
      </w:r>
      <w:proofErr w:type="spellStart"/>
      <w:r>
        <w:t>Bapaume</w:t>
      </w:r>
      <w:proofErr w:type="spellEnd"/>
      <w:r w:rsidR="009C61F4">
        <w:rPr>
          <w:rStyle w:val="FootnoteReference"/>
        </w:rPr>
        <w:footnoteReference w:id="13"/>
      </w:r>
      <w:r>
        <w:t>.</w:t>
      </w:r>
    </w:p>
    <w:p w:rsidR="003B6842" w:rsidRDefault="003B6842" w:rsidP="003B6842">
      <w:r>
        <w:t xml:space="preserve">The western front association memorial at the BDW memorialises the British soldiers lost at the Butte during the Great war. </w:t>
      </w:r>
    </w:p>
    <w:p w:rsidR="003B6842" w:rsidRDefault="003B6842" w:rsidP="003B6842">
      <w:r>
        <w:t>Despite being a war memorial today, the butte has a long history. It was supposedly a burial mound for a Gallic chieftain during roman times, and a significant battlefield in the Franco-Prussian wars</w:t>
      </w:r>
      <w:r>
        <w:rPr>
          <w:rStyle w:val="FootnoteReference"/>
        </w:rPr>
        <w:footnoteReference w:id="14"/>
      </w:r>
    </w:p>
    <w:p w:rsidR="003B6842" w:rsidRDefault="003B6842" w:rsidP="003B6842">
      <w:r>
        <w:t xml:space="preserve">If one was to write a biography of the Butte de </w:t>
      </w:r>
      <w:proofErr w:type="spellStart"/>
      <w:r>
        <w:t>Warlencourt</w:t>
      </w:r>
      <w:proofErr w:type="spellEnd"/>
      <w:r>
        <w:t>, in the mode proposed by Kopytoff, the chronological history of the site would show how its value has changes and evolved through its life</w:t>
      </w:r>
      <w:r w:rsidR="009C61F4">
        <w:rPr>
          <w:rStyle w:val="FootnoteReference"/>
        </w:rPr>
        <w:footnoteReference w:id="15"/>
      </w:r>
      <w:r>
        <w:t>. The significance it held in battle is different to the significance it holds now as a memorial. It is not known why the site was originally chosen for the burial mound for the gallic chieftain, but the phenomenology of the landscape may have contributed through a slight prominence in the land. Whatever the case, the location suggested itself as a fitting site for the resting place of a person of status. Its location within the open landscape gives a 360 degree view of area. Its commanding position became the feature for which it was significant in its later incarnation as a contested point on a battlefield. Strategically controlling the higher ground was desirable during both the Franco-Prussian war and the Great War.</w:t>
      </w:r>
    </w:p>
    <w:p w:rsidR="003B6842" w:rsidRDefault="003B6842" w:rsidP="003B6842">
      <w:r>
        <w:t xml:space="preserve">Following the Great War, the Butte De </w:t>
      </w:r>
      <w:proofErr w:type="spellStart"/>
      <w:r>
        <w:t>Warlencourt</w:t>
      </w:r>
      <w:proofErr w:type="spellEnd"/>
      <w:r>
        <w:t xml:space="preserve"> became a site of pilgrimage, perhaps again because it stood out as the one memorable </w:t>
      </w:r>
      <w:r>
        <w:lastRenderedPageBreak/>
        <w:t xml:space="preserve">feature in an otherwise relatively featureless landscape. In the Second World War during the German occupation of </w:t>
      </w:r>
      <w:proofErr w:type="spellStart"/>
      <w:r>
        <w:t>france</w:t>
      </w:r>
      <w:proofErr w:type="spellEnd"/>
      <w:r>
        <w:t xml:space="preserve"> the </w:t>
      </w:r>
      <w:r w:rsidRPr="004D16EC">
        <w:t>Wehrmacht soldier</w:t>
      </w:r>
      <w:r>
        <w:t>s erected a German cross memorial at the summit of the Butte which was subsequently removed sometime before The Western Front Association bought the land in 1990 to formally dedicate the memorial to the British soldiers of the great war</w:t>
      </w:r>
      <w:r w:rsidR="009C61F4">
        <w:rPr>
          <w:rStyle w:val="FootnoteReference"/>
        </w:rPr>
        <w:footnoteReference w:id="16"/>
      </w:r>
      <w:r>
        <w:t xml:space="preserve">. The Butte has come full circle, returning to its role as a memorial. </w:t>
      </w:r>
    </w:p>
    <w:p w:rsidR="003B6842" w:rsidRDefault="003B6842" w:rsidP="003B6842">
      <w:r>
        <w:t xml:space="preserve">Through its life the Butte has held value as a site of memorial, but these memories are contested. Saunders articulates this well. </w:t>
      </w:r>
    </w:p>
    <w:p w:rsidR="003B6842" w:rsidRDefault="003B6842" w:rsidP="003B6842">
      <w:pPr>
        <w:ind w:left="720" w:right="804"/>
      </w:pPr>
      <w:r w:rsidRPr="001D3CAA">
        <w:t>Prehistoric features were transformed and overlain by layers of industrialised war,</w:t>
      </w:r>
      <w:r>
        <w:t xml:space="preserve"> </w:t>
      </w:r>
      <w:r w:rsidRPr="004D16EC">
        <w:t>ironically serving as a</w:t>
      </w:r>
      <w:r>
        <w:t xml:space="preserve"> </w:t>
      </w:r>
      <w:r w:rsidRPr="004D16EC">
        <w:t>symbol of many more dead than the original prehistoric mound was designed</w:t>
      </w:r>
      <w:r>
        <w:t xml:space="preserve"> </w:t>
      </w:r>
      <w:r w:rsidRPr="004D16EC">
        <w:t xml:space="preserve">to hold. It was then symbolically acquired, lost, then regained through memorialisation and </w:t>
      </w:r>
      <w:proofErr w:type="spellStart"/>
      <w:r w:rsidRPr="004D16EC">
        <w:t>rememorialisation</w:t>
      </w:r>
      <w:proofErr w:type="spellEnd"/>
      <w:r w:rsidRPr="004D16EC">
        <w:t xml:space="preserve"> up to the last decade of the twentieth century, when all these pasts were repackaged and sold as a ‘job lot’ to an</w:t>
      </w:r>
      <w:r>
        <w:t xml:space="preserve"> </w:t>
      </w:r>
      <w:r w:rsidRPr="004D16EC">
        <w:t>organisation whose raison d’être is to perpetuate only one of the butte’s</w:t>
      </w:r>
      <w:r>
        <w:t xml:space="preserve"> </w:t>
      </w:r>
      <w:r w:rsidRPr="004D16EC">
        <w:t>many pasts</w:t>
      </w:r>
      <w:r>
        <w:rPr>
          <w:rStyle w:val="FootnoteReference"/>
        </w:rPr>
        <w:footnoteReference w:id="17"/>
      </w:r>
    </w:p>
    <w:p w:rsidR="003B6842" w:rsidRDefault="003B6842" w:rsidP="003B6842">
      <w:r>
        <w:t>The fixing of the memorial to honour only one group highlights the contested nature of memory. This has been debated by many scholars</w:t>
      </w:r>
    </w:p>
    <w:p w:rsidR="003B6842" w:rsidRDefault="003B6842" w:rsidP="003B6842">
      <w:r>
        <w:t xml:space="preserve">Memory is debated to be competitive, as some would say the memorial for the fallen soldiers erases the memory of the </w:t>
      </w:r>
      <w:proofErr w:type="spellStart"/>
      <w:r>
        <w:t>franco-prussian</w:t>
      </w:r>
      <w:proofErr w:type="spellEnd"/>
      <w:r>
        <w:t xml:space="preserve"> wars and Gallic burial that came before it</w:t>
      </w:r>
      <w:r w:rsidR="009C61F4">
        <w:rPr>
          <w:rStyle w:val="FootnoteReference"/>
        </w:rPr>
        <w:footnoteReference w:id="18"/>
      </w:r>
      <w:r>
        <w:t>.</w:t>
      </w:r>
    </w:p>
    <w:p w:rsidR="003B6842" w:rsidRDefault="009C61F4" w:rsidP="003B6842">
      <w:r>
        <w:t>-memory debate</w:t>
      </w:r>
    </w:p>
    <w:p w:rsidR="009C61F4" w:rsidRDefault="009C61F4" w:rsidP="003B6842">
      <w:r>
        <w:t>-‘places gather’</w:t>
      </w:r>
      <w:r w:rsidR="00166EBC">
        <w:t xml:space="preserve"> </w:t>
      </w:r>
      <w:r w:rsidR="00F43B25">
        <w:t>phenomenology</w:t>
      </w:r>
      <w:r w:rsidR="00166EBC">
        <w:t xml:space="preserve"> </w:t>
      </w:r>
      <w:bookmarkStart w:id="0" w:name="_GoBack"/>
      <w:bookmarkEnd w:id="0"/>
      <w:r w:rsidR="00166EBC">
        <w:t>and memory</w:t>
      </w:r>
    </w:p>
    <w:p w:rsidR="003B6842" w:rsidRDefault="003B6842" w:rsidP="003B6842"/>
    <w:p w:rsidR="00166EBC" w:rsidRDefault="00166EBC" w:rsidP="003B6842"/>
    <w:p w:rsidR="003B6842" w:rsidRDefault="003B6842" w:rsidP="003B6842"/>
    <w:p w:rsidR="003B6842" w:rsidRDefault="009C61F4" w:rsidP="003B6842">
      <w:proofErr w:type="spellStart"/>
      <w:r>
        <w:lastRenderedPageBreak/>
        <w:t>Biblio</w:t>
      </w:r>
      <w:proofErr w:type="spellEnd"/>
      <w:r>
        <w:t>.</w:t>
      </w:r>
    </w:p>
    <w:p w:rsidR="00166EBC" w:rsidRDefault="00166EBC" w:rsidP="00166EBC">
      <w:r>
        <w:fldChar w:fldCharType="begin"/>
      </w:r>
      <w:r>
        <w:instrText xml:space="preserve"> ADDIN ZOTERO_TEMP </w:instrText>
      </w:r>
      <w:r>
        <w:fldChar w:fldCharType="separate"/>
      </w:r>
      <w:r>
        <w:t xml:space="preserve">Igor Kopytoff, ‘The Cultural Biography of Things: </w:t>
      </w:r>
      <w:proofErr w:type="spellStart"/>
      <w:r>
        <w:t>Commditization</w:t>
      </w:r>
      <w:proofErr w:type="spellEnd"/>
      <w:r>
        <w:t xml:space="preserve"> as a Process’, in </w:t>
      </w:r>
      <w:r>
        <w:rPr>
          <w:i/>
          <w:iCs/>
        </w:rPr>
        <w:t>The Social Life of Things: Commodities in Cultural Perspective</w:t>
      </w:r>
      <w:r>
        <w:t xml:space="preserve"> (Cambridge University Press, 1988).</w:t>
      </w:r>
      <w:r>
        <w:fldChar w:fldCharType="end"/>
      </w:r>
    </w:p>
    <w:p w:rsidR="00166EBC" w:rsidRDefault="00166EBC" w:rsidP="003B6842">
      <w:r>
        <w:t xml:space="preserve">Michael Rothberg, </w:t>
      </w:r>
      <w:r>
        <w:rPr>
          <w:i/>
          <w:iCs/>
        </w:rPr>
        <w:t>Multidirectional Memory: Remembering the Holocaust in the Age of Decolonization</w:t>
      </w:r>
      <w:r>
        <w:t xml:space="preserve"> (Stanford University Press, 2009).</w:t>
      </w:r>
    </w:p>
    <w:p w:rsidR="00166EBC" w:rsidRDefault="00166EBC" w:rsidP="00166EBC">
      <w:pPr>
        <w:pStyle w:val="FootnoteText"/>
      </w:pPr>
      <w:r>
        <w:fldChar w:fldCharType="begin"/>
      </w:r>
      <w:r>
        <w:instrText xml:space="preserve"> ADDIN ZOTERO_ITEM CSL_CITATION {"citationID":"7Suh2sEr","properties":{"formattedCitation":"Nicholas J. Saunders, {\\i{}Matters of Conflict: Material Culture, Memory and the First World War}, 1st edn (Routledge, 2004) &lt;https://doi.org/10.4324/9780203502549&gt;.","plainCitation":"Nicholas J. Saunders, Matters of Conflict: Material Culture, Memory and the First World War, 1st edn (Routledge, 2004) &lt;https://doi.org/10.4324/9780203502549&gt;.","noteIndex":1},"citationItems":[{"id":616,"uris":["http://zotero.org/users/local/Cjm78u2t/items/EZBUATVM"],"uri":["http://zotero.org/users/local/Cjm78u2t/items/EZBUATVM"],"itemData":{"id":616,"type":"book","title":"Matters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BE0698">
        <w:rPr>
          <w:rFonts w:cs="Times New Roman"/>
          <w:szCs w:val="24"/>
        </w:rPr>
        <w:t xml:space="preserve">Nicholas J. Saunders, </w:t>
      </w:r>
      <w:r w:rsidRPr="00BE0698">
        <w:rPr>
          <w:rFonts w:cs="Times New Roman"/>
          <w:i/>
          <w:iCs/>
          <w:szCs w:val="24"/>
        </w:rPr>
        <w:t>Matters of Conflict: Material Culture, Memory and the First World War</w:t>
      </w:r>
      <w:r w:rsidRPr="00BE0698">
        <w:rPr>
          <w:rFonts w:cs="Times New Roman"/>
          <w:szCs w:val="24"/>
        </w:rPr>
        <w:t xml:space="preserve">, 1st </w:t>
      </w:r>
      <w:proofErr w:type="spellStart"/>
      <w:r w:rsidRPr="00BE0698">
        <w:rPr>
          <w:rFonts w:cs="Times New Roman"/>
          <w:szCs w:val="24"/>
        </w:rPr>
        <w:t>edn</w:t>
      </w:r>
      <w:proofErr w:type="spellEnd"/>
      <w:r w:rsidRPr="00BE0698">
        <w:rPr>
          <w:rFonts w:cs="Times New Roman"/>
          <w:szCs w:val="24"/>
        </w:rPr>
        <w:t xml:space="preserve"> (Routledge, 2004) &lt;https://doi.org/10.4324/9780203502549&gt;.</w:t>
      </w:r>
      <w:r>
        <w:fldChar w:fldCharType="end"/>
      </w:r>
    </w:p>
    <w:p w:rsidR="00166EBC" w:rsidRDefault="00166EBC" w:rsidP="00166EBC">
      <w:pPr>
        <w:pStyle w:val="FootnoteText"/>
      </w:pPr>
    </w:p>
    <w:p w:rsidR="00166EBC" w:rsidRDefault="00166EBC" w:rsidP="00166EBC">
      <w:pPr>
        <w:pStyle w:val="FootnoteText"/>
      </w:pPr>
      <w:r>
        <w:t xml:space="preserve">Nicholas J. Saunders, ‘Crucifix, Calvary, and Cross: Materiality and Spirituality in Great War Landscapes’, </w:t>
      </w:r>
      <w:r>
        <w:rPr>
          <w:i/>
          <w:iCs/>
        </w:rPr>
        <w:t>World Archaeology</w:t>
      </w:r>
      <w:r>
        <w:t>, 35.1 (2003), 7–21 &lt;https://doi.org/</w:t>
      </w:r>
      <w:hyperlink r:id="rId7" w:history="1">
        <w:r>
          <w:rPr>
            <w:rStyle w:val="Hyperlink"/>
          </w:rPr>
          <w:t>10.1080/0043824032000078045</w:t>
        </w:r>
      </w:hyperlink>
      <w:r>
        <w:t>&gt;.</w:t>
      </w:r>
      <w:r>
        <w:fldChar w:fldCharType="begin"/>
      </w:r>
      <w:r>
        <w:instrText xml:space="preserve"> ADDIN ZOTERO_TEMP </w:instrText>
      </w:r>
      <w:r>
        <w:fldChar w:fldCharType="separate"/>
      </w:r>
      <w:r>
        <w:fldChar w:fldCharType="end"/>
      </w:r>
      <w:r>
        <w:t xml:space="preserve"> </w:t>
      </w:r>
    </w:p>
    <w:p w:rsidR="00166EBC" w:rsidRDefault="00166EBC" w:rsidP="00166EBC">
      <w:pPr>
        <w:pStyle w:val="FootnoteText"/>
      </w:pPr>
    </w:p>
    <w:p w:rsidR="00166EBC" w:rsidRDefault="00166EBC" w:rsidP="00166EBC"/>
    <w:p w:rsidR="00166EBC" w:rsidRDefault="00166EBC"/>
    <w:sectPr w:rsidR="00166E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40EF" w:rsidRDefault="001E40EF" w:rsidP="006011FC">
      <w:pPr>
        <w:spacing w:after="0" w:line="240" w:lineRule="auto"/>
      </w:pPr>
      <w:r>
        <w:separator/>
      </w:r>
    </w:p>
  </w:endnote>
  <w:endnote w:type="continuationSeparator" w:id="0">
    <w:p w:rsidR="001E40EF" w:rsidRDefault="001E40EF" w:rsidP="00601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40EF" w:rsidRDefault="001E40EF" w:rsidP="006011FC">
      <w:pPr>
        <w:spacing w:after="0" w:line="240" w:lineRule="auto"/>
      </w:pPr>
      <w:r>
        <w:separator/>
      </w:r>
    </w:p>
  </w:footnote>
  <w:footnote w:type="continuationSeparator" w:id="0">
    <w:p w:rsidR="001E40EF" w:rsidRDefault="001E40EF" w:rsidP="006011FC">
      <w:pPr>
        <w:spacing w:after="0" w:line="240" w:lineRule="auto"/>
      </w:pPr>
      <w:r>
        <w:continuationSeparator/>
      </w:r>
    </w:p>
  </w:footnote>
  <w:footnote w:id="1">
    <w:p w:rsidR="00773E0E" w:rsidRDefault="00773E0E">
      <w:pPr>
        <w:pStyle w:val="FootnoteText"/>
      </w:pPr>
      <w:r>
        <w:rPr>
          <w:rStyle w:val="FootnoteReference"/>
        </w:rPr>
        <w:footnoteRef/>
      </w:r>
      <w:r>
        <w:t xml:space="preserve"> </w:t>
      </w:r>
      <w:r>
        <w:fldChar w:fldCharType="begin"/>
      </w:r>
      <w:r>
        <w:instrText xml:space="preserve"> ADDIN ZOTERO_ITEM CSL_CITATION {"citationID":"1LUCJGWt","properties":{"formattedCitation":"University of Bristol, \\uc0\\u8216{}Professor Nicholas Saunders - School of Arts\\uc0\\u8217{} &lt;/school-of-arts/people/nicholas-j-saunders/index.html&gt; [accessed 22 November 2019].","plainCitation":"University of Bristol, ‘Professor Nicholas Saunders - School of Arts’ &lt;/school-of-arts/people/nicholas-j-saunders/index.html&gt; [accessed 22 November 2019].","noteIndex":1},"citationItems":[{"id":627,"uris":["http://zotero.org/users/local/Cjm78u2t/items/VUHE4Z4X"],"uri":["http://zotero.org/users/local/Cjm78u2t/items/VUHE4Z4X"],"itemData":{"id":627,"type":"webpage","title":"Professor Nicholas Saunders - School of Arts","abstract":"University of Bristol - person profile - School of Arts - Professor Nicholas Saunders -","URL":"/school-of-arts/people/nicholas-j-saunders/index.html","language":"en-GB","author":[{"family":"Bristol","given":"University","dropping-particle":"of"}],"accessed":{"date-parts":[["2019",11,22]]}}}],"schema":"https://github.com/citation-style-language/schema/raw/master/csl-citation.json"} </w:instrText>
      </w:r>
      <w:r>
        <w:fldChar w:fldCharType="separate"/>
      </w:r>
      <w:r w:rsidRPr="00773E0E">
        <w:rPr>
          <w:rFonts w:cs="Times New Roman"/>
          <w:szCs w:val="24"/>
        </w:rPr>
        <w:t>University of Bristol, ‘Professor Nicholas Saunders - School of Arts’ &lt;/school-of-arts/people/</w:t>
      </w:r>
      <w:proofErr w:type="spellStart"/>
      <w:r w:rsidRPr="00773E0E">
        <w:rPr>
          <w:rFonts w:cs="Times New Roman"/>
          <w:szCs w:val="24"/>
        </w:rPr>
        <w:t>nicholas</w:t>
      </w:r>
      <w:proofErr w:type="spellEnd"/>
      <w:r w:rsidRPr="00773E0E">
        <w:rPr>
          <w:rFonts w:cs="Times New Roman"/>
          <w:szCs w:val="24"/>
        </w:rPr>
        <w:t>-j-</w:t>
      </w:r>
      <w:proofErr w:type="spellStart"/>
      <w:r w:rsidRPr="00773E0E">
        <w:rPr>
          <w:rFonts w:cs="Times New Roman"/>
          <w:szCs w:val="24"/>
        </w:rPr>
        <w:t>saunders</w:t>
      </w:r>
      <w:proofErr w:type="spellEnd"/>
      <w:r w:rsidRPr="00773E0E">
        <w:rPr>
          <w:rFonts w:cs="Times New Roman"/>
          <w:szCs w:val="24"/>
        </w:rPr>
        <w:t>/index.html&gt; [accessed 22 November 2019].</w:t>
      </w:r>
      <w:r>
        <w:fldChar w:fldCharType="end"/>
      </w:r>
    </w:p>
  </w:footnote>
  <w:footnote w:id="2">
    <w:p w:rsidR="00773E0E" w:rsidRDefault="00773E0E">
      <w:pPr>
        <w:pStyle w:val="FootnoteText"/>
      </w:pPr>
      <w:r>
        <w:rPr>
          <w:rStyle w:val="FootnoteReference"/>
        </w:rPr>
        <w:footnoteRef/>
      </w:r>
      <w:r>
        <w:t xml:space="preserve"> </w:t>
      </w:r>
      <w:r>
        <w:fldChar w:fldCharType="begin"/>
      </w:r>
      <w:r>
        <w:instrText xml:space="preserve"> ADDIN ZOTERO_ITEM CSL_CITATION {"citationID":"4vwnZ2zV","properties":{"formattedCitation":"Nicholas J. Saunders, {\\i{}Matters of Conflict: Material Culture, Memory and the First World War}, 1st edn (Routledge, 2004) &lt;https://doi.org/10.4324/9780203502549&gt;.","plainCitation":"Nicholas J. Saunders, Matters of Conflict: Material Culture, Memory and the First World War, 1st edn (Routledge, 2004) &lt;https://doi.org/10.4324/9780203502549&gt;.","noteIndex":2},"citationItems":[{"id":616,"uris":["http://zotero.org/users/local/Cjm78u2t/items/EZBUATVM"],"uri":["http://zotero.org/users/local/Cjm78u2t/items/EZBUATVM"],"itemData":{"id":616,"type":"book","title":"Matters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773E0E">
        <w:rPr>
          <w:rFonts w:cs="Times New Roman"/>
          <w:szCs w:val="24"/>
        </w:rPr>
        <w:t xml:space="preserve">Nicholas J. Saunders, </w:t>
      </w:r>
      <w:r w:rsidRPr="00773E0E">
        <w:rPr>
          <w:rFonts w:cs="Times New Roman"/>
          <w:i/>
          <w:iCs/>
          <w:szCs w:val="24"/>
        </w:rPr>
        <w:t>Matters of Conflict: Material Culture, Memory and the First World War</w:t>
      </w:r>
      <w:r w:rsidRPr="00773E0E">
        <w:rPr>
          <w:rFonts w:cs="Times New Roman"/>
          <w:szCs w:val="24"/>
        </w:rPr>
        <w:t xml:space="preserve">, 1st </w:t>
      </w:r>
      <w:proofErr w:type="spellStart"/>
      <w:r w:rsidRPr="00773E0E">
        <w:rPr>
          <w:rFonts w:cs="Times New Roman"/>
          <w:szCs w:val="24"/>
        </w:rPr>
        <w:t>edn</w:t>
      </w:r>
      <w:proofErr w:type="spellEnd"/>
      <w:r w:rsidRPr="00773E0E">
        <w:rPr>
          <w:rFonts w:cs="Times New Roman"/>
          <w:szCs w:val="24"/>
        </w:rPr>
        <w:t xml:space="preserve"> (Routledge, 2004) </w:t>
      </w:r>
      <w:r>
        <w:rPr>
          <w:rFonts w:cs="Times New Roman"/>
          <w:szCs w:val="24"/>
        </w:rPr>
        <w:t xml:space="preserve">pp,5-7 </w:t>
      </w:r>
      <w:r w:rsidRPr="00773E0E">
        <w:rPr>
          <w:rFonts w:cs="Times New Roman"/>
          <w:szCs w:val="24"/>
        </w:rPr>
        <w:t>&lt;https://doi.org/10.4324/9780203502549&gt;.</w:t>
      </w:r>
      <w:r>
        <w:fldChar w:fldCharType="end"/>
      </w:r>
    </w:p>
  </w:footnote>
  <w:footnote w:id="3">
    <w:p w:rsidR="00F10B66" w:rsidRDefault="00F10B66">
      <w:pPr>
        <w:pStyle w:val="FootnoteText"/>
      </w:pPr>
      <w:r>
        <w:rPr>
          <w:rStyle w:val="FootnoteReference"/>
        </w:rPr>
        <w:footnoteRef/>
      </w:r>
      <w:r>
        <w:t xml:space="preserve"> </w:t>
      </w:r>
      <w:r>
        <w:fldChar w:fldCharType="begin"/>
      </w:r>
      <w:r w:rsidR="00773E0E">
        <w:instrText xml:space="preserve"> ADDIN ZOTERO_ITEM CSL_CITATION {"citationID":"A7KocvG2","properties":{"formattedCitation":"Nicholas J. Saunders, {\\i{}Matters of Conflict: Material Culture, Memory and the First World War}, 1st edn (Routledge, 2004) &lt;https://doi.org/10.4324/9780203502549&gt;.","plainCitation":"Nicholas J. Saunders, Matters of Conflict: Material Culture, Memory and the First World War, 1st edn (Routledge, 2004) &lt;https://doi.org/10.4324/9780203502549&gt;.","dontUpdate":true,"noteIndex":3},"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00773E0E">
        <w:rPr>
          <w:rFonts w:cs="Times New Roman"/>
          <w:szCs w:val="24"/>
        </w:rPr>
        <w:t>Saunders. p.5</w:t>
      </w:r>
      <w:r>
        <w:fldChar w:fldCharType="end"/>
      </w:r>
    </w:p>
  </w:footnote>
  <w:footnote w:id="4">
    <w:p w:rsidR="00F10B66" w:rsidRDefault="00F10B66">
      <w:pPr>
        <w:pStyle w:val="FootnoteText"/>
      </w:pPr>
      <w:r>
        <w:rPr>
          <w:rStyle w:val="FootnoteReference"/>
        </w:rPr>
        <w:footnoteRef/>
      </w:r>
      <w:r>
        <w:t xml:space="preserve"> </w:t>
      </w:r>
      <w:r>
        <w:fldChar w:fldCharType="begin"/>
      </w:r>
      <w:r w:rsidR="00773E0E">
        <w:instrText xml:space="preserve"> ADDIN ZOTERO_ITEM CSL_CITATION {"citationID":"rLMxw05p","properties":{"formattedCitation":"Saunders.","plainCitation":"Saunders.","noteIndex":4},"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7617C1">
        <w:t>Saunders.</w:t>
      </w:r>
      <w:r>
        <w:fldChar w:fldCharType="end"/>
      </w:r>
      <w:r w:rsidR="00A613C1">
        <w:t xml:space="preserve"> P.6</w:t>
      </w:r>
    </w:p>
  </w:footnote>
  <w:footnote w:id="5">
    <w:p w:rsidR="00773E0E" w:rsidRDefault="00773E0E">
      <w:pPr>
        <w:pStyle w:val="FootnoteText"/>
      </w:pPr>
      <w:r>
        <w:rPr>
          <w:rStyle w:val="FootnoteReference"/>
        </w:rPr>
        <w:footnoteRef/>
      </w:r>
      <w:r>
        <w:t xml:space="preserve"> </w:t>
      </w:r>
      <w:r>
        <w:fldChar w:fldCharType="begin"/>
      </w:r>
      <w:r>
        <w:instrText xml:space="preserve"> ADDIN ZOTERO_ITEM CSL_CITATION {"citationID":"RTC4KJtV","properties":{"formattedCitation":"Saunders.","plainCitation":"Saunders.","noteIndex":5},"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773E0E">
        <w:t>Saunders.</w:t>
      </w:r>
      <w:r>
        <w:fldChar w:fldCharType="end"/>
      </w:r>
      <w:r>
        <w:t xml:space="preserve"> Pp.7-8</w:t>
      </w:r>
    </w:p>
  </w:footnote>
  <w:footnote w:id="6">
    <w:p w:rsidR="00773E0E" w:rsidRDefault="00773E0E">
      <w:pPr>
        <w:pStyle w:val="FootnoteText"/>
      </w:pPr>
      <w:r>
        <w:rPr>
          <w:rStyle w:val="FootnoteReference"/>
        </w:rPr>
        <w:footnoteRef/>
      </w:r>
      <w:r>
        <w:t xml:space="preserve"> </w:t>
      </w:r>
      <w:r>
        <w:fldChar w:fldCharType="begin"/>
      </w:r>
      <w:r>
        <w:instrText xml:space="preserve"> ADDIN ZOTERO_ITEM CSL_CITATION {"citationID":"hHEURt2c","properties":{"formattedCitation":"Saunders.","plainCitation":"Saunders.","noteIndex":6},"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773E0E">
        <w:t>Saunders.</w:t>
      </w:r>
      <w:r>
        <w:fldChar w:fldCharType="end"/>
      </w:r>
      <w:r>
        <w:t xml:space="preserve"> Pp. 8-10</w:t>
      </w:r>
    </w:p>
  </w:footnote>
  <w:footnote w:id="7">
    <w:p w:rsidR="0019046A" w:rsidRDefault="0019046A">
      <w:pPr>
        <w:pStyle w:val="FootnoteText"/>
      </w:pPr>
      <w:r>
        <w:rPr>
          <w:rStyle w:val="FootnoteReference"/>
        </w:rPr>
        <w:footnoteRef/>
      </w:r>
      <w:r>
        <w:t xml:space="preserve"> </w:t>
      </w:r>
      <w:r>
        <w:fldChar w:fldCharType="begin"/>
      </w:r>
      <w:r>
        <w:instrText xml:space="preserve"> ADDIN ZOTERO_ITEM CSL_CITATION {"citationID":"33TOk0PW","properties":{"formattedCitation":"Saunders.","plainCitation":"Saunders.","noteIndex":7},"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19046A">
        <w:t>Saunders.</w:t>
      </w:r>
      <w:r>
        <w:fldChar w:fldCharType="end"/>
      </w:r>
      <w:r>
        <w:t xml:space="preserve"> Pp.10-11</w:t>
      </w:r>
    </w:p>
  </w:footnote>
  <w:footnote w:id="8">
    <w:p w:rsidR="0019046A" w:rsidRDefault="0019046A">
      <w:pPr>
        <w:pStyle w:val="FootnoteText"/>
      </w:pPr>
      <w:r>
        <w:rPr>
          <w:rStyle w:val="FootnoteReference"/>
        </w:rPr>
        <w:footnoteRef/>
      </w:r>
      <w:r>
        <w:t xml:space="preserve"> </w:t>
      </w:r>
      <w:r>
        <w:fldChar w:fldCharType="begin"/>
      </w:r>
      <w:r>
        <w:instrText xml:space="preserve"> ADDIN ZOTERO_ITEM CSL_CITATION {"citationID":"v3xXAMqN","properties":{"formattedCitation":"Saunders.","plainCitation":"Saunders.","noteIndex":8},"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19046A">
        <w:t>Saunders.</w:t>
      </w:r>
      <w:r>
        <w:fldChar w:fldCharType="end"/>
      </w:r>
      <w:r>
        <w:t xml:space="preserve"> Pp. 11-13</w:t>
      </w:r>
    </w:p>
  </w:footnote>
  <w:footnote w:id="9">
    <w:p w:rsidR="0019046A" w:rsidRDefault="0019046A">
      <w:pPr>
        <w:pStyle w:val="FootnoteText"/>
      </w:pPr>
      <w:r>
        <w:rPr>
          <w:rStyle w:val="FootnoteReference"/>
        </w:rPr>
        <w:footnoteRef/>
      </w:r>
      <w:r>
        <w:t xml:space="preserve"> </w:t>
      </w:r>
      <w:r>
        <w:fldChar w:fldCharType="begin"/>
      </w:r>
      <w:r>
        <w:instrText xml:space="preserve"> ADDIN ZOTERO_ITEM CSL_CITATION {"citationID":"EzwdIErR","properties":{"formattedCitation":"Saunders.","plainCitation":"Saunders.","noteIndex":9},"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19046A">
        <w:t>Saunders.</w:t>
      </w:r>
      <w:r>
        <w:fldChar w:fldCharType="end"/>
      </w:r>
      <w:r>
        <w:t xml:space="preserve"> Pp.13-18</w:t>
      </w:r>
    </w:p>
  </w:footnote>
  <w:footnote w:id="10">
    <w:p w:rsidR="00823B2B" w:rsidRDefault="00823B2B">
      <w:pPr>
        <w:pStyle w:val="FootnoteText"/>
      </w:pPr>
      <w:r>
        <w:rPr>
          <w:rStyle w:val="FootnoteReference"/>
        </w:rPr>
        <w:footnoteRef/>
      </w:r>
      <w:r>
        <w:t xml:space="preserve"> </w:t>
      </w:r>
      <w:r>
        <w:fldChar w:fldCharType="begin"/>
      </w:r>
      <w:r w:rsidR="00773E0E">
        <w:instrText xml:space="preserve"> ADDIN ZOTERO_ITEM CSL_CITATION {"citationID":"LGndqpIh","properties":{"formattedCitation":"Saunders.","plainCitation":"Saunders.","noteIndex":5},"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823B2B">
        <w:t>Saunders.</w:t>
      </w:r>
      <w:r>
        <w:fldChar w:fldCharType="end"/>
      </w:r>
      <w:r w:rsidR="0019046A">
        <w:t xml:space="preserve"> P.14</w:t>
      </w:r>
    </w:p>
  </w:footnote>
  <w:footnote w:id="11">
    <w:p w:rsidR="0019046A" w:rsidRDefault="0019046A">
      <w:pPr>
        <w:pStyle w:val="FootnoteText"/>
      </w:pPr>
      <w:r>
        <w:rPr>
          <w:rStyle w:val="FootnoteReference"/>
        </w:rPr>
        <w:footnoteRef/>
      </w:r>
      <w:r>
        <w:t xml:space="preserve"> </w:t>
      </w:r>
      <w:r>
        <w:fldChar w:fldCharType="begin"/>
      </w:r>
      <w:r>
        <w:instrText xml:space="preserve"> ADDIN ZOTERO_ITEM CSL_CITATION {"citationID":"HlWWX4AV","properties":{"formattedCitation":"Saunders.","plainCitation":"Saunders.","noteIndex":11},"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19046A">
        <w:t>Saunders.</w:t>
      </w:r>
      <w:r>
        <w:fldChar w:fldCharType="end"/>
      </w:r>
      <w:r>
        <w:t xml:space="preserve"> Pp. 18-22</w:t>
      </w:r>
    </w:p>
  </w:footnote>
  <w:footnote w:id="12">
    <w:p w:rsidR="008A48B3" w:rsidRDefault="008A48B3">
      <w:pPr>
        <w:pStyle w:val="FootnoteText"/>
      </w:pPr>
      <w:r>
        <w:rPr>
          <w:rStyle w:val="FootnoteReference"/>
        </w:rPr>
        <w:footnoteRef/>
      </w:r>
      <w:r>
        <w:t xml:space="preserve"> </w:t>
      </w:r>
      <w:r>
        <w:fldChar w:fldCharType="begin"/>
      </w:r>
      <w:r w:rsidR="0019046A">
        <w:instrText xml:space="preserve"> ADDIN ZOTERO_ITEM CSL_CITATION {"citationID":"ckzR7hot","properties":{"formattedCitation":"Igor Kopytoff, \\uc0\\u8216{}The Cultural Biography of Things: Commditization as a Process\\uc0\\u8217{}, in {\\i{}The Social Life of Things: Commodities in Cultural Perspective} (Cambridge University Press, 1988).","plainCitation":"Igor Kopytoff, ‘The Cultural Biography of Things: Commditization as a Process’, in The Social Life of Things: Commodities in Cultural Perspective (Cambridge University Press, 1988).","noteIndex":12},"citationItems":[{"id":625,"uris":["http://zotero.org/users/local/Cjm78u2t/items/YXERSH4B"],"uri":["http://zotero.org/users/local/Cjm78u2t/items/YXERSH4B"],"itemData":{"id":625,"type":"chapter","title":"The Cultural Biography of Things: commditization as a process","container-title":"The Social Life of Things: Commodities in Cultural Perspective","publisher":"Cambridge University Press","source":"Google Books","abstract":"The meaning that people attribute to things necessarily derives from human transactions and motivations, particularly from how those things are used and circulated. The contributors to this volume examine how things are sold and traded in a variety of social and cultural settings, both present and past. Focusing on culturally defined aspects of exchange and socially regulated processes of circulation, the essays illuminate the ways in which people find value in things and things give value to social relations. By looking at things as if they lead social lives, the authors provide a new way to understand how value is externalized and sought after. They discuss a wide range of goods - from oriental carpets to human relics - to reveal both that the underlying logic of everyday economic life is not so far removed from that which explains the circulation of exotica, and that the distinction between contemporary economics and simpler, more distant ones is less obvious than has been thought. As the editor argues in his introduction, beneath the seeming infinitude of human wants, and the apparent multiplicity of material forms, there in fact lie complex, but specific, social and political mechanisms that regulate taste, trade, and desire. Containing contributions from American and British social anthropologists and historians, the volume bridges the disciplines of social history, cultural anthropology, and economics, and marks a major step in our understanding of the cultural basis of economic life and the sociology of culture. It will appeal to anthropologists, social historians, economists, archaeologists, and historians of art.","ISBN":"978-0-521-35726-5","note":"Google-Books-ID: 6JqTcziwKTYC","language":"en","author":[{"family":"Kopytoff","given":"Igor"}],"issued":{"date-parts":[["1988",1,29]]}}}],"schema":"https://github.com/citation-style-language/schema/raw/master/csl-citation.json"} </w:instrText>
      </w:r>
      <w:r>
        <w:fldChar w:fldCharType="separate"/>
      </w:r>
      <w:r w:rsidRPr="008A48B3">
        <w:rPr>
          <w:rFonts w:cs="Times New Roman"/>
          <w:szCs w:val="24"/>
        </w:rPr>
        <w:t xml:space="preserve">Igor Kopytoff, ‘The Cultural Biography of Things: </w:t>
      </w:r>
      <w:proofErr w:type="spellStart"/>
      <w:r w:rsidRPr="008A48B3">
        <w:rPr>
          <w:rFonts w:cs="Times New Roman"/>
          <w:szCs w:val="24"/>
        </w:rPr>
        <w:t>Commditization</w:t>
      </w:r>
      <w:proofErr w:type="spellEnd"/>
      <w:r w:rsidRPr="008A48B3">
        <w:rPr>
          <w:rFonts w:cs="Times New Roman"/>
          <w:szCs w:val="24"/>
        </w:rPr>
        <w:t xml:space="preserve"> as a Process’, in </w:t>
      </w:r>
      <w:r w:rsidRPr="008A48B3">
        <w:rPr>
          <w:rFonts w:cs="Times New Roman"/>
          <w:i/>
          <w:iCs/>
          <w:szCs w:val="24"/>
        </w:rPr>
        <w:t>The Social Life of Things: Commodities in Cultural Perspective</w:t>
      </w:r>
      <w:r w:rsidRPr="008A48B3">
        <w:rPr>
          <w:rFonts w:cs="Times New Roman"/>
          <w:szCs w:val="24"/>
        </w:rPr>
        <w:t xml:space="preserve"> (Cambridge University Press, 1988).</w:t>
      </w:r>
      <w:r>
        <w:fldChar w:fldCharType="end"/>
      </w:r>
    </w:p>
  </w:footnote>
  <w:footnote w:id="13">
    <w:p w:rsidR="009C61F4" w:rsidRDefault="009C61F4">
      <w:pPr>
        <w:pStyle w:val="FootnoteText"/>
      </w:pPr>
      <w:r>
        <w:rPr>
          <w:rStyle w:val="FootnoteReference"/>
        </w:rPr>
        <w:footnoteRef/>
      </w:r>
      <w:r>
        <w:t xml:space="preserve"> </w:t>
      </w:r>
      <w:r>
        <w:t xml:space="preserve">Nicholas J. Saunders, ‘Crucifix, Calvary, and Cross: Materiality and Spirituality in Great War Landscapes’, </w:t>
      </w:r>
      <w:r>
        <w:rPr>
          <w:i/>
          <w:iCs/>
        </w:rPr>
        <w:t>World Archaeology</w:t>
      </w:r>
      <w:r>
        <w:t>, 35.1 (2003), 7–21 &lt;https://doi.org/</w:t>
      </w:r>
      <w:hyperlink r:id="rId1" w:history="1">
        <w:r>
          <w:rPr>
            <w:rStyle w:val="Hyperlink"/>
          </w:rPr>
          <w:t>10.1080/0043824032000078045</w:t>
        </w:r>
      </w:hyperlink>
      <w:r>
        <w:t>&gt;.</w:t>
      </w:r>
      <w:fldSimple w:instr=" ADDIN ZOTERO_TEMP "/>
      <w:r>
        <w:t xml:space="preserve"> </w:t>
      </w:r>
    </w:p>
  </w:footnote>
  <w:footnote w:id="14">
    <w:p w:rsidR="003B6842" w:rsidRDefault="003B6842" w:rsidP="003B6842">
      <w:pPr>
        <w:pStyle w:val="FootnoteText"/>
      </w:pPr>
      <w:r>
        <w:rPr>
          <w:rStyle w:val="FootnoteReference"/>
        </w:rPr>
        <w:footnoteRef/>
      </w:r>
      <w:r>
        <w:t xml:space="preserve"> </w:t>
      </w:r>
      <w:r>
        <w:fldChar w:fldCharType="begin"/>
      </w:r>
      <w:r>
        <w:instrText xml:space="preserve"> ADDIN ZOTERO_ITEM CSL_CITATION {"citationID":"7Suh2sEr","properties":{"formattedCitation":"Nicholas J. Saunders, {\\i{}Matters of Conflict: Material Culture, Memory and the First World War}, 1st edn (Routledge, 2004) &lt;https://doi.org/10.4324/9780203502549&gt;.","plainCitation":"Nicholas J. Saunders, Matters of Conflict: Material Culture, Memory and the First World War, 1st edn (Routledge, 2004) &lt;https://doi.org/10.4324/9780203502549&gt;.","noteIndex":1},"citationItems":[{"id":616,"uris":["http://zotero.org/users/local/Cjm78u2t/items/EZBUATVM"],"uri":["http://zotero.org/users/local/Cjm78u2t/items/EZBUATVM"],"itemData":{"id":616,"type":"book","title":"Matters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BE0698">
        <w:rPr>
          <w:rFonts w:cs="Times New Roman"/>
          <w:szCs w:val="24"/>
        </w:rPr>
        <w:t xml:space="preserve">Nicholas J. Saunders, </w:t>
      </w:r>
      <w:r w:rsidRPr="00BE0698">
        <w:rPr>
          <w:rFonts w:cs="Times New Roman"/>
          <w:i/>
          <w:iCs/>
          <w:szCs w:val="24"/>
        </w:rPr>
        <w:t>Matters of Conflict: Material Culture, Memory and the First World War</w:t>
      </w:r>
      <w:r w:rsidRPr="00BE0698">
        <w:rPr>
          <w:rFonts w:cs="Times New Roman"/>
          <w:szCs w:val="24"/>
        </w:rPr>
        <w:t xml:space="preserve">, 1st </w:t>
      </w:r>
      <w:proofErr w:type="spellStart"/>
      <w:r w:rsidRPr="00BE0698">
        <w:rPr>
          <w:rFonts w:cs="Times New Roman"/>
          <w:szCs w:val="24"/>
        </w:rPr>
        <w:t>edn</w:t>
      </w:r>
      <w:proofErr w:type="spellEnd"/>
      <w:r w:rsidRPr="00BE0698">
        <w:rPr>
          <w:rFonts w:cs="Times New Roman"/>
          <w:szCs w:val="24"/>
        </w:rPr>
        <w:t xml:space="preserve"> (Routledge, 2004) &lt;https://doi.org/10.4324/9780203502549&gt;.</w:t>
      </w:r>
      <w:r>
        <w:fldChar w:fldCharType="end"/>
      </w:r>
    </w:p>
  </w:footnote>
  <w:footnote w:id="15">
    <w:p w:rsidR="009C61F4" w:rsidRDefault="009C61F4">
      <w:pPr>
        <w:pStyle w:val="FootnoteText"/>
      </w:pPr>
      <w:r>
        <w:rPr>
          <w:rStyle w:val="FootnoteReference"/>
        </w:rPr>
        <w:footnoteRef/>
      </w:r>
      <w:r>
        <w:t xml:space="preserve"> </w:t>
      </w:r>
      <w:r>
        <w:fldChar w:fldCharType="begin"/>
      </w:r>
      <w:r>
        <w:instrText xml:space="preserve"> ADDIN ZOTERO_TEMP </w:instrText>
      </w:r>
      <w:r>
        <w:fldChar w:fldCharType="separate"/>
      </w:r>
      <w:r>
        <w:t>{</w:t>
      </w:r>
      <w:r w:rsidRPr="009C61F4">
        <w:t xml:space="preserve"> </w:t>
      </w:r>
      <w:r>
        <w:t xml:space="preserve">Igor Kopytoff, ‘The Cultural Biography of Things: </w:t>
      </w:r>
      <w:proofErr w:type="spellStart"/>
      <w:r>
        <w:t>Commditization</w:t>
      </w:r>
      <w:proofErr w:type="spellEnd"/>
      <w:r>
        <w:t xml:space="preserve"> as a Process’, in </w:t>
      </w:r>
      <w:r>
        <w:rPr>
          <w:i/>
          <w:iCs/>
        </w:rPr>
        <w:t>The Social Life of Things: Commodities in Cultural Perspective</w:t>
      </w:r>
      <w:r>
        <w:t xml:space="preserve"> (Cambridge University Press, 1988).</w:t>
      </w:r>
      <w:r>
        <w:fldChar w:fldCharType="end"/>
      </w:r>
    </w:p>
  </w:footnote>
  <w:footnote w:id="16">
    <w:p w:rsidR="009C61F4" w:rsidRDefault="009C61F4">
      <w:pPr>
        <w:pStyle w:val="FootnoteText"/>
      </w:pPr>
      <w:r>
        <w:rPr>
          <w:rStyle w:val="FootnoteReference"/>
        </w:rPr>
        <w:footnoteRef/>
      </w:r>
      <w:r>
        <w:t xml:space="preserve"> </w:t>
      </w:r>
      <w:fldSimple w:instr=" ADDIN ZOTERO_TEMP ">
        <w:r>
          <w:t>Saunders. (2)</w:t>
        </w:r>
      </w:fldSimple>
    </w:p>
  </w:footnote>
  <w:footnote w:id="17">
    <w:p w:rsidR="003B6842" w:rsidRDefault="003B6842" w:rsidP="003B6842">
      <w:pPr>
        <w:pStyle w:val="FootnoteText"/>
      </w:pPr>
      <w:r>
        <w:rPr>
          <w:rStyle w:val="FootnoteReference"/>
        </w:rPr>
        <w:footnoteRef/>
      </w:r>
      <w:r>
        <w:t xml:space="preserve"> </w:t>
      </w:r>
      <w:r>
        <w:fldChar w:fldCharType="begin"/>
      </w:r>
      <w:r>
        <w:instrText xml:space="preserve"> ADDIN ZOTERO_ITEM CSL_CITATION {"citationID":"FMTZnwpe","properties":{"formattedCitation":"Saunders.","plainCitation":"Saunders.","noteIndex":2},"citationItems":[{"id":616,"uris":["http://zotero.org/users/local/Cjm78u2t/items/EZBUATVM"],"uri":["http://zotero.org/users/local/Cjm78u2t/items/EZBUATVM"],"itemData":{"id":616,"type":"book","title":"Matters of Conflict: Material Culture, Memory and the First World War","publisher":"Routledge","edition":"1","source":"Crossref","URL":"https://www.taylorfrancis.com/books/9780203502549","ISBN":"978-0-203-50254-9","note":"DOI: 10.4324/9780203502549","shortTitle":"Matters of Conflict","language":"en","author":[{"family":"Saunders","given":"Nicholas J."}],"issued":{"date-parts":[["2004",6,1]]},"accessed":{"date-parts":[["2019",11,19]]}}}],"schema":"https://github.com/citation-style-language/schema/raw/master/csl-citation.json"} </w:instrText>
      </w:r>
      <w:r>
        <w:fldChar w:fldCharType="separate"/>
      </w:r>
      <w:r w:rsidRPr="00D250C4">
        <w:t>Saunders.</w:t>
      </w:r>
      <w:r>
        <w:fldChar w:fldCharType="end"/>
      </w:r>
      <w:r w:rsidR="009C61F4">
        <w:t>(2) Pp.10-11</w:t>
      </w:r>
    </w:p>
  </w:footnote>
  <w:footnote w:id="18">
    <w:p w:rsidR="009C61F4" w:rsidRDefault="009C61F4">
      <w:pPr>
        <w:pStyle w:val="FootnoteText"/>
      </w:pPr>
      <w:r>
        <w:rPr>
          <w:rStyle w:val="FootnoteReference"/>
        </w:rPr>
        <w:footnoteRef/>
      </w:r>
      <w:r>
        <w:t xml:space="preserve"> </w:t>
      </w:r>
      <w:r>
        <w:t xml:space="preserve">Michael Rothberg, </w:t>
      </w:r>
      <w:r>
        <w:rPr>
          <w:i/>
          <w:iCs/>
        </w:rPr>
        <w:t>Multidirectional Memory: Remembering the Holocaust in the Age of Decolonization</w:t>
      </w:r>
      <w:r>
        <w:t xml:space="preserve"> (Stanford University Press, 2009).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510"/>
    <w:rsid w:val="000F6776"/>
    <w:rsid w:val="00152510"/>
    <w:rsid w:val="00166EBC"/>
    <w:rsid w:val="0019046A"/>
    <w:rsid w:val="001E40EF"/>
    <w:rsid w:val="00221C9A"/>
    <w:rsid w:val="00294774"/>
    <w:rsid w:val="003B6842"/>
    <w:rsid w:val="003D44A5"/>
    <w:rsid w:val="00411CA0"/>
    <w:rsid w:val="006011FC"/>
    <w:rsid w:val="00614321"/>
    <w:rsid w:val="006F31D1"/>
    <w:rsid w:val="00744255"/>
    <w:rsid w:val="0075426D"/>
    <w:rsid w:val="007617C1"/>
    <w:rsid w:val="007678BB"/>
    <w:rsid w:val="00773E0E"/>
    <w:rsid w:val="00823B2B"/>
    <w:rsid w:val="008A48B3"/>
    <w:rsid w:val="009C61F4"/>
    <w:rsid w:val="00A613C1"/>
    <w:rsid w:val="00C15369"/>
    <w:rsid w:val="00DD0863"/>
    <w:rsid w:val="00EC29C8"/>
    <w:rsid w:val="00F10B66"/>
    <w:rsid w:val="00F43B25"/>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1535F"/>
  <w15:chartTrackingRefBased/>
  <w15:docId w15:val="{249A5B15-2300-45F3-9A6B-E6CFB0226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rebuchet MS" w:eastAsiaTheme="minorHAnsi" w:hAnsi="Trebuchet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11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11FC"/>
    <w:rPr>
      <w:sz w:val="20"/>
      <w:szCs w:val="20"/>
    </w:rPr>
  </w:style>
  <w:style w:type="character" w:styleId="FootnoteReference">
    <w:name w:val="footnote reference"/>
    <w:basedOn w:val="DefaultParagraphFont"/>
    <w:uiPriority w:val="99"/>
    <w:semiHidden/>
    <w:unhideWhenUsed/>
    <w:rsid w:val="006011FC"/>
    <w:rPr>
      <w:vertAlign w:val="superscript"/>
    </w:rPr>
  </w:style>
  <w:style w:type="paragraph" w:styleId="BalloonText">
    <w:name w:val="Balloon Text"/>
    <w:basedOn w:val="Normal"/>
    <w:link w:val="BalloonTextChar"/>
    <w:uiPriority w:val="99"/>
    <w:semiHidden/>
    <w:unhideWhenUsed/>
    <w:rsid w:val="00761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7C1"/>
    <w:rPr>
      <w:rFonts w:ascii="Segoe UI" w:hAnsi="Segoe UI" w:cs="Segoe UI"/>
      <w:sz w:val="18"/>
      <w:szCs w:val="18"/>
    </w:rPr>
  </w:style>
  <w:style w:type="paragraph" w:styleId="Bibliography">
    <w:name w:val="Bibliography"/>
    <w:basedOn w:val="Normal"/>
    <w:next w:val="Normal"/>
    <w:uiPriority w:val="37"/>
    <w:unhideWhenUsed/>
    <w:rsid w:val="0019046A"/>
    <w:pPr>
      <w:spacing w:after="240" w:line="240" w:lineRule="auto"/>
      <w:ind w:left="720" w:hanging="720"/>
    </w:pPr>
  </w:style>
  <w:style w:type="character" w:styleId="Hyperlink">
    <w:name w:val="Hyperlink"/>
    <w:basedOn w:val="DefaultParagraphFont"/>
    <w:uiPriority w:val="99"/>
    <w:semiHidden/>
    <w:unhideWhenUsed/>
    <w:rsid w:val="009C61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04382403200007804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80/00438240320000780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647B9-3AE4-4E1D-A73D-F4245DD13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7</Pages>
  <Words>1937</Words>
  <Characters>11042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Hartley (1701470)</dc:creator>
  <cp:keywords/>
  <dc:description/>
  <cp:lastModifiedBy>Emma Hartley (1701470)</cp:lastModifiedBy>
  <cp:revision>5</cp:revision>
  <dcterms:created xsi:type="dcterms:W3CDTF">2019-11-22T16:38:00Z</dcterms:created>
  <dcterms:modified xsi:type="dcterms:W3CDTF">2019-11-22T23:09:00Z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zotero-version="5.0.59"&gt;&lt;session id="OCWzk3N7"/&gt;&lt;style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