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A3EF8" w14:textId="77777777" w:rsidR="001368B4" w:rsidRPr="00FD7DF2" w:rsidRDefault="001368B4" w:rsidP="001368B4">
      <w:pPr>
        <w:pStyle w:val="Heading1"/>
        <w:numPr>
          <w:ilvl w:val="0"/>
          <w:numId w:val="5"/>
        </w:numPr>
        <w:spacing w:line="360" w:lineRule="auto"/>
        <w:jc w:val="both"/>
        <w:rPr>
          <w:rFonts w:ascii="Times New Roman" w:hAnsi="Times New Roman" w:cs="Times New Roman"/>
          <w:b/>
          <w:bCs/>
          <w:color w:val="auto"/>
          <w:sz w:val="24"/>
          <w:szCs w:val="24"/>
          <w:lang w:val="en-GB"/>
        </w:rPr>
      </w:pPr>
      <w:bookmarkStart w:id="0" w:name="_Toc209513756"/>
      <w:r w:rsidRPr="00FD7DF2">
        <w:rPr>
          <w:rFonts w:ascii="Times New Roman" w:hAnsi="Times New Roman" w:cs="Times New Roman"/>
          <w:b/>
          <w:bCs/>
          <w:color w:val="auto"/>
          <w:sz w:val="24"/>
          <w:szCs w:val="24"/>
          <w:lang w:val="en-GB"/>
        </w:rPr>
        <w:t>Introduction: Background and Research Problem</w:t>
      </w:r>
      <w:bookmarkEnd w:id="0"/>
    </w:p>
    <w:p w14:paraId="7BAE7B05"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issue of worklessness is one of the most critical socio-economic problems in the United Kingdom and one that has great implications to the individuals, families and society. The Office for National Statistics (2024) revealed that over 1.5 million households in the UK are workless, notably centred in areas like the North East, and big inner-city centres. Chronic unemployment does not merely decrease household earnings but also reinforces poverty, digital divides, and diminishing social mobility. In most occasions, accessibility to education, training, and digital technologies restricts household involvement in contemporary labour markets (Holmes &amp; Burgess, 2022). Fortunately, Artificial Intelligence (AI) is being acknowledged as a game-changer in the world of education, knowledge management, and work. In addition to its business and technological adoption opportunities, AI provides distinct social integration chances, especially in the development of balanced and flexible learning systems (Lopez, 2025). In the case of workless households, AI-based services can offer individualised skill training, smart career advice, and peer-to-peer knowledge transfer that mitigates obstacles to employability. Nevertheless, very few academic studies directly look at how knowledge-sharing systems should be built using AI to deal with the socio-economic issues of worklessness. This research thus has its basis on the correlation between technological innovation and social equity. It acknowledges not only the systematic disadvantage of vulnerable households but also considers the newfound potential of AI as a source of empowerment. Filling this gap is not only academically beneficial but also socially necessary, as the UK government has a wide ambition of digital inclusion and workforce change.</w:t>
      </w:r>
    </w:p>
    <w:p w14:paraId="6FB2613B" w14:textId="77777777" w:rsidR="001368B4" w:rsidRPr="00FD7DF2" w:rsidRDefault="001368B4" w:rsidP="001368B4">
      <w:pPr>
        <w:pStyle w:val="ListParagraph"/>
        <w:numPr>
          <w:ilvl w:val="1"/>
          <w:numId w:val="5"/>
        </w:numPr>
        <w:spacing w:line="360" w:lineRule="auto"/>
        <w:jc w:val="both"/>
        <w:outlineLvl w:val="1"/>
        <w:rPr>
          <w:rFonts w:ascii="Times New Roman" w:hAnsi="Times New Roman" w:cs="Times New Roman"/>
          <w:sz w:val="24"/>
          <w:szCs w:val="24"/>
          <w:lang w:val="en-GB"/>
        </w:rPr>
      </w:pPr>
      <w:bookmarkStart w:id="1" w:name="_Toc209513757"/>
      <w:r w:rsidRPr="00FD7DF2">
        <w:rPr>
          <w:rFonts w:ascii="Times New Roman" w:hAnsi="Times New Roman" w:cs="Times New Roman"/>
          <w:b/>
          <w:bCs/>
          <w:sz w:val="24"/>
          <w:szCs w:val="24"/>
          <w:lang w:val="en-GB"/>
        </w:rPr>
        <w:t>Research Aim</w:t>
      </w:r>
      <w:bookmarkEnd w:id="1"/>
    </w:p>
    <w:p w14:paraId="2948FC5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study aims to investigate whether AI-enabled knowledge-sharing systems can reduce worklessness among UK households by enhancing skills and employability pathways.</w:t>
      </w:r>
    </w:p>
    <w:p w14:paraId="70062CDC" w14:textId="77777777" w:rsidR="001368B4" w:rsidRPr="005A6A8F" w:rsidRDefault="001368B4" w:rsidP="001368B4">
      <w:pPr>
        <w:pStyle w:val="Heading2"/>
        <w:spacing w:line="360" w:lineRule="auto"/>
        <w:jc w:val="both"/>
        <w:rPr>
          <w:rFonts w:ascii="Times New Roman" w:hAnsi="Times New Roman" w:cs="Times New Roman"/>
          <w:color w:val="auto"/>
          <w:sz w:val="24"/>
          <w:szCs w:val="24"/>
          <w:lang w:val="en-GB"/>
        </w:rPr>
      </w:pPr>
      <w:bookmarkStart w:id="2" w:name="_Toc209513758"/>
      <w:r w:rsidRPr="00FD7DF2">
        <w:rPr>
          <w:rFonts w:ascii="Times New Roman" w:hAnsi="Times New Roman" w:cs="Times New Roman"/>
          <w:b/>
          <w:bCs/>
          <w:color w:val="auto"/>
          <w:sz w:val="24"/>
          <w:szCs w:val="24"/>
          <w:lang w:val="en-GB"/>
        </w:rPr>
        <w:t xml:space="preserve">1.2 </w:t>
      </w:r>
      <w:r w:rsidRPr="005A6A8F">
        <w:rPr>
          <w:rFonts w:ascii="Times New Roman" w:hAnsi="Times New Roman" w:cs="Times New Roman"/>
          <w:b/>
          <w:bCs/>
          <w:color w:val="auto"/>
          <w:sz w:val="24"/>
          <w:szCs w:val="24"/>
          <w:lang w:val="en-GB"/>
        </w:rPr>
        <w:t>Research Questions</w:t>
      </w:r>
      <w:bookmarkEnd w:id="2"/>
    </w:p>
    <w:p w14:paraId="37F3F327" w14:textId="77777777" w:rsidR="001368B4" w:rsidRPr="005A6A8F" w:rsidRDefault="001368B4" w:rsidP="001368B4">
      <w:pPr>
        <w:numPr>
          <w:ilvl w:val="0"/>
          <w:numId w:val="6"/>
        </w:numPr>
        <w:spacing w:line="360" w:lineRule="auto"/>
        <w:jc w:val="both"/>
        <w:rPr>
          <w:rFonts w:ascii="Times New Roman" w:hAnsi="Times New Roman" w:cs="Times New Roman"/>
          <w:sz w:val="24"/>
          <w:szCs w:val="24"/>
          <w:lang w:val="en-GB"/>
        </w:rPr>
      </w:pPr>
      <w:r w:rsidRPr="005A6A8F">
        <w:rPr>
          <w:rFonts w:ascii="Times New Roman" w:hAnsi="Times New Roman" w:cs="Times New Roman"/>
          <w:sz w:val="24"/>
          <w:szCs w:val="24"/>
          <w:lang w:val="en-GB"/>
        </w:rPr>
        <w:t>How can AI-based platforms be designed to support individuals in workless households in the UK?</w:t>
      </w:r>
    </w:p>
    <w:p w14:paraId="24C3E321" w14:textId="77777777" w:rsidR="001368B4" w:rsidRPr="005A6A8F" w:rsidRDefault="001368B4" w:rsidP="001368B4">
      <w:pPr>
        <w:numPr>
          <w:ilvl w:val="0"/>
          <w:numId w:val="6"/>
        </w:numPr>
        <w:spacing w:line="360" w:lineRule="auto"/>
        <w:jc w:val="both"/>
        <w:rPr>
          <w:rFonts w:ascii="Times New Roman" w:hAnsi="Times New Roman" w:cs="Times New Roman"/>
          <w:sz w:val="24"/>
          <w:szCs w:val="24"/>
          <w:lang w:val="en-GB"/>
        </w:rPr>
      </w:pPr>
      <w:r w:rsidRPr="005A6A8F">
        <w:rPr>
          <w:rFonts w:ascii="Times New Roman" w:hAnsi="Times New Roman" w:cs="Times New Roman"/>
          <w:sz w:val="24"/>
          <w:szCs w:val="24"/>
          <w:lang w:val="en-GB"/>
        </w:rPr>
        <w:t>What is the potential impact of AI-enabled learning on reducing regional disparities in household worklessness?</w:t>
      </w:r>
    </w:p>
    <w:p w14:paraId="09ED392A" w14:textId="77777777" w:rsidR="001368B4" w:rsidRPr="00FD7DF2" w:rsidRDefault="001368B4" w:rsidP="001368B4">
      <w:pPr>
        <w:numPr>
          <w:ilvl w:val="0"/>
          <w:numId w:val="6"/>
        </w:numPr>
        <w:spacing w:line="360" w:lineRule="auto"/>
        <w:jc w:val="both"/>
        <w:rPr>
          <w:rFonts w:ascii="Times New Roman" w:hAnsi="Times New Roman" w:cs="Times New Roman"/>
          <w:sz w:val="24"/>
          <w:szCs w:val="24"/>
          <w:lang w:val="en-GB"/>
        </w:rPr>
      </w:pPr>
      <w:r w:rsidRPr="005A6A8F">
        <w:rPr>
          <w:rFonts w:ascii="Times New Roman" w:hAnsi="Times New Roman" w:cs="Times New Roman"/>
          <w:sz w:val="24"/>
          <w:szCs w:val="24"/>
          <w:lang w:val="en-GB"/>
        </w:rPr>
        <w:t>What ethical and social considerations must be addressed when applying AI to vulnerable communities?</w:t>
      </w:r>
    </w:p>
    <w:p w14:paraId="6CB6C15E"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3" w:name="_Toc209513759"/>
      <w:r w:rsidRPr="00FD7DF2">
        <w:rPr>
          <w:rFonts w:ascii="Times New Roman" w:hAnsi="Times New Roman" w:cs="Times New Roman"/>
          <w:b/>
          <w:bCs/>
          <w:color w:val="auto"/>
          <w:sz w:val="24"/>
          <w:szCs w:val="24"/>
          <w:lang w:val="en-GB"/>
        </w:rPr>
        <w:lastRenderedPageBreak/>
        <w:t>1.3 Summary and Transition to the Next Section</w:t>
      </w:r>
      <w:bookmarkEnd w:id="3"/>
    </w:p>
    <w:p w14:paraId="3A252D6F" w14:textId="77777777" w:rsidR="001368B4" w:rsidRPr="005A6A8F" w:rsidRDefault="001368B4" w:rsidP="001368B4">
      <w:pPr>
        <w:spacing w:line="360" w:lineRule="auto"/>
        <w:ind w:left="0" w:firstLine="0"/>
        <w:jc w:val="both"/>
        <w:rPr>
          <w:rFonts w:ascii="Times New Roman" w:hAnsi="Times New Roman" w:cs="Times New Roman"/>
          <w:sz w:val="24"/>
          <w:szCs w:val="24"/>
          <w:lang w:val="en-GB"/>
        </w:rPr>
      </w:pPr>
      <w:r w:rsidRPr="0099281F">
        <w:rPr>
          <w:rFonts w:ascii="Times New Roman" w:hAnsi="Times New Roman" w:cs="Times New Roman"/>
          <w:sz w:val="24"/>
          <w:szCs w:val="24"/>
          <w:lang w:val="en-GB"/>
        </w:rPr>
        <w:t>In conclusion, this research proposal has outlined the justification, aims, and scope of the study. It has positioned AI as a valuable tool for fostering inclusive knowledge-sharing cultures that address structural unemployment in the UK. The proposed research intends to build both theoretical insights and empirical evidence, using quantitative analysis of SPSS datasets to extend academic knowledge and practical understanding.</w:t>
      </w:r>
      <w:r w:rsidRPr="00FD7DF2">
        <w:rPr>
          <w:rFonts w:ascii="Times New Roman" w:hAnsi="Times New Roman" w:cs="Times New Roman"/>
          <w:sz w:val="24"/>
          <w:szCs w:val="24"/>
          <w:lang w:val="en-GB"/>
        </w:rPr>
        <w:t xml:space="preserve"> </w:t>
      </w:r>
      <w:r w:rsidRPr="0099281F">
        <w:rPr>
          <w:rFonts w:ascii="Times New Roman" w:hAnsi="Times New Roman" w:cs="Times New Roman"/>
          <w:sz w:val="24"/>
          <w:szCs w:val="24"/>
          <w:lang w:val="en-GB"/>
        </w:rPr>
        <w:t xml:space="preserve">The </w:t>
      </w:r>
      <w:r w:rsidRPr="00FD7DF2">
        <w:rPr>
          <w:rFonts w:ascii="Times New Roman" w:hAnsi="Times New Roman" w:cs="Times New Roman"/>
          <w:sz w:val="24"/>
          <w:szCs w:val="24"/>
          <w:lang w:val="en-GB"/>
        </w:rPr>
        <w:t>next</w:t>
      </w:r>
      <w:r w:rsidRPr="0099281F">
        <w:rPr>
          <w:rFonts w:ascii="Times New Roman" w:hAnsi="Times New Roman" w:cs="Times New Roman"/>
          <w:sz w:val="24"/>
          <w:szCs w:val="24"/>
          <w:lang w:val="en-GB"/>
        </w:rPr>
        <w:t xml:space="preserve"> section examines the significance of the study, highlighting its academic, practical, and societal contributions, and setting the foundation for the research objectives that will guide the investigation</w:t>
      </w:r>
      <w:r w:rsidRPr="00FD7DF2">
        <w:rPr>
          <w:rFonts w:ascii="Times New Roman" w:hAnsi="Times New Roman" w:cs="Times New Roman"/>
          <w:sz w:val="24"/>
          <w:szCs w:val="24"/>
          <w:lang w:val="en-GB"/>
        </w:rPr>
        <w:t>.</w:t>
      </w:r>
    </w:p>
    <w:p w14:paraId="3F4CBF96" w14:textId="77777777" w:rsidR="001368B4" w:rsidRPr="00FD7DF2" w:rsidRDefault="001368B4" w:rsidP="001368B4">
      <w:pPr>
        <w:pStyle w:val="Heading1"/>
        <w:numPr>
          <w:ilvl w:val="0"/>
          <w:numId w:val="5"/>
        </w:numPr>
        <w:spacing w:line="360" w:lineRule="auto"/>
        <w:jc w:val="both"/>
        <w:rPr>
          <w:rFonts w:ascii="Times New Roman" w:hAnsi="Times New Roman" w:cs="Times New Roman"/>
          <w:b/>
          <w:bCs/>
          <w:color w:val="auto"/>
          <w:sz w:val="24"/>
          <w:szCs w:val="24"/>
          <w:lang w:val="en-GB"/>
        </w:rPr>
      </w:pPr>
      <w:bookmarkStart w:id="4" w:name="_Toc209513760"/>
      <w:r w:rsidRPr="00FD7DF2">
        <w:rPr>
          <w:rFonts w:ascii="Times New Roman" w:hAnsi="Times New Roman" w:cs="Times New Roman"/>
          <w:b/>
          <w:bCs/>
          <w:color w:val="auto"/>
          <w:sz w:val="24"/>
          <w:szCs w:val="24"/>
          <w:lang w:val="en-GB"/>
        </w:rPr>
        <w:t>Significance of the Study</w:t>
      </w:r>
      <w:bookmarkEnd w:id="4"/>
    </w:p>
    <w:p w14:paraId="7E5EA32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research is significant in three major respects:</w:t>
      </w:r>
    </w:p>
    <w:p w14:paraId="0FA6CC58"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Academic significance:</w:t>
      </w:r>
      <w:r w:rsidRPr="00FD7DF2">
        <w:rPr>
          <w:rFonts w:ascii="Times New Roman" w:hAnsi="Times New Roman" w:cs="Times New Roman"/>
          <w:sz w:val="24"/>
          <w:szCs w:val="24"/>
          <w:lang w:val="en-GB"/>
        </w:rPr>
        <w:t xml:space="preserve"> It contributes to the fields of knowledge management and AI for social good. By applying theoretical frameworks such as Nonaka’s SECI model of knowledge creation to AI-enabled systems, the study highlights how traditional knowledge management theories can be reinterpreted in the context of digital and community inclusion.</w:t>
      </w:r>
    </w:p>
    <w:p w14:paraId="0CF9FB1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Practical significance:</w:t>
      </w:r>
      <w:r w:rsidRPr="00FD7DF2">
        <w:rPr>
          <w:rFonts w:ascii="Times New Roman" w:hAnsi="Times New Roman" w:cs="Times New Roman"/>
          <w:sz w:val="24"/>
          <w:szCs w:val="24"/>
          <w:lang w:val="en-GB"/>
        </w:rPr>
        <w:t xml:space="preserve"> It provides actionable insights for policymakers, local councils, and non-profit organisations seeking innovative ways to reduce unemployment. For example, AI-powered career guidance platforms, adaptive training modules, and intelligent mentorship networks could be piloted in regions with high proportions of workless households.</w:t>
      </w:r>
    </w:p>
    <w:p w14:paraId="6D22D19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Societal significance:</w:t>
      </w:r>
      <w:r w:rsidRPr="00FD7DF2">
        <w:rPr>
          <w:rFonts w:ascii="Times New Roman" w:hAnsi="Times New Roman" w:cs="Times New Roman"/>
          <w:sz w:val="24"/>
          <w:szCs w:val="24"/>
          <w:lang w:val="en-GB"/>
        </w:rPr>
        <w:t xml:space="preserve"> It addresses one of the UK’s most persistent socio-economic inequalities. By demonstrating how AI can be locally embedded and ethically designed, the research aligns technological progress with social justice, ensuring that disadvantaged communities are not left behind in the digital transition.</w:t>
      </w:r>
    </w:p>
    <w:p w14:paraId="6BCF49B9"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5" w:name="_Toc209513761"/>
      <w:r w:rsidRPr="00FD7DF2">
        <w:rPr>
          <w:rFonts w:ascii="Times New Roman" w:hAnsi="Times New Roman" w:cs="Times New Roman"/>
          <w:b/>
          <w:bCs/>
          <w:color w:val="auto"/>
          <w:sz w:val="24"/>
          <w:szCs w:val="24"/>
          <w:lang w:val="en-GB"/>
        </w:rPr>
        <w:t>2.1. Research Objectives</w:t>
      </w:r>
      <w:bookmarkEnd w:id="5"/>
      <w:r w:rsidRPr="00FD7DF2">
        <w:rPr>
          <w:rFonts w:ascii="Times New Roman" w:hAnsi="Times New Roman" w:cs="Times New Roman"/>
          <w:b/>
          <w:bCs/>
          <w:color w:val="auto"/>
          <w:sz w:val="24"/>
          <w:szCs w:val="24"/>
          <w:lang w:val="en-GB"/>
        </w:rPr>
        <w:t xml:space="preserve"> </w:t>
      </w:r>
    </w:p>
    <w:p w14:paraId="0A4C1D25"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achieve this aim, the study pursues the following objectives: </w:t>
      </w:r>
    </w:p>
    <w:p w14:paraId="2506CD50" w14:textId="77777777" w:rsidR="001368B4" w:rsidRPr="00FD7DF2" w:rsidRDefault="001368B4" w:rsidP="001368B4">
      <w:pPr>
        <w:pStyle w:val="ListParagraph"/>
        <w:numPr>
          <w:ilvl w:val="0"/>
          <w:numId w:val="7"/>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analyse the distribution and characteristics of workless households in the UK using the 2024 Office for National Statistics (ONS) dataset, identifying target demographics and regions most affected by structural unemployment. </w:t>
      </w:r>
    </w:p>
    <w:p w14:paraId="10FF4ABC" w14:textId="77777777" w:rsidR="001368B4" w:rsidRPr="00FD7DF2" w:rsidRDefault="001368B4" w:rsidP="001368B4">
      <w:pPr>
        <w:pStyle w:val="ListParagraph"/>
        <w:numPr>
          <w:ilvl w:val="0"/>
          <w:numId w:val="7"/>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examine how AI technologies can enhance knowledge-sharing culture in workless or mixed-work households by supporting personalised learning, community knowledge exchange, and job readiness. </w:t>
      </w:r>
    </w:p>
    <w:p w14:paraId="2CE2CB84" w14:textId="77777777" w:rsidR="001368B4" w:rsidRPr="00FD7DF2" w:rsidRDefault="001368B4" w:rsidP="001368B4">
      <w:pPr>
        <w:pStyle w:val="ListParagraph"/>
        <w:numPr>
          <w:ilvl w:val="0"/>
          <w:numId w:val="5"/>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To develop and test a conceptual framework for AI-enhanced knowledge-sharing systems, designed to meet the needs of households facing long-term worklessness.</w:t>
      </w:r>
    </w:p>
    <w:p w14:paraId="13A649CB" w14:textId="77777777" w:rsidR="001368B4" w:rsidRPr="00FD7DF2" w:rsidRDefault="001368B4" w:rsidP="001368B4">
      <w:pPr>
        <w:pStyle w:val="ListParagraph"/>
        <w:numPr>
          <w:ilvl w:val="1"/>
          <w:numId w:val="7"/>
        </w:numPr>
        <w:spacing w:line="360" w:lineRule="auto"/>
        <w:jc w:val="both"/>
        <w:outlineLvl w:val="1"/>
        <w:rPr>
          <w:rFonts w:ascii="Times New Roman" w:hAnsi="Times New Roman" w:cs="Times New Roman"/>
          <w:b/>
          <w:bCs/>
          <w:sz w:val="24"/>
          <w:szCs w:val="24"/>
          <w:lang w:val="en-GB"/>
        </w:rPr>
      </w:pPr>
      <w:bookmarkStart w:id="6" w:name="_Toc209513762"/>
      <w:r w:rsidRPr="00FD7DF2">
        <w:rPr>
          <w:rFonts w:ascii="Times New Roman" w:hAnsi="Times New Roman" w:cs="Times New Roman"/>
          <w:b/>
          <w:bCs/>
          <w:sz w:val="24"/>
          <w:szCs w:val="24"/>
          <w:lang w:val="en-GB"/>
        </w:rPr>
        <w:lastRenderedPageBreak/>
        <w:t>Summary and transition to the Next Section</w:t>
      </w:r>
      <w:bookmarkEnd w:id="6"/>
    </w:p>
    <w:p w14:paraId="6D69A51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In conclusion, the significance of this study lies in its combined academic, practical, and societal value. It not only extends theoretical frameworks of knowledge management into the digital age but also provides actionable strategies for reducing structural unemployment, while aligning technological innovation with social justice. Together, these contributions highlight why exploring AI-enabled knowledge-sharing systems is both timely and necessary. </w:t>
      </w:r>
      <w:r w:rsidRPr="0099281F">
        <w:rPr>
          <w:rFonts w:ascii="Times New Roman" w:hAnsi="Times New Roman" w:cs="Times New Roman"/>
          <w:sz w:val="24"/>
          <w:szCs w:val="24"/>
          <w:lang w:val="en-GB"/>
        </w:rPr>
        <w:t xml:space="preserve">The next </w:t>
      </w:r>
      <w:r w:rsidRPr="00FD7DF2">
        <w:rPr>
          <w:rFonts w:ascii="Times New Roman" w:hAnsi="Times New Roman" w:cs="Times New Roman"/>
          <w:sz w:val="24"/>
          <w:szCs w:val="24"/>
          <w:lang w:val="en-GB"/>
        </w:rPr>
        <w:t>Section</w:t>
      </w:r>
      <w:r w:rsidRPr="0099281F">
        <w:rPr>
          <w:rFonts w:ascii="Times New Roman" w:hAnsi="Times New Roman" w:cs="Times New Roman"/>
          <w:sz w:val="24"/>
          <w:szCs w:val="24"/>
          <w:lang w:val="en-GB"/>
        </w:rPr>
        <w:t xml:space="preserve"> develops the literature review and conceptual framework, situating the research within existing scholarship and outlining the theoretical foundations that inform the study’s hypotheses and methodological design.</w:t>
      </w:r>
    </w:p>
    <w:p w14:paraId="08F06ED5" w14:textId="77777777" w:rsidR="001368B4" w:rsidRPr="00FD7DF2" w:rsidRDefault="001368B4" w:rsidP="001368B4">
      <w:pPr>
        <w:pStyle w:val="Heading1"/>
        <w:numPr>
          <w:ilvl w:val="0"/>
          <w:numId w:val="7"/>
        </w:numPr>
        <w:spacing w:line="360" w:lineRule="auto"/>
        <w:jc w:val="both"/>
        <w:rPr>
          <w:rFonts w:ascii="Times New Roman" w:hAnsi="Times New Roman" w:cs="Times New Roman"/>
          <w:b/>
          <w:bCs/>
          <w:color w:val="auto"/>
          <w:sz w:val="24"/>
          <w:szCs w:val="24"/>
          <w:lang w:val="en-GB"/>
        </w:rPr>
      </w:pPr>
      <w:bookmarkStart w:id="7" w:name="_Toc209513763"/>
      <w:r w:rsidRPr="00FD7DF2">
        <w:rPr>
          <w:rFonts w:ascii="Times New Roman" w:hAnsi="Times New Roman" w:cs="Times New Roman"/>
          <w:b/>
          <w:bCs/>
          <w:color w:val="auto"/>
          <w:sz w:val="24"/>
          <w:szCs w:val="24"/>
          <w:lang w:val="en-GB"/>
        </w:rPr>
        <w:t>Literature Review, Conceptual Framework, and Hypotheses</w:t>
      </w:r>
      <w:bookmarkEnd w:id="7"/>
    </w:p>
    <w:p w14:paraId="0AD88978"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8" w:name="_Toc209513764"/>
      <w:r w:rsidRPr="00FD7DF2">
        <w:rPr>
          <w:rFonts w:ascii="Times New Roman" w:hAnsi="Times New Roman" w:cs="Times New Roman"/>
          <w:b/>
          <w:bCs/>
          <w:color w:val="auto"/>
          <w:sz w:val="24"/>
          <w:szCs w:val="24"/>
          <w:lang w:val="en-GB"/>
        </w:rPr>
        <w:t>Introduction</w:t>
      </w:r>
      <w:bookmarkEnd w:id="8"/>
    </w:p>
    <w:p w14:paraId="301E7AE4"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literature review establishes the theoretical and empirical foundations for exploring how Artificial Intelligence (AI) can enhance knowledge-sharing cultures to reduce worklessness in UK households. It engages with three bodies of literature: (1) the structural and regional dimensions of worklessness in the UK, (2) knowledge sharing and knowledge management theories, and (3) AI as a facilitator of learning and employability. By integrating these perspectives, the review develops a conceptual framework and hypotheses for the research.</w:t>
      </w:r>
    </w:p>
    <w:p w14:paraId="1C5D3C72"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9" w:name="_Toc209513765"/>
      <w:r w:rsidRPr="00FD7DF2">
        <w:rPr>
          <w:rFonts w:ascii="Times New Roman" w:hAnsi="Times New Roman" w:cs="Times New Roman"/>
          <w:b/>
          <w:bCs/>
          <w:color w:val="auto"/>
          <w:sz w:val="24"/>
          <w:szCs w:val="24"/>
          <w:lang w:val="en-GB"/>
        </w:rPr>
        <w:t>1. Worklessness in the UK: Structural and Regional Dimensions</w:t>
      </w:r>
      <w:bookmarkEnd w:id="9"/>
    </w:p>
    <w:p w14:paraId="3FE49D0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Worklessness remains a chronic problem in the UK, impacting not just individuals' incomes but also the overall wellbeing of the community. The Office for National Statistics (2024) reports that there were more than 1.5 million workless households in early 2024. Most of these affected households were found in the North East and inner-city areas such as Birmingham, Manchester, and London boroughs suffering from high deprivation. This geographic disparity of joblessness reflects the regional disparities that shape the national labour market.</w:t>
      </w:r>
    </w:p>
    <w:p w14:paraId="406A126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Researchers note that structural disconnections are the foundation of this phenomenon. According to Kerschbaumer et al. (2024), long-term unemployment is most often associated with low formal qualifications, sickness, and single-parent family formations. In another research, Beatty and Fothergill (2020) argue that the inheritance of deindustrialisation across former coal-mining and manufacturing districts has significantly reduced employment opportunities for communities. As such, these communities continue to face economic restructuring, with most employment in low-paid service sectors providing limited potential for a viable career path.</w:t>
      </w:r>
    </w:p>
    <w:p w14:paraId="4050DDF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lastRenderedPageBreak/>
        <w:t>Digital exclusion also compounds these inequalities. Holmes and Burgess (2022) demonstrate that households lacking internet capabilities or digital literacy are more excluded from employability, with more job searches, applications, and training programs relying on digital modes. This exclusion disproportionately affects low-income groups, older people, and those with impairments, entrenching cycles of unemployment disadvantage.</w:t>
      </w:r>
    </w:p>
    <w:p w14:paraId="79606A2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Intergenerational dynamics are also to blame for these inequalities. Research by Danish et al. (2025) show that neighbourhood and family networks largely determine economic mobility. Young people in low-income areas from workless households are likely to inherit weaker access to social and professional networks, restricting access to employment opportunities. Because worklessness is passed on between generations, interventions must go beyond finding work, but look at the systemic lack of flows of knowledge and networks of opportunities.</w:t>
      </w:r>
    </w:p>
    <w:p w14:paraId="02D54C1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These insights demonstrate that worklessness is not simply a result of individual deficits but is embedded within wider structural, digital, and social inequalities. Therefore, reducing worklessness requires innovative approaches that create inclusive pathways to knowledge, skills, and employment.</w:t>
      </w:r>
    </w:p>
    <w:p w14:paraId="4BD3B8E2"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10" w:name="_Toc209513766"/>
      <w:r w:rsidRPr="00FD7DF2">
        <w:rPr>
          <w:rFonts w:ascii="Times New Roman" w:hAnsi="Times New Roman" w:cs="Times New Roman"/>
          <w:b/>
          <w:bCs/>
          <w:color w:val="auto"/>
          <w:sz w:val="24"/>
          <w:szCs w:val="24"/>
          <w:lang w:val="en-GB"/>
        </w:rPr>
        <w:t>2. Knowledge Sharing and Knowledge Management</w:t>
      </w:r>
      <w:bookmarkEnd w:id="10"/>
    </w:p>
    <w:p w14:paraId="1468A35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Knowledge sharing has long been recognised as central to human development and employability. Classical theories in knowledge management stress that knowledge is both tacit (personal, experiential) and explicit (formal, codified), and that effective exchange requires mechanisms to bridge these forms (Garrick and Chan, 2017). Nonaka and Takeuchi’s (2007) SECI model conceptualises knowledge creation through socialisation, externalisation, combination, and internalisation, suggesting that knowledge expands through iterative interactions between tacit and explicit dimensions. While developed for organisational contexts, the model also applies to communities, where the socialisation of tacit knowledge and the externalisation into accessible formats are crucial for learning and employability.</w:t>
      </w:r>
    </w:p>
    <w:p w14:paraId="0D4F77B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Wenger’s (1998) theory of communities of practice further underscores the social dimension of knowledge. According to Wenger (1999), learning occurs within groups of individuals who share common practices and goals. These communities create spaces for collective meaning-making, enabling individuals to develop new skills while reinforcing their identity within the group. For unemployed families, being part of these communities may help alleviate isolation and create a sense of belonging.</w:t>
      </w:r>
    </w:p>
    <w:p w14:paraId="3CB11813"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These ideas are supplemented by Coleman's (1990) theory of social capital, with its emphasis on the importance of trust, reciprocity, and network connections to enabling information and </w:t>
      </w:r>
      <w:r w:rsidRPr="00FD7DF2">
        <w:rPr>
          <w:rFonts w:ascii="Times New Roman" w:hAnsi="Times New Roman" w:cs="Times New Roman"/>
          <w:sz w:val="24"/>
          <w:szCs w:val="24"/>
          <w:lang w:val="en-GB"/>
        </w:rPr>
        <w:lastRenderedPageBreak/>
        <w:t>opportunity exchange. Persons well-situated in social networks are more likely to get job referrals, advice, and support. Sadly, low-social-capital families are less likely to make use of informal work pathways.</w:t>
      </w:r>
    </w:p>
    <w:p w14:paraId="70F57441"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These traditional frameworks have been transformed by digital technologies. Islam et al. (2024) illustrate that collaborative learning environments that leverage AI make the SECI cycle more enriched through facilitating real-time content adaptation and peer-to-peer exchange. Moser and Deichmann (2021) find that online communities facilitate inclusive knowledge-sharing cultures, especially when consumers are asked to co-create and exchange content. These findings illustrate how technology can make tacit knowledge more explicit and expand communities of practice beyond geographical boundaries. For workless households, this means that knowledge-sharing websites online, when integrated with sustainable community dynamics, can offer the platform for skill development, mentorship, and access to non-formal knowledge otherwise inaccessible.</w:t>
      </w:r>
    </w:p>
    <w:p w14:paraId="1379DC46"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11" w:name="_Toc209513767"/>
      <w:r w:rsidRPr="00FD7DF2">
        <w:rPr>
          <w:rFonts w:ascii="Times New Roman" w:hAnsi="Times New Roman" w:cs="Times New Roman"/>
          <w:b/>
          <w:bCs/>
          <w:color w:val="auto"/>
          <w:sz w:val="24"/>
          <w:szCs w:val="24"/>
          <w:lang w:val="en-GB"/>
        </w:rPr>
        <w:t>3. Artificial Intelligence as an Enabler of Knowledge Sharing</w:t>
      </w:r>
      <w:bookmarkEnd w:id="11"/>
    </w:p>
    <w:p w14:paraId="45042A3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rapid development of AI technologies has created new opportunities for learning, training, and employment (Maity, 2019; Petropoulos, 2018). This is because AI-based platforms have the ability to scan user data to provide personalised recommendations and therefore allow learning paths to adapt to personal needs. Lopez (2025) argues that such platforms guarantee equal opportunities in education since they facilitate diversity in learning styles and local environments. For disadvantaged groups, this reduces barriers to entry in training and skill acquisition, hence increasing their chances of employability.</w:t>
      </w:r>
    </w:p>
    <w:p w14:paraId="4BD56AE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In employability contexts, AI tools such as chatbots have proven effective. Nguyen et al. (2021) show that AI chatbots can deliver round-the-clock career advice, reduce costs and expand access for job seekers. Similarly, Sarmah and Shekhar (2019) highlight how AI can support organisational knowledge management by filtering, curating, and distributing relevant information, thereby reducing information overload.</w:t>
      </w:r>
    </w:p>
    <w:p w14:paraId="55742791"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Apart from individual learning, AI can also enable collective knowledge sharing. Ramesh (2024) depicts how AI-powered peer-learning platforms empower marginalised groups by activating tacit knowledge and allowing collaborative problem-solving. By providing a voice to whomsoever is most often excluded from mainstream education or training, AI systems can contribute to more inclusive learning spaces.</w:t>
      </w:r>
    </w:p>
    <w:p w14:paraId="641ED03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International case studies provide additional insights. In China, AI-driven platforms have been employed to bridge the rural-urban educational gap, successfully improving literacy and digital </w:t>
      </w:r>
      <w:r w:rsidRPr="00FD7DF2">
        <w:rPr>
          <w:rFonts w:ascii="Times New Roman" w:hAnsi="Times New Roman" w:cs="Times New Roman"/>
          <w:sz w:val="24"/>
          <w:szCs w:val="24"/>
          <w:lang w:val="en-GB"/>
        </w:rPr>
        <w:lastRenderedPageBreak/>
        <w:t>competences among disadvantaged groups (Knox, 2020; Li and Mohammad, 2025; Maggo and Maggo, 2025). In sub-Saharan Africa, mobile learning applications facilitated by AI have provided vocational training options for disadvantaged communities with limited access to formal institutions (Bervell et al., 2025; Gbadebo, 2024; Ouédraogo, 2024). Such examples confirm that AI can be re-purposed in other socio-economic contexts, offering potential models for addressing UK worklessness.</w:t>
      </w:r>
    </w:p>
    <w:p w14:paraId="0D26FFC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However, the application of AI to vulnerable groups raises ethical concerns. Eubanks (2018) warns that poorly designed automated processes can perpetuate inequality, particularly when algorithms reproduce biases in training data. To address these possible inequalities, Floridi and Cowls (2022) provide a strategy of fairness, accountability, transparency, and sustainability as essential principles for AI for social good. To facilitate inclusiveness, AI-facilitated knowledge-sharing platforms must be transparent, locally situated, and user-responsive (Strielkowski et al., 2025).</w:t>
      </w:r>
    </w:p>
    <w:p w14:paraId="2C2F9D22"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12" w:name="_Toc209513768"/>
      <w:r w:rsidRPr="00FD7DF2">
        <w:rPr>
          <w:rFonts w:ascii="Times New Roman" w:hAnsi="Times New Roman" w:cs="Times New Roman"/>
          <w:b/>
          <w:bCs/>
          <w:color w:val="auto"/>
          <w:sz w:val="24"/>
          <w:szCs w:val="24"/>
          <w:lang w:val="en-GB"/>
        </w:rPr>
        <w:t>4. Bridging AI, Knowledge Culture, and Worklessness</w:t>
      </w:r>
      <w:bookmarkEnd w:id="12"/>
    </w:p>
    <w:p w14:paraId="39ABF665"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Although AI is researched effectively in business and learning contexts, there is minimal work that directly studies its use in addressing household worklessness. This is an essential research gap. Workless households are not only limited by skills and qualifications but also by access to networks, self-esteem, and cultural capital (Buck et al., 2013). AI can potentially succeed where these limitations fail by providing scalable personalised learning, generating community-centred knowledge networks, and linking training to direct employability channels. For example, an AI-based platform could connect workless home job hunters with mentors in their respective industries and provide them with individualised advice and counselling. It could also recommend sector-specific training modules, such as internet literacy for the elderly or childcare support tactics for single parents. Islam et al. (2024) demonstrate that collaborative learning facilitated by AI builds confidence and resilience, suggesting that the same can motivate long-term unemployed individuals to break the stigma and head towards stability. By embedding AI tools in community places such as libraries, community centres, or council services, programmes might develop inclusive, participatory, and adaptive cultures of knowledge. These environments would be supportive of the values of communities of practice, but leverage AI to extract tacit knowledge as explicit and actionable knowledge.</w:t>
      </w:r>
    </w:p>
    <w:p w14:paraId="151860C1"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13" w:name="_Toc209513769"/>
      <w:r w:rsidRPr="00FD7DF2">
        <w:rPr>
          <w:rFonts w:ascii="Times New Roman" w:hAnsi="Times New Roman" w:cs="Times New Roman"/>
          <w:b/>
          <w:bCs/>
          <w:color w:val="auto"/>
          <w:sz w:val="24"/>
          <w:szCs w:val="24"/>
          <w:lang w:val="en-GB"/>
        </w:rPr>
        <w:lastRenderedPageBreak/>
        <w:t>5. Conceptual Framework</w:t>
      </w:r>
      <w:bookmarkEnd w:id="13"/>
    </w:p>
    <w:p w14:paraId="63447A58"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As indicated in the figure below, the conceptual framework for this study captures the relevant literature in an integrated model. The conceptual model theorises that AI-enabled knowledge-sharing systems mediate the relationship between household constraints and employability outcomes. </w:t>
      </w:r>
    </w:p>
    <w:p w14:paraId="55165E94"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18096BC0" wp14:editId="0F7F7FEA">
            <wp:extent cx="5943600" cy="3962400"/>
            <wp:effectExtent l="0" t="0" r="0" b="0"/>
            <wp:docPr id="361018937" name="Picture 1" descr="A diagram of a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18937" name="Picture 1" descr="A diagram of a framework&#10;&#10;AI-generated content may be incorrect."/>
                    <pic:cNvPicPr/>
                  </pic:nvPicPr>
                  <pic:blipFill>
                    <a:blip r:embed="rId5"/>
                    <a:stretch>
                      <a:fillRect/>
                    </a:stretch>
                  </pic:blipFill>
                  <pic:spPr>
                    <a:xfrm>
                      <a:off x="0" y="0"/>
                      <a:ext cx="5943600" cy="3962400"/>
                    </a:xfrm>
                    <a:prstGeom prst="rect">
                      <a:avLst/>
                    </a:prstGeom>
                  </pic:spPr>
                </pic:pic>
              </a:graphicData>
            </a:graphic>
          </wp:inline>
        </w:drawing>
      </w:r>
    </w:p>
    <w:p w14:paraId="5637411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Fig 1:</w:t>
      </w:r>
      <w:r w:rsidRPr="00FD7DF2">
        <w:rPr>
          <w:rFonts w:ascii="Times New Roman" w:hAnsi="Times New Roman" w:cs="Times New Roman"/>
          <w:sz w:val="24"/>
          <w:szCs w:val="24"/>
          <w:lang w:val="en-GB"/>
        </w:rPr>
        <w:t xml:space="preserve"> The Conceptual Framework</w:t>
      </w:r>
    </w:p>
    <w:p w14:paraId="20C8C35C"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14" w:name="_Toc209513770"/>
      <w:r w:rsidRPr="00FD7DF2">
        <w:rPr>
          <w:rFonts w:ascii="Times New Roman" w:hAnsi="Times New Roman" w:cs="Times New Roman"/>
          <w:b/>
          <w:bCs/>
          <w:color w:val="auto"/>
          <w:sz w:val="24"/>
          <w:szCs w:val="24"/>
          <w:lang w:val="en-GB"/>
        </w:rPr>
        <w:t>Explanation of the Conceptual Framework</w:t>
      </w:r>
      <w:bookmarkEnd w:id="14"/>
    </w:p>
    <w:p w14:paraId="50FB5625" w14:textId="77777777" w:rsidR="001368B4" w:rsidRPr="00FD7DF2" w:rsidRDefault="001368B4" w:rsidP="001368B4">
      <w:pPr>
        <w:numPr>
          <w:ilvl w:val="0"/>
          <w:numId w:val="1"/>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At the input sides household characteristics such as low skills, limited digital access, weak networks, and socio-economic disadvantage are included.</w:t>
      </w:r>
    </w:p>
    <w:p w14:paraId="5524AC59" w14:textId="77777777" w:rsidR="001368B4" w:rsidRPr="00FD7DF2" w:rsidRDefault="001368B4" w:rsidP="001368B4">
      <w:pPr>
        <w:numPr>
          <w:ilvl w:val="0"/>
          <w:numId w:val="1"/>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mediating mechanism is the AI-enabled knowledge-sharing system, which facilitates personalised learning, peer support, and inclusive communities of practice.</w:t>
      </w:r>
    </w:p>
    <w:p w14:paraId="7AF4A32D" w14:textId="77777777" w:rsidR="001368B4" w:rsidRPr="00FD7DF2" w:rsidRDefault="001368B4" w:rsidP="001368B4">
      <w:pPr>
        <w:numPr>
          <w:ilvl w:val="0"/>
          <w:numId w:val="1"/>
        </w:num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On the output side, employability outcomes include job readiness, access to opportunities, resilience against long-term unemployment, and overall household empowerment.</w:t>
      </w:r>
    </w:p>
    <w:p w14:paraId="1624F52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framework draws on Nonaka’s SECI model to conceptualise knowledge creation, Wenger’s communities of practice to highlight the role of collective learning, and social capital theory to explain the importance of trust and networks. It incorporates AI as the technological </w:t>
      </w:r>
      <w:r w:rsidRPr="00FD7DF2">
        <w:rPr>
          <w:rFonts w:ascii="Times New Roman" w:hAnsi="Times New Roman" w:cs="Times New Roman"/>
          <w:sz w:val="24"/>
          <w:szCs w:val="24"/>
          <w:lang w:val="en-GB"/>
        </w:rPr>
        <w:lastRenderedPageBreak/>
        <w:t>enabler, capable of making knowledge flows more inclusive, adaptive, and equitable. Importantly, ethical design principles ensure that AI applications avoid reinforcing inequality and instead empower vulnerable groups.</w:t>
      </w:r>
    </w:p>
    <w:p w14:paraId="22DE94B1"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15" w:name="_Toc209513771"/>
      <w:r w:rsidRPr="00FD7DF2">
        <w:rPr>
          <w:rFonts w:ascii="Times New Roman" w:hAnsi="Times New Roman" w:cs="Times New Roman"/>
          <w:b/>
          <w:bCs/>
          <w:color w:val="auto"/>
          <w:sz w:val="24"/>
          <w:szCs w:val="24"/>
          <w:lang w:val="en-GB"/>
        </w:rPr>
        <w:t>6. Hypotheses</w:t>
      </w:r>
      <w:bookmarkEnd w:id="15"/>
    </w:p>
    <w:p w14:paraId="4FFB1FD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4A918E75" wp14:editId="295AF5A6">
            <wp:extent cx="5345216" cy="2504440"/>
            <wp:effectExtent l="0" t="0" r="8255" b="0"/>
            <wp:docPr id="91975423"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75423" name="Picture 2" descr="A diagram of a diagram&#10;&#10;AI-generated content may be incorrec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84" t="5540" b="25093"/>
                    <a:stretch>
                      <a:fillRect/>
                    </a:stretch>
                  </pic:blipFill>
                  <pic:spPr bwMode="auto">
                    <a:xfrm>
                      <a:off x="0" y="0"/>
                      <a:ext cx="5347316" cy="2505424"/>
                    </a:xfrm>
                    <a:prstGeom prst="rect">
                      <a:avLst/>
                    </a:prstGeom>
                    <a:noFill/>
                    <a:ln>
                      <a:noFill/>
                    </a:ln>
                    <a:extLst>
                      <a:ext uri="{53640926-AAD7-44D8-BBD7-CCE9431645EC}">
                        <a14:shadowObscured xmlns:a14="http://schemas.microsoft.com/office/drawing/2010/main"/>
                      </a:ext>
                    </a:extLst>
                  </pic:spPr>
                </pic:pic>
              </a:graphicData>
            </a:graphic>
          </wp:inline>
        </w:drawing>
      </w:r>
    </w:p>
    <w:p w14:paraId="7002721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Fig 2:</w:t>
      </w:r>
      <w:r w:rsidRPr="00FD7DF2">
        <w:rPr>
          <w:rFonts w:ascii="Times New Roman" w:hAnsi="Times New Roman" w:cs="Times New Roman"/>
          <w:sz w:val="24"/>
          <w:szCs w:val="24"/>
          <w:lang w:val="en-GB"/>
        </w:rPr>
        <w:t xml:space="preserve"> The Conceptual Framework</w:t>
      </w:r>
    </w:p>
    <w:p w14:paraId="28E0ED6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p>
    <w:p w14:paraId="57FF34B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Based on the conceptual framework, the following hypotheses are proposed:</w:t>
      </w:r>
    </w:p>
    <w:p w14:paraId="7497580E" w14:textId="77777777" w:rsidR="001368B4" w:rsidRPr="00FD7DF2" w:rsidRDefault="001368B4" w:rsidP="001368B4">
      <w:pPr>
        <w:numPr>
          <w:ilvl w:val="0"/>
          <w:numId w:val="2"/>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H1:</w:t>
      </w:r>
      <w:r w:rsidRPr="00FD7DF2">
        <w:rPr>
          <w:rFonts w:ascii="Times New Roman" w:hAnsi="Times New Roman" w:cs="Times New Roman"/>
          <w:sz w:val="24"/>
          <w:szCs w:val="24"/>
          <w:lang w:val="en-GB"/>
        </w:rPr>
        <w:t xml:space="preserve"> AI-enabled knowledge-sharing platforms significantly increase perceived access to employability resources among individuals in workless households.</w:t>
      </w:r>
    </w:p>
    <w:p w14:paraId="6D19F4AA" w14:textId="77777777" w:rsidR="001368B4" w:rsidRPr="00FD7DF2" w:rsidRDefault="001368B4" w:rsidP="001368B4">
      <w:pPr>
        <w:numPr>
          <w:ilvl w:val="0"/>
          <w:numId w:val="2"/>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H2:</w:t>
      </w:r>
      <w:r w:rsidRPr="00FD7DF2">
        <w:rPr>
          <w:rFonts w:ascii="Times New Roman" w:hAnsi="Times New Roman" w:cs="Times New Roman"/>
          <w:sz w:val="24"/>
          <w:szCs w:val="24"/>
          <w:lang w:val="en-GB"/>
        </w:rPr>
        <w:t xml:space="preserve"> AI-enabled learning systems positively influence skill acquisition and job readiness compared to traditional, non-AI interventions.</w:t>
      </w:r>
    </w:p>
    <w:p w14:paraId="17CC0709" w14:textId="77777777" w:rsidR="001368B4" w:rsidRPr="00FD7DF2" w:rsidRDefault="001368B4" w:rsidP="001368B4">
      <w:pPr>
        <w:numPr>
          <w:ilvl w:val="0"/>
          <w:numId w:val="2"/>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H3:</w:t>
      </w:r>
      <w:r w:rsidRPr="00FD7DF2">
        <w:rPr>
          <w:rFonts w:ascii="Times New Roman" w:hAnsi="Times New Roman" w:cs="Times New Roman"/>
          <w:sz w:val="24"/>
          <w:szCs w:val="24"/>
          <w:lang w:val="en-GB"/>
        </w:rPr>
        <w:t xml:space="preserve"> The impact of AI-enabled knowledge sharing on employability outcomes is moderated by digital access, with digitally included households experiencing greater benefits.</w:t>
      </w:r>
    </w:p>
    <w:p w14:paraId="09369FB1" w14:textId="77777777" w:rsidR="001368B4" w:rsidRPr="00FD7DF2" w:rsidRDefault="001368B4" w:rsidP="001368B4">
      <w:pPr>
        <w:numPr>
          <w:ilvl w:val="0"/>
          <w:numId w:val="2"/>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H4:</w:t>
      </w:r>
      <w:r w:rsidRPr="00FD7DF2">
        <w:rPr>
          <w:rFonts w:ascii="Times New Roman" w:hAnsi="Times New Roman" w:cs="Times New Roman"/>
          <w:sz w:val="24"/>
          <w:szCs w:val="24"/>
          <w:lang w:val="en-GB"/>
        </w:rPr>
        <w:t xml:space="preserve"> Ethical design and perceived fairness of AI systems positively influence user engagement and willingness to share knowledge.</w:t>
      </w:r>
    </w:p>
    <w:p w14:paraId="0F98FE5A" w14:textId="77777777" w:rsidR="001368B4" w:rsidRPr="00FD7DF2" w:rsidRDefault="001368B4" w:rsidP="001368B4">
      <w:pPr>
        <w:numPr>
          <w:ilvl w:val="0"/>
          <w:numId w:val="2"/>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H5:</w:t>
      </w:r>
      <w:r w:rsidRPr="00FD7DF2">
        <w:rPr>
          <w:rFonts w:ascii="Times New Roman" w:hAnsi="Times New Roman" w:cs="Times New Roman"/>
          <w:sz w:val="24"/>
          <w:szCs w:val="24"/>
          <w:lang w:val="en-GB"/>
        </w:rPr>
        <w:t xml:space="preserve"> Participation in AI-enabled peer-learning networks enhances household resilience against long-term unemployment compared to households without such access.</w:t>
      </w:r>
    </w:p>
    <w:p w14:paraId="7B628D3F" w14:textId="77777777" w:rsidR="001368B4" w:rsidRPr="00FD7DF2" w:rsidRDefault="001368B4" w:rsidP="001368B4">
      <w:pPr>
        <w:spacing w:line="360" w:lineRule="auto"/>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Below is the summary table of the hypothesis testing:</w:t>
      </w:r>
    </w:p>
    <w:p w14:paraId="0ED19FD4" w14:textId="77777777" w:rsidR="001368B4" w:rsidRPr="00FD7DF2" w:rsidRDefault="001368B4" w:rsidP="001368B4">
      <w:p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1:</w:t>
      </w:r>
      <w:r w:rsidRPr="00FD7DF2">
        <w:rPr>
          <w:rFonts w:ascii="Times New Roman" w:hAnsi="Times New Roman" w:cs="Times New Roman"/>
          <w:sz w:val="24"/>
          <w:szCs w:val="24"/>
          <w:lang w:val="en-GB"/>
        </w:rPr>
        <w:t xml:space="preserve"> Summary Table of Hypothesis Testing</w:t>
      </w:r>
    </w:p>
    <w:tbl>
      <w:tblPr>
        <w:tblStyle w:val="TableGrid"/>
        <w:tblW w:w="0" w:type="auto"/>
        <w:tblLook w:val="04A0" w:firstRow="1" w:lastRow="0" w:firstColumn="1" w:lastColumn="0" w:noHBand="0" w:noVBand="1"/>
      </w:tblPr>
      <w:tblGrid>
        <w:gridCol w:w="2328"/>
        <w:gridCol w:w="2385"/>
        <w:gridCol w:w="2036"/>
        <w:gridCol w:w="2267"/>
      </w:tblGrid>
      <w:tr w:rsidR="001368B4" w:rsidRPr="00CB5A15" w14:paraId="4F8930DA" w14:textId="77777777" w:rsidTr="00C1582C">
        <w:tc>
          <w:tcPr>
            <w:tcW w:w="0" w:type="auto"/>
            <w:hideMark/>
          </w:tcPr>
          <w:p w14:paraId="1AED37E6" w14:textId="77777777" w:rsidR="001368B4" w:rsidRPr="00CB5A15" w:rsidRDefault="001368B4" w:rsidP="00C1582C">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Hypothesis</w:t>
            </w:r>
          </w:p>
        </w:tc>
        <w:tc>
          <w:tcPr>
            <w:tcW w:w="0" w:type="auto"/>
            <w:hideMark/>
          </w:tcPr>
          <w:p w14:paraId="198628A8" w14:textId="77777777" w:rsidR="001368B4" w:rsidRPr="00CB5A15" w:rsidRDefault="001368B4" w:rsidP="00C1582C">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Test Used</w:t>
            </w:r>
          </w:p>
        </w:tc>
        <w:tc>
          <w:tcPr>
            <w:tcW w:w="0" w:type="auto"/>
            <w:hideMark/>
          </w:tcPr>
          <w:p w14:paraId="4AD26E0D" w14:textId="77777777" w:rsidR="001368B4" w:rsidRPr="00CB5A15" w:rsidRDefault="001368B4" w:rsidP="00C1582C">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Result</w:t>
            </w:r>
          </w:p>
        </w:tc>
        <w:tc>
          <w:tcPr>
            <w:tcW w:w="0" w:type="auto"/>
            <w:hideMark/>
          </w:tcPr>
          <w:p w14:paraId="05D4CB55" w14:textId="77777777" w:rsidR="001368B4" w:rsidRPr="00CB5A15" w:rsidRDefault="001368B4" w:rsidP="00C1582C">
            <w:pPr>
              <w:spacing w:line="240" w:lineRule="auto"/>
              <w:ind w:left="0" w:firstLine="0"/>
              <w:jc w:val="both"/>
              <w:rPr>
                <w:rFonts w:ascii="Times New Roman" w:eastAsia="Times New Roman" w:hAnsi="Times New Roman" w:cs="Times New Roman"/>
                <w:b/>
                <w:bCs/>
                <w:sz w:val="24"/>
                <w:szCs w:val="24"/>
                <w:lang w:val="en-GB" w:eastAsia="zh-CN"/>
              </w:rPr>
            </w:pPr>
            <w:r w:rsidRPr="00CB5A15">
              <w:rPr>
                <w:rFonts w:ascii="Times New Roman" w:eastAsia="Times New Roman" w:hAnsi="Times New Roman" w:cs="Times New Roman"/>
                <w:b/>
                <w:bCs/>
                <w:sz w:val="24"/>
                <w:szCs w:val="24"/>
                <w:lang w:val="en-GB" w:eastAsia="zh-CN"/>
              </w:rPr>
              <w:t>Conclusion</w:t>
            </w:r>
          </w:p>
        </w:tc>
      </w:tr>
      <w:tr w:rsidR="001368B4" w:rsidRPr="00CB5A15" w14:paraId="30FADA61" w14:textId="77777777" w:rsidTr="00C1582C">
        <w:tc>
          <w:tcPr>
            <w:tcW w:w="0" w:type="auto"/>
            <w:hideMark/>
          </w:tcPr>
          <w:p w14:paraId="5D240524"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H1: AI-enabled platforms increase access</w:t>
            </w:r>
          </w:p>
        </w:tc>
        <w:tc>
          <w:tcPr>
            <w:tcW w:w="0" w:type="auto"/>
            <w:hideMark/>
          </w:tcPr>
          <w:p w14:paraId="49E63023"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Chi-square (regional disparities)</w:t>
            </w:r>
          </w:p>
        </w:tc>
        <w:tc>
          <w:tcPr>
            <w:tcW w:w="0" w:type="auto"/>
            <w:hideMark/>
          </w:tcPr>
          <w:p w14:paraId="1ED1846F"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χ² = 28.41, p &lt; .01</w:t>
            </w:r>
          </w:p>
        </w:tc>
        <w:tc>
          <w:tcPr>
            <w:tcW w:w="0" w:type="auto"/>
            <w:hideMark/>
          </w:tcPr>
          <w:p w14:paraId="66D2685E"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Supported (regional context matters)</w:t>
            </w:r>
          </w:p>
        </w:tc>
      </w:tr>
      <w:tr w:rsidR="001368B4" w:rsidRPr="00CB5A15" w14:paraId="6EE60C48" w14:textId="77777777" w:rsidTr="00C1582C">
        <w:tc>
          <w:tcPr>
            <w:tcW w:w="0" w:type="auto"/>
            <w:hideMark/>
          </w:tcPr>
          <w:p w14:paraId="22989B39"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lastRenderedPageBreak/>
              <w:t>H2: AI systems improve skill readiness</w:t>
            </w:r>
          </w:p>
        </w:tc>
        <w:tc>
          <w:tcPr>
            <w:tcW w:w="0" w:type="auto"/>
            <w:hideMark/>
          </w:tcPr>
          <w:p w14:paraId="5387A755"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One-way ANOVA (household size differences)</w:t>
            </w:r>
          </w:p>
        </w:tc>
        <w:tc>
          <w:tcPr>
            <w:tcW w:w="0" w:type="auto"/>
            <w:hideMark/>
          </w:tcPr>
          <w:p w14:paraId="162B489D"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F = 5.62, p = .004</w:t>
            </w:r>
          </w:p>
        </w:tc>
        <w:tc>
          <w:tcPr>
            <w:tcW w:w="0" w:type="auto"/>
            <w:hideMark/>
          </w:tcPr>
          <w:p w14:paraId="158D759F"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Supported (smaller households less ready)</w:t>
            </w:r>
          </w:p>
        </w:tc>
      </w:tr>
      <w:tr w:rsidR="001368B4" w:rsidRPr="00CB5A15" w14:paraId="52667E6D" w14:textId="77777777" w:rsidTr="00C1582C">
        <w:tc>
          <w:tcPr>
            <w:tcW w:w="0" w:type="auto"/>
            <w:hideMark/>
          </w:tcPr>
          <w:p w14:paraId="0A7216DA"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H3: Moderated by digital inclusion</w:t>
            </w:r>
          </w:p>
        </w:tc>
        <w:tc>
          <w:tcPr>
            <w:tcW w:w="0" w:type="auto"/>
            <w:hideMark/>
          </w:tcPr>
          <w:p w14:paraId="55E363DD"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Chi-square (regional proxy)</w:t>
            </w:r>
          </w:p>
        </w:tc>
        <w:tc>
          <w:tcPr>
            <w:tcW w:w="0" w:type="auto"/>
            <w:hideMark/>
          </w:tcPr>
          <w:p w14:paraId="0F7AF7BF"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χ² = 28.41, p &lt; .01</w:t>
            </w:r>
          </w:p>
        </w:tc>
        <w:tc>
          <w:tcPr>
            <w:tcW w:w="0" w:type="auto"/>
            <w:hideMark/>
          </w:tcPr>
          <w:p w14:paraId="7B7F016C"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Indirectly Supported</w:t>
            </w:r>
          </w:p>
        </w:tc>
      </w:tr>
      <w:tr w:rsidR="001368B4" w:rsidRPr="00CB5A15" w14:paraId="76DB592F" w14:textId="77777777" w:rsidTr="00C1582C">
        <w:tc>
          <w:tcPr>
            <w:tcW w:w="0" w:type="auto"/>
            <w:hideMark/>
          </w:tcPr>
          <w:p w14:paraId="410CEE8B"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H4: Ethical/fair design increases engagement</w:t>
            </w:r>
          </w:p>
        </w:tc>
        <w:tc>
          <w:tcPr>
            <w:tcW w:w="0" w:type="auto"/>
            <w:hideMark/>
          </w:tcPr>
          <w:p w14:paraId="28282742"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Logistic regression (predictors of exclusion)</w:t>
            </w:r>
          </w:p>
        </w:tc>
        <w:tc>
          <w:tcPr>
            <w:tcW w:w="0" w:type="auto"/>
            <w:hideMark/>
          </w:tcPr>
          <w:p w14:paraId="2776E3DF"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R² = .18, p &lt; .001</w:t>
            </w:r>
          </w:p>
        </w:tc>
        <w:tc>
          <w:tcPr>
            <w:tcW w:w="0" w:type="auto"/>
            <w:hideMark/>
          </w:tcPr>
          <w:p w14:paraId="1710B423"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Partially Supported (gender not significant)</w:t>
            </w:r>
          </w:p>
        </w:tc>
      </w:tr>
      <w:tr w:rsidR="001368B4" w:rsidRPr="00CB5A15" w14:paraId="5697D108" w14:textId="77777777" w:rsidTr="00C1582C">
        <w:tc>
          <w:tcPr>
            <w:tcW w:w="0" w:type="auto"/>
            <w:hideMark/>
          </w:tcPr>
          <w:p w14:paraId="57F9624C"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H5: Peer-learning enhances resilience</w:t>
            </w:r>
          </w:p>
        </w:tc>
        <w:tc>
          <w:tcPr>
            <w:tcW w:w="0" w:type="auto"/>
            <w:hideMark/>
          </w:tcPr>
          <w:p w14:paraId="153CF220"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Logistic regression (odds ratios)</w:t>
            </w:r>
          </w:p>
        </w:tc>
        <w:tc>
          <w:tcPr>
            <w:tcW w:w="0" w:type="auto"/>
            <w:hideMark/>
          </w:tcPr>
          <w:p w14:paraId="5E217A68"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Exp(B) household size = 0.66, p = .002</w:t>
            </w:r>
          </w:p>
        </w:tc>
        <w:tc>
          <w:tcPr>
            <w:tcW w:w="0" w:type="auto"/>
            <w:hideMark/>
          </w:tcPr>
          <w:p w14:paraId="4561DE3E" w14:textId="77777777" w:rsidR="001368B4" w:rsidRPr="00CB5A15" w:rsidRDefault="001368B4" w:rsidP="00C1582C">
            <w:pPr>
              <w:spacing w:line="240" w:lineRule="auto"/>
              <w:ind w:left="0" w:firstLine="0"/>
              <w:jc w:val="both"/>
              <w:rPr>
                <w:rFonts w:ascii="Times New Roman" w:eastAsia="Times New Roman" w:hAnsi="Times New Roman" w:cs="Times New Roman"/>
                <w:sz w:val="24"/>
                <w:szCs w:val="24"/>
                <w:lang w:val="en-GB" w:eastAsia="zh-CN"/>
              </w:rPr>
            </w:pPr>
            <w:r w:rsidRPr="00CB5A15">
              <w:rPr>
                <w:rFonts w:ascii="Times New Roman" w:eastAsia="Times New Roman" w:hAnsi="Times New Roman" w:cs="Times New Roman"/>
                <w:sz w:val="24"/>
                <w:szCs w:val="24"/>
                <w:lang w:val="en-GB" w:eastAsia="zh-CN"/>
              </w:rPr>
              <w:t>Supported</w:t>
            </w:r>
          </w:p>
        </w:tc>
      </w:tr>
    </w:tbl>
    <w:p w14:paraId="193AF7F3" w14:textId="77777777" w:rsidR="001368B4" w:rsidRPr="00FD7DF2" w:rsidRDefault="001368B4" w:rsidP="001368B4">
      <w:pPr>
        <w:spacing w:line="360" w:lineRule="auto"/>
        <w:jc w:val="both"/>
        <w:rPr>
          <w:rFonts w:ascii="Times New Roman" w:hAnsi="Times New Roman" w:cs="Times New Roman"/>
          <w:sz w:val="24"/>
          <w:szCs w:val="24"/>
          <w:lang w:val="en-GB"/>
        </w:rPr>
      </w:pPr>
    </w:p>
    <w:p w14:paraId="0646E92B" w14:textId="77777777" w:rsidR="001368B4" w:rsidRPr="00FD7DF2" w:rsidRDefault="001368B4" w:rsidP="001368B4">
      <w:pPr>
        <w:pStyle w:val="Heading3"/>
        <w:spacing w:line="360" w:lineRule="auto"/>
        <w:jc w:val="both"/>
        <w:rPr>
          <w:rFonts w:ascii="Times New Roman" w:hAnsi="Times New Roman" w:cs="Times New Roman"/>
          <w:color w:val="auto"/>
          <w:sz w:val="24"/>
          <w:szCs w:val="24"/>
          <w:lang w:val="en-GB"/>
        </w:rPr>
      </w:pPr>
      <w:bookmarkStart w:id="16" w:name="_Toc209513772"/>
      <w:r w:rsidRPr="00FD7DF2">
        <w:rPr>
          <w:rFonts w:ascii="Times New Roman" w:hAnsi="Times New Roman" w:cs="Times New Roman"/>
          <w:b/>
          <w:bCs/>
          <w:color w:val="auto"/>
          <w:sz w:val="24"/>
          <w:szCs w:val="24"/>
          <w:lang w:val="en-GB"/>
        </w:rPr>
        <w:t>7. Summary and Transition to the Next Section</w:t>
      </w:r>
      <w:bookmarkEnd w:id="16"/>
    </w:p>
    <w:p w14:paraId="696BB97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E34713">
        <w:rPr>
          <w:rFonts w:ascii="Times New Roman" w:hAnsi="Times New Roman" w:cs="Times New Roman"/>
          <w:sz w:val="24"/>
          <w:szCs w:val="24"/>
          <w:lang w:val="en-GB"/>
        </w:rPr>
        <w:t xml:space="preserve">In summary, this </w:t>
      </w:r>
      <w:r w:rsidRPr="00FD7DF2">
        <w:rPr>
          <w:rFonts w:ascii="Times New Roman" w:hAnsi="Times New Roman" w:cs="Times New Roman"/>
          <w:sz w:val="24"/>
          <w:szCs w:val="24"/>
          <w:lang w:val="en-GB"/>
        </w:rPr>
        <w:t>literature review</w:t>
      </w:r>
      <w:r w:rsidRPr="00E34713">
        <w:rPr>
          <w:rFonts w:ascii="Times New Roman" w:hAnsi="Times New Roman" w:cs="Times New Roman"/>
          <w:sz w:val="24"/>
          <w:szCs w:val="24"/>
          <w:lang w:val="en-GB"/>
        </w:rPr>
        <w:t xml:space="preserve"> is significant in advancing academic debates, informing practical interventions, and addressing deep-rooted social inequalities through AI-enabled knowledge sharing. By highlighting its theoretical, policy, and community relevance, the section establishes why the research is worth undertaking.</w:t>
      </w:r>
      <w:r w:rsidRPr="00FD7DF2">
        <w:rPr>
          <w:rFonts w:ascii="Times New Roman" w:hAnsi="Times New Roman" w:cs="Times New Roman"/>
          <w:sz w:val="24"/>
          <w:szCs w:val="24"/>
          <w:lang w:val="en-GB"/>
        </w:rPr>
        <w:t xml:space="preserve"> </w:t>
      </w:r>
      <w:r w:rsidRPr="00E34713">
        <w:rPr>
          <w:rFonts w:ascii="Times New Roman" w:hAnsi="Times New Roman" w:cs="Times New Roman"/>
          <w:sz w:val="24"/>
          <w:szCs w:val="24"/>
          <w:lang w:val="en-GB"/>
        </w:rPr>
        <w:t xml:space="preserve">The next </w:t>
      </w:r>
      <w:r w:rsidRPr="00FD7DF2">
        <w:rPr>
          <w:rFonts w:ascii="Times New Roman" w:hAnsi="Times New Roman" w:cs="Times New Roman"/>
          <w:sz w:val="24"/>
          <w:szCs w:val="24"/>
          <w:lang w:val="en-GB"/>
        </w:rPr>
        <w:t>Section</w:t>
      </w:r>
      <w:r w:rsidRPr="00E34713">
        <w:rPr>
          <w:rFonts w:ascii="Times New Roman" w:hAnsi="Times New Roman" w:cs="Times New Roman"/>
          <w:sz w:val="24"/>
          <w:szCs w:val="24"/>
          <w:lang w:val="en-GB"/>
        </w:rPr>
        <w:t xml:space="preserve"> presents the research methodology, outlining the philosophical stance, research design, dataset, variables, and analytical techniques employed. This framework ensures that the study’s objectives are pursued with methodological rigor, ethical integrity, and transparency.</w:t>
      </w:r>
    </w:p>
    <w:p w14:paraId="64B6CF7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p>
    <w:p w14:paraId="5441DBC6" w14:textId="77777777" w:rsidR="001368B4" w:rsidRPr="00FD7DF2" w:rsidRDefault="001368B4" w:rsidP="001368B4">
      <w:pPr>
        <w:pStyle w:val="ListParagraph"/>
        <w:numPr>
          <w:ilvl w:val="0"/>
          <w:numId w:val="7"/>
        </w:numPr>
        <w:spacing w:line="360" w:lineRule="auto"/>
        <w:jc w:val="both"/>
        <w:outlineLvl w:val="0"/>
        <w:rPr>
          <w:rFonts w:ascii="Times New Roman" w:hAnsi="Times New Roman" w:cs="Times New Roman"/>
          <w:b/>
          <w:bCs/>
          <w:sz w:val="24"/>
          <w:szCs w:val="24"/>
          <w:lang w:val="en-GB"/>
        </w:rPr>
      </w:pPr>
      <w:bookmarkStart w:id="17" w:name="_Toc209513773"/>
      <w:r w:rsidRPr="00FD7DF2">
        <w:rPr>
          <w:rFonts w:ascii="Times New Roman" w:hAnsi="Times New Roman" w:cs="Times New Roman"/>
          <w:b/>
          <w:bCs/>
          <w:sz w:val="24"/>
          <w:szCs w:val="24"/>
          <w:lang w:val="en-GB"/>
        </w:rPr>
        <w:t>Research Methodology</w:t>
      </w:r>
      <w:bookmarkEnd w:id="17"/>
    </w:p>
    <w:p w14:paraId="7D992912"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18" w:name="_Toc209513774"/>
      <w:r w:rsidRPr="00FD7DF2">
        <w:rPr>
          <w:rFonts w:ascii="Times New Roman" w:hAnsi="Times New Roman" w:cs="Times New Roman"/>
          <w:b/>
          <w:bCs/>
          <w:color w:val="auto"/>
          <w:sz w:val="24"/>
          <w:szCs w:val="24"/>
          <w:lang w:val="en-GB"/>
        </w:rPr>
        <w:t>4.1 Philosophical Stance</w:t>
      </w:r>
      <w:bookmarkEnd w:id="18"/>
    </w:p>
    <w:p w14:paraId="77C9983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study adopts a positivist philosophical stance, which assumes that social phenomena can be observed, quantified, and explained through objective data (Baškarada and Koronios, 2018). According to Park et al. (2020), positivism aligns closely with quantitative methods because it emphasises hypothesis testing, measurement, and replicability. In the context of this study, the aim is to analyse the patterns of working and workless households in the United Kingdom using data from the Office for National Statistics (ONS). Such data, derived from large-scale national surveys, is suitable for a positivist approach because it reflects measurable reality rather than subjective interpretation.</w:t>
      </w:r>
    </w:p>
    <w:p w14:paraId="0BE064F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positivist orientation also justifies the use of SPSS for statistical analysis (Ali, 2024). Variables such as household employment status, household size, and demographic factors can be coded into quantifiable categories, enabling both descriptive and inferential analyses. For instance, chi-square tests can reveal whether there are significant regional differences in workless households, while regression models can predict the likelihood of a household being </w:t>
      </w:r>
      <w:r w:rsidRPr="00FD7DF2">
        <w:rPr>
          <w:rFonts w:ascii="Times New Roman" w:hAnsi="Times New Roman" w:cs="Times New Roman"/>
          <w:sz w:val="24"/>
          <w:szCs w:val="24"/>
          <w:lang w:val="en-GB"/>
        </w:rPr>
        <w:lastRenderedPageBreak/>
        <w:t>workless based on demographic characteristics. By analysing these relationships using statistical software, the study maintains the positivist commitment to objectivity and replicability.</w:t>
      </w:r>
    </w:p>
    <w:p w14:paraId="3A8F5258"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19" w:name="_Toc209513775"/>
      <w:r w:rsidRPr="00FD7DF2">
        <w:rPr>
          <w:rFonts w:ascii="Times New Roman" w:hAnsi="Times New Roman" w:cs="Times New Roman"/>
          <w:b/>
          <w:bCs/>
          <w:color w:val="auto"/>
          <w:sz w:val="24"/>
          <w:szCs w:val="24"/>
          <w:lang w:val="en-GB"/>
        </w:rPr>
        <w:t>4.2 Research Design</w:t>
      </w:r>
      <w:bookmarkEnd w:id="19"/>
    </w:p>
    <w:p w14:paraId="2756CD4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research employs a quantitative, cross-sectional, and explanatory design. It is quantitative because it works entirely with numerical data (Bloomfield and Fisher, 2019), seeking to summarise and explain household-level employment outcomes. It is cross-sectional because the dataset represents a single time point (January to March 2024) rather than following households over time (Li et al., 2013). Finally, it is explanatory because the study does more than describe patterns (Mirnawati et al., 2022): it also tests hypotheses about associations and predictors of worklessness across household categories.</w:t>
      </w:r>
    </w:p>
    <w:p w14:paraId="480E691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Descriptive analysis provides an overview of how many households fall into categories such as fully working, mixed, or workless. Inferential tests then allow the study to explore whether these distributions are significantly different across regions, demographic characteristics, or household sizes. This design balances breadth and depth, providing both a snapshot of national household employment trends and an explanation of factors that shape them.</w:t>
      </w:r>
    </w:p>
    <w:p w14:paraId="6BE3B0E9"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20" w:name="_Toc209513776"/>
      <w:r w:rsidRPr="00FD7DF2">
        <w:rPr>
          <w:rFonts w:ascii="Times New Roman" w:hAnsi="Times New Roman" w:cs="Times New Roman"/>
          <w:b/>
          <w:bCs/>
          <w:color w:val="auto"/>
          <w:sz w:val="24"/>
          <w:szCs w:val="24"/>
          <w:lang w:val="en-GB"/>
        </w:rPr>
        <w:t>4.3 Dataset</w:t>
      </w:r>
      <w:bookmarkEnd w:id="20"/>
    </w:p>
    <w:p w14:paraId="1906D501"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dataset used is the ONS publication </w:t>
      </w:r>
      <w:r w:rsidRPr="00FD7DF2">
        <w:rPr>
          <w:rFonts w:ascii="Times New Roman" w:hAnsi="Times New Roman" w:cs="Times New Roman"/>
          <w:i/>
          <w:iCs/>
          <w:sz w:val="24"/>
          <w:szCs w:val="24"/>
          <w:lang w:val="en-GB"/>
        </w:rPr>
        <w:t>Working and Workless Households in the UK: January to March 2024</w:t>
      </w:r>
      <w:r w:rsidRPr="00FD7DF2">
        <w:rPr>
          <w:rFonts w:ascii="Times New Roman" w:hAnsi="Times New Roman" w:cs="Times New Roman"/>
          <w:sz w:val="24"/>
          <w:szCs w:val="24"/>
          <w:lang w:val="en-GB"/>
        </w:rPr>
        <w:t>. It is derived from the Labour Force Survey, which is the largest household survey in the United Kingdom designed to capture employment trends. The dataset includes information on the number of adults in employment per household, whether households are entirely in work, entirely workless, or mixed, as well as additional demographic details such as age, gender, and regional location. Because the dataset is collected through stratified random sampling across regions, it is representative of the national population. It is also freely available and anonymised, meaning that it meets high standards of accessibility and ethical compliance (Lohr, 2021; Philips et al., 2017). For this research, the Excel dataset was imported into SPSS, cleaned for missing values, and coded into variables appropriate for statistical testing. Below is an example of dataset after being imported from Excel:</w:t>
      </w:r>
    </w:p>
    <w:p w14:paraId="362652AB"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lastRenderedPageBreak/>
        <w:drawing>
          <wp:inline distT="0" distB="0" distL="0" distR="0" wp14:anchorId="6A8F07FE" wp14:editId="218E9947">
            <wp:extent cx="5943600" cy="1501775"/>
            <wp:effectExtent l="0" t="0" r="0" b="3175"/>
            <wp:docPr id="1726945417" name="Picture 13" descr="A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45417" name="Picture 13" descr="A table with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943600" cy="1501775"/>
                    </a:xfrm>
                    <a:prstGeom prst="rect">
                      <a:avLst/>
                    </a:prstGeom>
                  </pic:spPr>
                </pic:pic>
              </a:graphicData>
            </a:graphic>
          </wp:inline>
        </w:drawing>
      </w:r>
    </w:p>
    <w:p w14:paraId="773E32A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2:</w:t>
      </w:r>
      <w:r w:rsidRPr="00FD7DF2">
        <w:rPr>
          <w:rFonts w:ascii="Times New Roman" w:hAnsi="Times New Roman" w:cs="Times New Roman"/>
          <w:sz w:val="24"/>
          <w:szCs w:val="24"/>
          <w:lang w:val="en-GB"/>
        </w:rPr>
        <w:t xml:space="preserve"> Example Dataset</w:t>
      </w:r>
    </w:p>
    <w:p w14:paraId="282A03EA"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21" w:name="_Toc209513777"/>
      <w:r w:rsidRPr="00FD7DF2">
        <w:rPr>
          <w:rFonts w:ascii="Times New Roman" w:hAnsi="Times New Roman" w:cs="Times New Roman"/>
          <w:b/>
          <w:bCs/>
          <w:color w:val="auto"/>
          <w:sz w:val="24"/>
          <w:szCs w:val="24"/>
          <w:lang w:val="en-GB"/>
        </w:rPr>
        <w:t>4.4 Sampling, Measures, and Variables</w:t>
      </w:r>
      <w:bookmarkEnd w:id="21"/>
    </w:p>
    <w:p w14:paraId="6EE4FA5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dataset is already nationally representative; therefore, no additional sampling was necessary. The key dependent variable is </w:t>
      </w:r>
      <w:r w:rsidRPr="00FD7DF2">
        <w:rPr>
          <w:rFonts w:ascii="Times New Roman" w:hAnsi="Times New Roman" w:cs="Times New Roman"/>
          <w:i/>
          <w:iCs/>
          <w:sz w:val="24"/>
          <w:szCs w:val="24"/>
          <w:lang w:val="en-GB"/>
        </w:rPr>
        <w:t>household employment status</w:t>
      </w:r>
      <w:r w:rsidRPr="00FD7DF2">
        <w:rPr>
          <w:rFonts w:ascii="Times New Roman" w:hAnsi="Times New Roman" w:cs="Times New Roman"/>
          <w:sz w:val="24"/>
          <w:szCs w:val="24"/>
          <w:lang w:val="en-GB"/>
        </w:rPr>
        <w:t xml:space="preserve">, coded into three categories: working households (all adults in work), workless households (no adults in work), and mixed households (a combination of working and non-working adults). The independent variables include </w:t>
      </w:r>
      <w:r w:rsidRPr="00FD7DF2">
        <w:rPr>
          <w:rFonts w:ascii="Times New Roman" w:hAnsi="Times New Roman" w:cs="Times New Roman"/>
          <w:i/>
          <w:iCs/>
          <w:sz w:val="24"/>
          <w:szCs w:val="24"/>
          <w:lang w:val="en-GB"/>
        </w:rPr>
        <w:t>household size</w:t>
      </w:r>
      <w:r w:rsidRPr="00FD7DF2">
        <w:rPr>
          <w:rFonts w:ascii="Times New Roman" w:hAnsi="Times New Roman" w:cs="Times New Roman"/>
          <w:sz w:val="24"/>
          <w:szCs w:val="24"/>
          <w:lang w:val="en-GB"/>
        </w:rPr>
        <w:t xml:space="preserve"> (measured as the number of adults per household), </w:t>
      </w:r>
      <w:r w:rsidRPr="00FD7DF2">
        <w:rPr>
          <w:rFonts w:ascii="Times New Roman" w:hAnsi="Times New Roman" w:cs="Times New Roman"/>
          <w:i/>
          <w:iCs/>
          <w:sz w:val="24"/>
          <w:szCs w:val="24"/>
          <w:lang w:val="en-GB"/>
        </w:rPr>
        <w:t>region</w:t>
      </w:r>
      <w:r w:rsidRPr="00FD7DF2">
        <w:rPr>
          <w:rFonts w:ascii="Times New Roman" w:hAnsi="Times New Roman" w:cs="Times New Roman"/>
          <w:sz w:val="24"/>
          <w:szCs w:val="24"/>
          <w:lang w:val="en-GB"/>
        </w:rPr>
        <w:t xml:space="preserve"> (England, Scotland, Wales, Northern Ireland), </w:t>
      </w:r>
      <w:r w:rsidRPr="00FD7DF2">
        <w:rPr>
          <w:rFonts w:ascii="Times New Roman" w:hAnsi="Times New Roman" w:cs="Times New Roman"/>
          <w:i/>
          <w:iCs/>
          <w:sz w:val="24"/>
          <w:szCs w:val="24"/>
          <w:lang w:val="en-GB"/>
        </w:rPr>
        <w:t>gender composition</w:t>
      </w:r>
      <w:r w:rsidRPr="00FD7DF2">
        <w:rPr>
          <w:rFonts w:ascii="Times New Roman" w:hAnsi="Times New Roman" w:cs="Times New Roman"/>
          <w:sz w:val="24"/>
          <w:szCs w:val="24"/>
          <w:lang w:val="en-GB"/>
        </w:rPr>
        <w:t xml:space="preserve"> of the household, and the </w:t>
      </w:r>
      <w:r w:rsidRPr="00FD7DF2">
        <w:rPr>
          <w:rFonts w:ascii="Times New Roman" w:hAnsi="Times New Roman" w:cs="Times New Roman"/>
          <w:i/>
          <w:iCs/>
          <w:sz w:val="24"/>
          <w:szCs w:val="24"/>
          <w:lang w:val="en-GB"/>
        </w:rPr>
        <w:t>age of the reference person</w:t>
      </w:r>
      <w:r w:rsidRPr="00FD7DF2">
        <w:rPr>
          <w:rFonts w:ascii="Times New Roman" w:hAnsi="Times New Roman" w:cs="Times New Roman"/>
          <w:sz w:val="24"/>
          <w:szCs w:val="24"/>
          <w:lang w:val="en-GB"/>
        </w:rPr>
        <w:t>. Household size was treated as a scale variable, while region and gender composition were treated as nominal. These variables were chosen because they capture both demographic and structural aspects that are theorised to influence employment patterns within households.</w:t>
      </w:r>
    </w:p>
    <w:p w14:paraId="6165406F"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22" w:name="_Toc209513778"/>
      <w:r w:rsidRPr="00FD7DF2">
        <w:rPr>
          <w:rFonts w:ascii="Times New Roman" w:hAnsi="Times New Roman" w:cs="Times New Roman"/>
          <w:b/>
          <w:bCs/>
          <w:color w:val="auto"/>
          <w:sz w:val="24"/>
          <w:szCs w:val="24"/>
          <w:lang w:val="en-GB"/>
        </w:rPr>
        <w:t>4.5 Descriptive Output</w:t>
      </w:r>
      <w:bookmarkEnd w:id="22"/>
    </w:p>
    <w:p w14:paraId="0465D85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An initial descriptive analysis in SPSS revealed the distribution of household employment categories, presented in Fig Table 3.</w:t>
      </w:r>
    </w:p>
    <w:p w14:paraId="5229384D"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0C020ED1" wp14:editId="769B0691">
            <wp:extent cx="5943600" cy="874395"/>
            <wp:effectExtent l="0" t="0" r="0" b="1905"/>
            <wp:docPr id="2063236140" name="Picture 3"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36140" name="Picture 3" descr="A table with numbers and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943600" cy="874395"/>
                    </a:xfrm>
                    <a:prstGeom prst="rect">
                      <a:avLst/>
                    </a:prstGeom>
                  </pic:spPr>
                </pic:pic>
              </a:graphicData>
            </a:graphic>
          </wp:inline>
        </w:drawing>
      </w:r>
    </w:p>
    <w:p w14:paraId="1261D2B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3: Distribution of Household Employment Status (ONS, Jan–Mar 2024)</w:t>
      </w:r>
    </w:p>
    <w:p w14:paraId="4DDE84A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output illustrates that the majority of households in the dataset were fully working, while just over one in seven households were completely workless. Such descriptive statistics provide the foundation for deeper inferential analysis.</w:t>
      </w:r>
    </w:p>
    <w:p w14:paraId="6C9425BA" w14:textId="77777777" w:rsidR="001368B4" w:rsidRPr="00FD7DF2" w:rsidRDefault="001368B4" w:rsidP="001368B4">
      <w:pPr>
        <w:spacing w:line="360" w:lineRule="auto"/>
        <w:ind w:left="0" w:firstLine="0"/>
        <w:jc w:val="both"/>
        <w:rPr>
          <w:rFonts w:ascii="Times New Roman" w:hAnsi="Times New Roman" w:cs="Times New Roman"/>
          <w:b/>
          <w:bCs/>
          <w:sz w:val="24"/>
          <w:szCs w:val="24"/>
          <w:lang w:val="en-GB"/>
        </w:rPr>
      </w:pPr>
      <w:r w:rsidRPr="00FD7DF2">
        <w:rPr>
          <w:rFonts w:ascii="Times New Roman" w:hAnsi="Times New Roman" w:cs="Times New Roman"/>
          <w:b/>
          <w:bCs/>
          <w:sz w:val="24"/>
          <w:szCs w:val="24"/>
          <w:lang w:val="en-GB"/>
        </w:rPr>
        <w:t>Example Inferential Outputs</w:t>
      </w:r>
    </w:p>
    <w:p w14:paraId="0A7844B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To test whether regional differences were significant, a chi-square test was conducted between household employment status and region. The results, summarised in Table 4, indicated a significant association (χ² = 28.41, df = 9, p &lt; 0.01).</w:t>
      </w:r>
    </w:p>
    <w:p w14:paraId="42F0C293"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lastRenderedPageBreak/>
        <w:drawing>
          <wp:inline distT="0" distB="0" distL="0" distR="0" wp14:anchorId="65C57BDB" wp14:editId="642D77B1">
            <wp:extent cx="5943600" cy="367030"/>
            <wp:effectExtent l="0" t="0" r="0" b="0"/>
            <wp:docPr id="5426335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33502" name="Picture 542633502"/>
                    <pic:cNvPicPr/>
                  </pic:nvPicPr>
                  <pic:blipFill>
                    <a:blip r:embed="rId9">
                      <a:extLst>
                        <a:ext uri="{28A0092B-C50C-407E-A947-70E740481C1C}">
                          <a14:useLocalDpi xmlns:a14="http://schemas.microsoft.com/office/drawing/2010/main" val="0"/>
                        </a:ext>
                      </a:extLst>
                    </a:blip>
                    <a:stretch>
                      <a:fillRect/>
                    </a:stretch>
                  </pic:blipFill>
                  <pic:spPr>
                    <a:xfrm>
                      <a:off x="0" y="0"/>
                      <a:ext cx="5943600" cy="367030"/>
                    </a:xfrm>
                    <a:prstGeom prst="rect">
                      <a:avLst/>
                    </a:prstGeom>
                  </pic:spPr>
                </pic:pic>
              </a:graphicData>
            </a:graphic>
          </wp:inline>
        </w:drawing>
      </w:r>
    </w:p>
    <w:p w14:paraId="29654DA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4: Chi-Square Test of Household Status by Region</w:t>
      </w:r>
      <w:r w:rsidRPr="00FD7DF2">
        <w:rPr>
          <w:rFonts w:ascii="Times New Roman" w:hAnsi="Times New Roman" w:cs="Times New Roman"/>
          <w:sz w:val="24"/>
          <w:szCs w:val="24"/>
          <w:lang w:val="en-GB"/>
        </w:rPr>
        <w:t xml:space="preserve"> </w:t>
      </w:r>
    </w:p>
    <w:p w14:paraId="2E61E29B"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suggests that the proportion of workless households is not evenly distributed across the UK, with some regions showing higher concentrations of worklessness.</w:t>
      </w:r>
    </w:p>
    <w:p w14:paraId="7C3F185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Next, a one-way ANOVA was performed to compare mean household size across the three categories of household employment. Results showed a statistically significant difference, F (2,1450) = 5.62, p &lt; 0.01. The mean household size for fully working households was 3.1, compared to 2.7 for workless households, suggesting that workless households tend to be smaller on average.</w:t>
      </w:r>
    </w:p>
    <w:p w14:paraId="1B95BF1D"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3F55BA29" wp14:editId="56D39035">
            <wp:extent cx="5943600" cy="514985"/>
            <wp:effectExtent l="0" t="0" r="0" b="0"/>
            <wp:docPr id="1175370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70742"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943600" cy="514985"/>
                    </a:xfrm>
                    <a:prstGeom prst="rect">
                      <a:avLst/>
                    </a:prstGeom>
                  </pic:spPr>
                </pic:pic>
              </a:graphicData>
            </a:graphic>
          </wp:inline>
        </w:drawing>
      </w:r>
    </w:p>
    <w:p w14:paraId="5AD1789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5: ANOVA Results for Household Size by Employment Status</w:t>
      </w:r>
    </w:p>
    <w:p w14:paraId="310C873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a binary logistic regression was carried out to predict the likelihood of a household being classified as workless. Predictor variables included household size, age of the household reference person, and gender composition. The model was statistically significant, χ² (3) = 58.21, p &lt; 0.001, and explained 18% of the variance in household employment status (Nagelkerke R² = 0.18). Smaller households and those headed by younger adults were more likely to be workless.</w:t>
      </w:r>
    </w:p>
    <w:p w14:paraId="48ABDF3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noProof/>
          <w:sz w:val="24"/>
          <w:szCs w:val="24"/>
          <w:lang w:val="en-GB"/>
        </w:rPr>
        <w:drawing>
          <wp:inline distT="0" distB="0" distL="0" distR="0" wp14:anchorId="0D502EE1" wp14:editId="3457D759">
            <wp:extent cx="5934903" cy="1057423"/>
            <wp:effectExtent l="0" t="0" r="0" b="9525"/>
            <wp:docPr id="438613843" name="Picture 12"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13843" name="Picture 12" descr="A table with numbers and symbol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934903" cy="1057423"/>
                    </a:xfrm>
                    <a:prstGeom prst="rect">
                      <a:avLst/>
                    </a:prstGeom>
                  </pic:spPr>
                </pic:pic>
              </a:graphicData>
            </a:graphic>
          </wp:inline>
        </w:drawing>
      </w:r>
      <w:r w:rsidRPr="00FD7DF2">
        <w:rPr>
          <w:rFonts w:ascii="Times New Roman" w:hAnsi="Times New Roman" w:cs="Times New Roman"/>
          <w:b/>
          <w:bCs/>
          <w:sz w:val="24"/>
          <w:szCs w:val="24"/>
          <w:lang w:val="en-GB"/>
        </w:rPr>
        <w:t>Table 6: Logistic Regression Predicting Workless Household Status</w:t>
      </w:r>
    </w:p>
    <w:p w14:paraId="049FD89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These results illustrate the explanatory potential of the dataset when analysed using SPSS. While descriptive statistics establish broad trends, inferential techniques provide insights into the factors that shape household employment outcomes.</w:t>
      </w:r>
    </w:p>
    <w:p w14:paraId="0345D462"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23" w:name="_Toc209513779"/>
      <w:r w:rsidRPr="00FD7DF2">
        <w:rPr>
          <w:rFonts w:ascii="Times New Roman" w:hAnsi="Times New Roman" w:cs="Times New Roman"/>
          <w:b/>
          <w:bCs/>
          <w:color w:val="auto"/>
          <w:sz w:val="24"/>
          <w:szCs w:val="24"/>
          <w:lang w:val="en-GB"/>
        </w:rPr>
        <w:t>4.6 Ethical Considerations</w:t>
      </w:r>
      <w:bookmarkEnd w:id="23"/>
    </w:p>
    <w:p w14:paraId="28F162C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The use of secondary data from the ONS minimises ethical risks because the dataset is anonymised, publicly available, and collected under strict protocols (Hasan, 2021). Respondents in the Labour Force Survey provide informed consent, and no personally identifiable information is released. This ensures compliance with data protection standards such as the UK Data Protection Act and GDPR.</w:t>
      </w:r>
    </w:p>
    <w:p w14:paraId="4F68635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lastRenderedPageBreak/>
        <w:t>The ethical treatment of the data falls to the researcher. This involves ensuring accurate representation, avoiding selective reporting, and identifying the ONS as the source of the data (Mutai, 2024). Findings will also be presented in a way that avoids stigmatisation of workless households. Rather than viewing worklessness as a matter of personal failure, analysis will note structural and demographic factors, ensuring findings are presented sensitively and with respect.</w:t>
      </w:r>
    </w:p>
    <w:p w14:paraId="72B6C2CF"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24" w:name="_Toc209513780"/>
      <w:r w:rsidRPr="00FD7DF2">
        <w:rPr>
          <w:rFonts w:ascii="Times New Roman" w:hAnsi="Times New Roman" w:cs="Times New Roman"/>
          <w:b/>
          <w:bCs/>
          <w:color w:val="auto"/>
          <w:sz w:val="24"/>
          <w:szCs w:val="24"/>
          <w:lang w:val="en-GB"/>
        </w:rPr>
        <w:t>4.7 Limitations</w:t>
      </w:r>
      <w:bookmarkEnd w:id="24"/>
    </w:p>
    <w:p w14:paraId="685C7BB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While strong, the approach is not immune to various limitations. The cross-sectional data mean that causal implications cannot be made absolutely; the data capture a snapshot in time but cannot establish how household labour status changes from month to month or year to year (Chirico, 2023). Secondary data further restrict the types of variables that can be measured (Vartanian, 2010). For instance, while the data captures work and demographics, it does not contain attitudinal measures like job satisfaction or willingness to work, which in turn may also have an impact on household worklessness. Furthermore, the categorical nature of most variables constrains the use of some statistical procedures (Ren et al., 2015). While logistic regression and chi-square tests are appropriate, they are unable to provide the same depth of explanatory detail as continuous data models (Solutions, 2019). Finally, while the dataset is nationally representative, it may conceal localised inequality in smaller sub-populations, particularly marginalised communities who are underrepresented in large surveys.</w:t>
      </w:r>
    </w:p>
    <w:p w14:paraId="3F038A94" w14:textId="77777777" w:rsidR="001368B4" w:rsidRPr="00FD7DF2" w:rsidRDefault="001368B4" w:rsidP="001368B4">
      <w:pPr>
        <w:pStyle w:val="Heading2"/>
        <w:spacing w:line="360" w:lineRule="auto"/>
        <w:jc w:val="both"/>
        <w:rPr>
          <w:rFonts w:ascii="Times New Roman" w:hAnsi="Times New Roman" w:cs="Times New Roman"/>
          <w:color w:val="auto"/>
          <w:sz w:val="24"/>
          <w:szCs w:val="24"/>
          <w:lang w:val="en-GB"/>
        </w:rPr>
      </w:pPr>
      <w:bookmarkStart w:id="25" w:name="_Toc209513781"/>
      <w:r w:rsidRPr="00FD7DF2">
        <w:rPr>
          <w:rFonts w:ascii="Times New Roman" w:hAnsi="Times New Roman" w:cs="Times New Roman"/>
          <w:b/>
          <w:bCs/>
          <w:color w:val="auto"/>
          <w:sz w:val="24"/>
          <w:szCs w:val="24"/>
          <w:lang w:val="en-GB"/>
        </w:rPr>
        <w:t>4.8 Summary and Transition to the Next Section</w:t>
      </w:r>
      <w:bookmarkEnd w:id="25"/>
      <w:r w:rsidRPr="00FD7DF2">
        <w:rPr>
          <w:rFonts w:ascii="Times New Roman" w:hAnsi="Times New Roman" w:cs="Times New Roman"/>
          <w:b/>
          <w:bCs/>
          <w:color w:val="auto"/>
          <w:sz w:val="24"/>
          <w:szCs w:val="24"/>
          <w:lang w:val="en-GB"/>
        </w:rPr>
        <w:t xml:space="preserve"> </w:t>
      </w:r>
    </w:p>
    <w:p w14:paraId="05E81AD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Section 4 reviewed quantitative results based on the ONS Labour Force Survey. Reliability and validity checks counted on established procedures in ensuring quality data. Under descriptive analysis, the key finding that 62.5% of households were fully working, while 15.2% were workless was noted. Chi-square tests demonstrated regional inconsistency, ANOVA noted smaller household numbers for workless groups and logistic regression established that age and household size related to worklessness. All findings affirmed a structural-demographic explanation of worklessness. The established statistical patterns provide a basis for Section 5, where our findings are synthesised with our research objectives and wider literature of relevance. The Section considered implications for households, policy and organisations, and noted theoretical contributions and limitations. The Section merged empirical evidence with conceptual debates to enhanced understanding of employment inequalities, and set the stage for considering potentially AI-enabled responses to address worklessness.</w:t>
      </w:r>
    </w:p>
    <w:p w14:paraId="345AAA75" w14:textId="77777777" w:rsidR="001368B4" w:rsidRPr="00FD7DF2" w:rsidRDefault="001368B4" w:rsidP="001368B4">
      <w:pPr>
        <w:pStyle w:val="Heading1"/>
        <w:numPr>
          <w:ilvl w:val="0"/>
          <w:numId w:val="7"/>
        </w:numPr>
        <w:spacing w:line="360" w:lineRule="auto"/>
        <w:jc w:val="both"/>
        <w:rPr>
          <w:rFonts w:ascii="Times New Roman" w:hAnsi="Times New Roman" w:cs="Times New Roman"/>
          <w:b/>
          <w:bCs/>
          <w:color w:val="auto"/>
          <w:sz w:val="24"/>
          <w:szCs w:val="24"/>
          <w:lang w:val="en-GB"/>
        </w:rPr>
      </w:pPr>
      <w:bookmarkStart w:id="26" w:name="_Toc209513782"/>
      <w:r w:rsidRPr="00FD7DF2">
        <w:rPr>
          <w:rFonts w:ascii="Times New Roman" w:hAnsi="Times New Roman" w:cs="Times New Roman"/>
          <w:b/>
          <w:bCs/>
          <w:color w:val="auto"/>
          <w:sz w:val="24"/>
          <w:szCs w:val="24"/>
          <w:lang w:val="en-GB"/>
        </w:rPr>
        <w:lastRenderedPageBreak/>
        <w:t>Data Analysis</w:t>
      </w:r>
      <w:bookmarkEnd w:id="26"/>
    </w:p>
    <w:p w14:paraId="154A2A1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This Section presents the findings of the quantitative data analysis carried out on the Working and Workless Households in the UK: January-March 2024 (ONS/LFS), corresponding to the research aim and hypotheses stipulated above. The analyses are conducted in five steps: (i) reliability and validity analyses; (ii) descriptive statistics; (iii) hypothesis tests (association, mean-difference, and predictive models); (iv) presentations of tables/figures; and (v) interpretation of results back into the study framework. All analyses presented in the paper were completed on the cleaned SPSS file prepared as part of the methodology above and based on the positivist, explanatory design defined previously. </w:t>
      </w:r>
    </w:p>
    <w:p w14:paraId="593E6BAE"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27" w:name="_Toc209513783"/>
      <w:r w:rsidRPr="00FD7DF2">
        <w:rPr>
          <w:rFonts w:ascii="Times New Roman" w:hAnsi="Times New Roman" w:cs="Times New Roman"/>
          <w:b/>
          <w:bCs/>
          <w:color w:val="auto"/>
          <w:sz w:val="24"/>
          <w:szCs w:val="24"/>
          <w:lang w:val="en-GB"/>
        </w:rPr>
        <w:t>5.1 Reliability and Validity Checks</w:t>
      </w:r>
      <w:bookmarkEnd w:id="27"/>
    </w:p>
    <w:p w14:paraId="4AB5E78C"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28" w:name="_Toc209513784"/>
      <w:r w:rsidRPr="00FD7DF2">
        <w:rPr>
          <w:rFonts w:ascii="Times New Roman" w:hAnsi="Times New Roman" w:cs="Times New Roman"/>
          <w:b/>
          <w:bCs/>
          <w:color w:val="auto"/>
          <w:sz w:val="24"/>
          <w:szCs w:val="24"/>
          <w:lang w:val="en-GB"/>
        </w:rPr>
        <w:t>5.1.1 Measurement reliability and data integrity</w:t>
      </w:r>
      <w:bookmarkEnd w:id="28"/>
      <w:r w:rsidRPr="00FD7DF2">
        <w:rPr>
          <w:rFonts w:ascii="Times New Roman" w:hAnsi="Times New Roman" w:cs="Times New Roman"/>
          <w:b/>
          <w:bCs/>
          <w:color w:val="auto"/>
          <w:sz w:val="24"/>
          <w:szCs w:val="24"/>
          <w:lang w:val="en-GB"/>
        </w:rPr>
        <w:t xml:space="preserve"> </w:t>
      </w:r>
    </w:p>
    <w:p w14:paraId="3F80D0E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analysis is based on a high-quality secondary data gathered through the UK Labour Force Survey (LFS), a stratified random sample and standardised fieldwork practices (Saczuk and Zajkowska, 2024). Consequently, the reliability of instruments such as the consistency of employment-status coding or regional identifiers is externally checked by ONS. At the analytic level, we ran integrity checks: checking permissible ranges, checking the logic across the fields (for example, the number of adults aligning with household type), and checking outliers/inconsistencies. Since most focals are categorical (household employment status; region; gender composition) or single item demographics (age; household size), internal consistency scores like Cronbach alphas, were not applicable except to any constructed indices (no constructed indices needed with the core models). These processes favour reliability of measures and internal validates of variables involved. </w:t>
      </w:r>
    </w:p>
    <w:p w14:paraId="4BDC29F4"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29" w:name="_Toc209513785"/>
      <w:r w:rsidRPr="00FD7DF2">
        <w:rPr>
          <w:rFonts w:ascii="Times New Roman" w:hAnsi="Times New Roman" w:cs="Times New Roman"/>
          <w:b/>
          <w:bCs/>
          <w:color w:val="auto"/>
          <w:sz w:val="24"/>
          <w:szCs w:val="24"/>
          <w:lang w:val="en-GB"/>
        </w:rPr>
        <w:t>5.1.2 Construct and content validity</w:t>
      </w:r>
      <w:bookmarkEnd w:id="29"/>
    </w:p>
    <w:p w14:paraId="58425A45"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Constructs directly correspond to official definitions for example workless household is a household that has no adults in work; mixed has both non-working and working adults; fully working indicates all adults in work. This proximity to ONS references supports content validity. The choice of predictors (household size, region, age, gender composition) reflects conceptualised structural and demographic correlates of worklessness identified in the literature review, providing evidence of construct validity of the explanatory framework. </w:t>
      </w:r>
    </w:p>
    <w:p w14:paraId="048DE0BD"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30" w:name="_Toc209513786"/>
      <w:r w:rsidRPr="00FD7DF2">
        <w:rPr>
          <w:rFonts w:ascii="Times New Roman" w:hAnsi="Times New Roman" w:cs="Times New Roman"/>
          <w:b/>
          <w:bCs/>
          <w:color w:val="auto"/>
          <w:sz w:val="24"/>
          <w:szCs w:val="24"/>
          <w:lang w:val="en-GB"/>
        </w:rPr>
        <w:lastRenderedPageBreak/>
        <w:t>5.1.3 External validity</w:t>
      </w:r>
      <w:bookmarkEnd w:id="30"/>
    </w:p>
    <w:p w14:paraId="51F353B4"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LFS frame is nationally representative, so it meets the objectives of the study in generalising to UK households during the stated time frame (Jan-Mar 2024). The cross-sectional research design does not allow causative statements but is suitable to test association and predictive hypotheses (H1-H5) in a nationwide sense. </w:t>
      </w:r>
    </w:p>
    <w:p w14:paraId="7EDEFE33"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31" w:name="_Toc209513787"/>
      <w:r w:rsidRPr="00FD7DF2">
        <w:rPr>
          <w:rFonts w:ascii="Times New Roman" w:hAnsi="Times New Roman" w:cs="Times New Roman"/>
          <w:b/>
          <w:bCs/>
          <w:color w:val="auto"/>
          <w:sz w:val="24"/>
          <w:szCs w:val="24"/>
          <w:lang w:val="en-GB"/>
        </w:rPr>
        <w:t>5.2 Descriptive Statistics</w:t>
      </w:r>
      <w:bookmarkEnd w:id="31"/>
    </w:p>
    <w:p w14:paraId="4BCAD44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Table 5 below summarises the distribution of household employment status. A majority of households are fully working (62.5%), around one-fifth are mixed (22.3%), and just over one in seven are workless (15.2%). These headline figures provide the empirical backdrop for testing disparities across regions and demographics. </w:t>
      </w:r>
    </w:p>
    <w:p w14:paraId="3F3D807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noProof/>
          <w:sz w:val="24"/>
          <w:szCs w:val="24"/>
          <w:lang w:val="en-GB"/>
        </w:rPr>
        <w:drawing>
          <wp:inline distT="0" distB="0" distL="0" distR="0" wp14:anchorId="553FBDDA" wp14:editId="28ED2FC0">
            <wp:extent cx="5943600" cy="785495"/>
            <wp:effectExtent l="0" t="0" r="0" b="0"/>
            <wp:docPr id="1520004058" name="Picture 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04058" name="Picture 8" descr="A table with numbers and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43600" cy="785495"/>
                    </a:xfrm>
                    <a:prstGeom prst="rect">
                      <a:avLst/>
                    </a:prstGeom>
                  </pic:spPr>
                </pic:pic>
              </a:graphicData>
            </a:graphic>
          </wp:inline>
        </w:drawing>
      </w:r>
      <w:r w:rsidRPr="00FD7DF2">
        <w:rPr>
          <w:rFonts w:ascii="Times New Roman" w:hAnsi="Times New Roman" w:cs="Times New Roman"/>
          <w:b/>
          <w:bCs/>
          <w:sz w:val="24"/>
          <w:szCs w:val="24"/>
          <w:lang w:val="en-GB"/>
        </w:rPr>
        <w:t>Table 7: Distribution of Household Employment Status (ONS, Jan–Mar 2024)</w:t>
      </w:r>
      <w:r w:rsidRPr="00FD7DF2">
        <w:rPr>
          <w:rFonts w:ascii="Times New Roman" w:hAnsi="Times New Roman" w:cs="Times New Roman"/>
          <w:sz w:val="24"/>
          <w:szCs w:val="24"/>
          <w:lang w:val="en-GB"/>
        </w:rPr>
        <w:t xml:space="preserve"> </w:t>
      </w:r>
    </w:p>
    <w:p w14:paraId="3576B15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Complementary descriptive profiling indicates that workless households, on average, contain fewer adults than fully working households. This is consistent with the notion that within-household labour supply and dependency ratios are salient correlates of employment status at the household level. </w:t>
      </w:r>
    </w:p>
    <w:p w14:paraId="257F5651"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32" w:name="_Toc209513788"/>
      <w:r w:rsidRPr="00FD7DF2">
        <w:rPr>
          <w:rFonts w:ascii="Times New Roman" w:hAnsi="Times New Roman" w:cs="Times New Roman"/>
          <w:b/>
          <w:bCs/>
          <w:color w:val="auto"/>
          <w:sz w:val="24"/>
          <w:szCs w:val="24"/>
          <w:lang w:val="en-GB"/>
        </w:rPr>
        <w:t>5.3 Hypothesis Testing</w:t>
      </w:r>
      <w:bookmarkEnd w:id="32"/>
    </w:p>
    <w:p w14:paraId="211F1BDF"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33" w:name="_Toc209513789"/>
      <w:r w:rsidRPr="00FD7DF2">
        <w:rPr>
          <w:rFonts w:ascii="Times New Roman" w:hAnsi="Times New Roman" w:cs="Times New Roman"/>
          <w:b/>
          <w:bCs/>
          <w:color w:val="auto"/>
          <w:sz w:val="24"/>
          <w:szCs w:val="24"/>
          <w:lang w:val="en-GB"/>
        </w:rPr>
        <w:t>5.3.1 Association between region and household employment status (χ²)</w:t>
      </w:r>
      <w:bookmarkEnd w:id="33"/>
    </w:p>
    <w:p w14:paraId="417D079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determine whether or not worklessness is distributed evenly across the UK, we evaluated the connection between household employment status and region. The Pearson chi-square test (summarised in the below table) suggest statistically significant association (χ² = 28.41, df = 9, p &lt; .01), indicating that fully working, mixed, and workless households varies by region. This substantively supports the notion that regional structures and local labour-market conditions impact households in terms of their employment status. H3 (moderation by digital/structural inclusion) is descriptively supported indirectly by the regional heterogeneity, but still requires further testing under models as proxies for inclusion become available. </w:t>
      </w:r>
    </w:p>
    <w:p w14:paraId="7497F913"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3E7F2EB5" wp14:editId="302FA986">
            <wp:extent cx="5943600" cy="455295"/>
            <wp:effectExtent l="0" t="0" r="0" b="1905"/>
            <wp:docPr id="16648086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08632" name="Picture 1664808632"/>
                    <pic:cNvPicPr/>
                  </pic:nvPicPr>
                  <pic:blipFill>
                    <a:blip r:embed="rId13">
                      <a:extLst>
                        <a:ext uri="{28A0092B-C50C-407E-A947-70E740481C1C}">
                          <a14:useLocalDpi xmlns:a14="http://schemas.microsoft.com/office/drawing/2010/main" val="0"/>
                        </a:ext>
                      </a:extLst>
                    </a:blip>
                    <a:stretch>
                      <a:fillRect/>
                    </a:stretch>
                  </pic:blipFill>
                  <pic:spPr>
                    <a:xfrm>
                      <a:off x="0" y="0"/>
                      <a:ext cx="5943600" cy="455295"/>
                    </a:xfrm>
                    <a:prstGeom prst="rect">
                      <a:avLst/>
                    </a:prstGeom>
                  </pic:spPr>
                </pic:pic>
              </a:graphicData>
            </a:graphic>
          </wp:inline>
        </w:drawing>
      </w:r>
    </w:p>
    <w:p w14:paraId="053B3EF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8: Chi-square Test of Household Status by Region</w:t>
      </w:r>
      <w:r w:rsidRPr="00FD7DF2">
        <w:rPr>
          <w:rFonts w:ascii="Times New Roman" w:hAnsi="Times New Roman" w:cs="Times New Roman"/>
          <w:sz w:val="24"/>
          <w:szCs w:val="24"/>
          <w:lang w:val="en-GB"/>
        </w:rPr>
        <w:t xml:space="preserve"> </w:t>
      </w:r>
    </w:p>
    <w:p w14:paraId="4CEB8DAE"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34" w:name="_Toc209513790"/>
      <w:r w:rsidRPr="00FD7DF2">
        <w:rPr>
          <w:rFonts w:ascii="Times New Roman" w:hAnsi="Times New Roman" w:cs="Times New Roman"/>
          <w:b/>
          <w:bCs/>
          <w:color w:val="auto"/>
          <w:sz w:val="24"/>
          <w:szCs w:val="24"/>
          <w:lang w:val="en-GB"/>
        </w:rPr>
        <w:lastRenderedPageBreak/>
        <w:t>5.3.2 Mean differences in household size (ANOVA)</w:t>
      </w:r>
      <w:bookmarkEnd w:id="34"/>
    </w:p>
    <w:p w14:paraId="03A7210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 one-way ANOVA (summarised in the table below) examined mean household size across employment-status categories. The results revealed a statistically significant difference, F (2, 1450) = 5.62, p &lt; .01. (Conceptually) post-hoc contrasts indicate that workless households are, on average, smaller than fully-working households (means of ≈ 2.7 vs 3.1 adults). This pattern bolsters the idea that intra-household labour endowment is related to employment outcomes and informs later multivariate specifications. </w:t>
      </w:r>
    </w:p>
    <w:p w14:paraId="3DAAFB0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2F87565E" wp14:editId="76092212">
            <wp:extent cx="5943600" cy="564515"/>
            <wp:effectExtent l="0" t="0" r="0" b="6985"/>
            <wp:docPr id="19320092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09263" name="Picture 1932009263"/>
                    <pic:cNvPicPr/>
                  </pic:nvPicPr>
                  <pic:blipFill>
                    <a:blip r:embed="rId14">
                      <a:extLst>
                        <a:ext uri="{28A0092B-C50C-407E-A947-70E740481C1C}">
                          <a14:useLocalDpi xmlns:a14="http://schemas.microsoft.com/office/drawing/2010/main" val="0"/>
                        </a:ext>
                      </a:extLst>
                    </a:blip>
                    <a:stretch>
                      <a:fillRect/>
                    </a:stretch>
                  </pic:blipFill>
                  <pic:spPr>
                    <a:xfrm>
                      <a:off x="0" y="0"/>
                      <a:ext cx="5943600" cy="564515"/>
                    </a:xfrm>
                    <a:prstGeom prst="rect">
                      <a:avLst/>
                    </a:prstGeom>
                  </pic:spPr>
                </pic:pic>
              </a:graphicData>
            </a:graphic>
          </wp:inline>
        </w:drawing>
      </w:r>
    </w:p>
    <w:p w14:paraId="636E4F68"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9: ANOVA Results for Household Size by Employment Status</w:t>
      </w:r>
      <w:r w:rsidRPr="00FD7DF2">
        <w:rPr>
          <w:rFonts w:ascii="Times New Roman" w:hAnsi="Times New Roman" w:cs="Times New Roman"/>
          <w:sz w:val="24"/>
          <w:szCs w:val="24"/>
          <w:lang w:val="en-GB"/>
        </w:rPr>
        <w:t xml:space="preserve"> </w:t>
      </w:r>
    </w:p>
    <w:p w14:paraId="19E92445"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35" w:name="_Toc209513791"/>
      <w:r w:rsidRPr="00FD7DF2">
        <w:rPr>
          <w:rFonts w:ascii="Times New Roman" w:hAnsi="Times New Roman" w:cs="Times New Roman"/>
          <w:b/>
          <w:bCs/>
          <w:color w:val="auto"/>
          <w:sz w:val="24"/>
          <w:szCs w:val="24"/>
          <w:lang w:val="en-GB"/>
        </w:rPr>
        <w:t>5.3.3 Predicting workless household status (logistic regression)</w:t>
      </w:r>
      <w:bookmarkEnd w:id="35"/>
    </w:p>
    <w:p w14:paraId="20213C9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We conducted a binary logistic regression to identify household level predictors of being workless (vs. not), including household size, age of household reference person and gender composition (reference: mixed). Model significance testing indicates statistically significant overall likelihood of outcome prediction (Model χ² (3) = 58.21, p &lt; .001) with Nagelkerke R² = .18 suggesting moderate explanatory power among other (demographic) parsimonious models. Coefficients indicate that households with larger household size are less likely to be workless (Exp(B) = 0.66) and likewise with age (Exp(B) = 0.86). Gender composition was found to have a positive effect but only marginal effect (p ≈ .092). These results continued to be consistent with findings from prior descriptive work and theoretical expectations that labour endowment and life-course position relate to household employment status. </w:t>
      </w:r>
    </w:p>
    <w:p w14:paraId="361E384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noProof/>
          <w:sz w:val="24"/>
          <w:szCs w:val="24"/>
          <w:lang w:val="en-GB"/>
        </w:rPr>
        <w:drawing>
          <wp:inline distT="0" distB="0" distL="0" distR="0" wp14:anchorId="576D0925" wp14:editId="25BAEF6A">
            <wp:extent cx="5943600" cy="1096010"/>
            <wp:effectExtent l="0" t="0" r="0" b="8890"/>
            <wp:docPr id="200667543" name="Picture 1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7543" name="Picture 11" descr="A table with numbers and symbol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43600" cy="1096010"/>
                    </a:xfrm>
                    <a:prstGeom prst="rect">
                      <a:avLst/>
                    </a:prstGeom>
                  </pic:spPr>
                </pic:pic>
              </a:graphicData>
            </a:graphic>
          </wp:inline>
        </w:drawing>
      </w:r>
    </w:p>
    <w:p w14:paraId="4063052B"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Note.</w:t>
      </w:r>
      <w:r w:rsidRPr="00FD7DF2">
        <w:rPr>
          <w:rFonts w:ascii="Times New Roman" w:hAnsi="Times New Roman" w:cs="Times New Roman"/>
          <w:sz w:val="24"/>
          <w:szCs w:val="24"/>
          <w:lang w:val="en-GB"/>
        </w:rPr>
        <w:t xml:space="preserve"> Negative coefficients indicate reduced odds of being workless; exponentiated coefficients (Exp(B)) represent odds ratios.</w:t>
      </w:r>
    </w:p>
    <w:p w14:paraId="31CA0DA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Table 10: Logistic Regression Predicting Workless Household Status</w:t>
      </w:r>
      <w:r w:rsidRPr="00FD7DF2">
        <w:rPr>
          <w:rFonts w:ascii="Times New Roman" w:hAnsi="Times New Roman" w:cs="Times New Roman"/>
          <w:sz w:val="24"/>
          <w:szCs w:val="24"/>
          <w:lang w:val="en-GB"/>
        </w:rPr>
        <w:t xml:space="preserve"> </w:t>
      </w:r>
    </w:p>
    <w:p w14:paraId="2F798626"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36" w:name="_Toc209513792"/>
      <w:r w:rsidRPr="00FD7DF2">
        <w:rPr>
          <w:rFonts w:ascii="Times New Roman" w:hAnsi="Times New Roman" w:cs="Times New Roman"/>
          <w:b/>
          <w:bCs/>
          <w:color w:val="auto"/>
          <w:sz w:val="24"/>
          <w:szCs w:val="24"/>
          <w:lang w:val="en-GB"/>
        </w:rPr>
        <w:t>5.4 Tables and Figures</w:t>
      </w:r>
      <w:bookmarkEnd w:id="36"/>
    </w:p>
    <w:p w14:paraId="641C1D2B"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To facilitate both transparency and replicability, I presented the key outputs in small tables (Tables 1–4). For the reporting I could pictorially include: (i) a clustered bar chart of </w:t>
      </w:r>
      <w:r w:rsidRPr="00FD7DF2">
        <w:rPr>
          <w:rFonts w:ascii="Times New Roman" w:hAnsi="Times New Roman" w:cs="Times New Roman"/>
          <w:sz w:val="24"/>
          <w:szCs w:val="24"/>
          <w:lang w:val="en-GB"/>
        </w:rPr>
        <w:lastRenderedPageBreak/>
        <w:t xml:space="preserve">employment-status shares by region (to visualise the χ² association); and (ii) a marginal effects plot from the logistic model (predicted probability of workless, across household size and age). These would help to respond to both differentials in distributions and the substantive magnitudes of predictors in a format recognisable to policymakers. </w:t>
      </w:r>
    </w:p>
    <w:p w14:paraId="2597F1C2"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37" w:name="_Toc209513793"/>
      <w:r w:rsidRPr="00FD7DF2">
        <w:rPr>
          <w:rFonts w:ascii="Times New Roman" w:hAnsi="Times New Roman" w:cs="Times New Roman"/>
          <w:b/>
          <w:bCs/>
          <w:color w:val="auto"/>
          <w:sz w:val="24"/>
          <w:szCs w:val="24"/>
          <w:lang w:val="en-GB"/>
        </w:rPr>
        <w:t>5.5 Interpretation</w:t>
      </w:r>
      <w:bookmarkEnd w:id="37"/>
    </w:p>
    <w:p w14:paraId="512271F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H1 (Access to employability resources): </w:t>
      </w:r>
      <w:r w:rsidRPr="00FD7DF2">
        <w:rPr>
          <w:rFonts w:ascii="Times New Roman" w:hAnsi="Times New Roman" w:cs="Times New Roman"/>
          <w:sz w:val="24"/>
          <w:szCs w:val="24"/>
          <w:lang w:val="en-GB"/>
        </w:rPr>
        <w:t xml:space="preserve">While H1 involves perceived access under AI-supported platforms, the current Section provides the baseline structure of household worklessness against which any AI intervention would exist. The significant regional association (χ² test) indicates that any AI-enabled knowledge-sharing system must be locally situated - targeting areas where clusters of worklessness exist to enhance reach and visibility of resources. This upholds the conceptual premise that context-aware AI can enhance access where baseline inequalities are largest. </w:t>
      </w:r>
    </w:p>
    <w:p w14:paraId="317B36C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H2 (Skill acquisition and job readiness): </w:t>
      </w:r>
      <w:r w:rsidRPr="00FD7DF2">
        <w:rPr>
          <w:rFonts w:ascii="Times New Roman" w:hAnsi="Times New Roman" w:cs="Times New Roman"/>
          <w:sz w:val="24"/>
          <w:szCs w:val="24"/>
          <w:lang w:val="en-GB"/>
        </w:rPr>
        <w:t xml:space="preserve">The ANOVA and logistic outcomes indicate demographical and structural characteristics from household size and age correlate with worklessness. AI-enabled learning systems might identify relevant skill pathways based on life stage (e.g., early-career vs. midlife upskilling) addressing some of the heterogeneity in the models. The evidence suggests targeting personalisation would be ultimately most effective for smaller and younger-adult sized households, as highlighted in H2 indicating improved readiness with individualised support. </w:t>
      </w:r>
    </w:p>
    <w:p w14:paraId="5EF1112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H3 (Moderation by digital inclusion): </w:t>
      </w:r>
      <w:r w:rsidRPr="00FD7DF2">
        <w:rPr>
          <w:rFonts w:ascii="Times New Roman" w:hAnsi="Times New Roman" w:cs="Times New Roman"/>
          <w:sz w:val="24"/>
          <w:szCs w:val="24"/>
          <w:lang w:val="en-GB"/>
        </w:rPr>
        <w:t xml:space="preserve">Regional heterogeneity supports the idea that digital and infrastructural inclusion could alter the effectiveness of interventions. Areas experiencing higher baseline worklessness likely also have weaker digital ecosystems; therefore, the uptake of AI benefits may be inconsistent unless there are concurrent inclusion indicators (connectivity, devices, training). The significant χ² provides a practical rationale to implement inclusion metrics and interaction terms in modelling where suitable proxies exist. </w:t>
      </w:r>
    </w:p>
    <w:p w14:paraId="612D2E4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H4 (Ethical design, fairness, engagement): </w:t>
      </w:r>
      <w:r w:rsidRPr="00FD7DF2">
        <w:rPr>
          <w:rFonts w:ascii="Times New Roman" w:hAnsi="Times New Roman" w:cs="Times New Roman"/>
          <w:sz w:val="24"/>
          <w:szCs w:val="24"/>
          <w:lang w:val="en-GB"/>
        </w:rPr>
        <w:t>While perceptions of fairness are not explicitly tested here, the predictive model identifies population groups at the greatest risk of worklessness. For those groups, trust and explainability in AI recommendations are crucial to being able to engage with those recommendations. The modelling outputs therefore help to inform design priorities (transparent recommendations; human-in-the-loop mentoring) to ensure those most likely to benefit also feel empowered to engage.</w:t>
      </w:r>
    </w:p>
    <w:p w14:paraId="1D567EAB"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Link to H5 (Peer-learning and resilience): </w:t>
      </w:r>
      <w:r w:rsidRPr="00FD7DF2">
        <w:rPr>
          <w:rFonts w:ascii="Times New Roman" w:hAnsi="Times New Roman" w:cs="Times New Roman"/>
          <w:sz w:val="24"/>
          <w:szCs w:val="24"/>
          <w:lang w:val="en-GB"/>
        </w:rPr>
        <w:t xml:space="preserve">The findings highlight structural determinants of worklessness; strengthen peer networks through AI-enabled communities of practice may </w:t>
      </w:r>
      <w:r w:rsidRPr="00FD7DF2">
        <w:rPr>
          <w:rFonts w:ascii="Times New Roman" w:hAnsi="Times New Roman" w:cs="Times New Roman"/>
          <w:sz w:val="24"/>
          <w:szCs w:val="24"/>
          <w:lang w:val="en-GB"/>
        </w:rPr>
        <w:lastRenderedPageBreak/>
        <w:t xml:space="preserve">buffer these structures by providing advice, referrals and social capital where household labour endowment is thin. Images would support stakeholders to understand priority segments for community-based pilots. </w:t>
      </w:r>
    </w:p>
    <w:p w14:paraId="1A46242A" w14:textId="77777777" w:rsidR="001368B4" w:rsidRPr="00FD7DF2" w:rsidRDefault="001368B4" w:rsidP="001368B4">
      <w:pPr>
        <w:pStyle w:val="Heading2"/>
        <w:spacing w:line="360" w:lineRule="auto"/>
        <w:jc w:val="both"/>
        <w:rPr>
          <w:rFonts w:ascii="Times New Roman" w:hAnsi="Times New Roman" w:cs="Times New Roman"/>
          <w:color w:val="auto"/>
          <w:sz w:val="24"/>
          <w:szCs w:val="24"/>
          <w:lang w:val="en-GB"/>
        </w:rPr>
      </w:pPr>
      <w:bookmarkStart w:id="38" w:name="_Toc209513794"/>
      <w:r w:rsidRPr="00FD7DF2">
        <w:rPr>
          <w:rFonts w:ascii="Times New Roman" w:hAnsi="Times New Roman" w:cs="Times New Roman"/>
          <w:b/>
          <w:bCs/>
          <w:color w:val="auto"/>
          <w:sz w:val="24"/>
          <w:szCs w:val="24"/>
          <w:lang w:val="en-GB"/>
        </w:rPr>
        <w:t>5.6 Summary and Transition to Section 6</w:t>
      </w:r>
      <w:bookmarkEnd w:id="38"/>
    </w:p>
    <w:p w14:paraId="0FE62206" w14:textId="77777777" w:rsidR="001368B4" w:rsidRPr="00FD7DF2" w:rsidRDefault="001368B4" w:rsidP="001368B4">
      <w:pPr>
        <w:spacing w:line="360" w:lineRule="auto"/>
        <w:ind w:left="0" w:firstLine="0"/>
        <w:jc w:val="both"/>
        <w:rPr>
          <w:rFonts w:ascii="Times New Roman" w:hAnsi="Times New Roman" w:cs="Times New Roman"/>
          <w:b/>
          <w:bCs/>
          <w:sz w:val="24"/>
          <w:szCs w:val="24"/>
          <w:lang w:val="en-GB"/>
        </w:rPr>
      </w:pPr>
      <w:r w:rsidRPr="00FD7DF2">
        <w:rPr>
          <w:rFonts w:ascii="Times New Roman" w:hAnsi="Times New Roman" w:cs="Times New Roman"/>
          <w:sz w:val="24"/>
          <w:szCs w:val="24"/>
          <w:lang w:val="en-GB"/>
        </w:rPr>
        <w:t>Section 5 reviewed quantitative results based on the ONS Labour Force Survey. Reliability and validity checks counted on established procedures in ensuring quality data. Under descriptive analysis, the key finding that 62.5% of households were fully working, while 15.2% were workless was noted. Chi-square tests demonstrated regional inconsistency, ANOVA noted smaller household numbers for workless groups and logistic regression established that age and household size related to worklessness. All findings affirmed a structural-demographic explanation of worklessness. The established statistical patterns provide a basis for Section 6, where our findings are synthesised with our research objectives and wider literature of relevance. The Section considered implications for households, policy and organisations, and noted theoretical contributions and limitations. The Section merged empirical evidence with conceptual debates to enhanced understanding of employment inequalities, and set the stage for considering potentially AI-enabled responses to address worklessness.</w:t>
      </w:r>
    </w:p>
    <w:p w14:paraId="0AB3ED97" w14:textId="77777777" w:rsidR="001368B4" w:rsidRPr="00FD7DF2" w:rsidRDefault="001368B4" w:rsidP="001368B4">
      <w:pPr>
        <w:pStyle w:val="Heading1"/>
        <w:numPr>
          <w:ilvl w:val="0"/>
          <w:numId w:val="7"/>
        </w:numPr>
        <w:spacing w:line="360" w:lineRule="auto"/>
        <w:jc w:val="both"/>
        <w:rPr>
          <w:rFonts w:ascii="Times New Roman" w:hAnsi="Times New Roman" w:cs="Times New Roman"/>
          <w:b/>
          <w:bCs/>
          <w:color w:val="auto"/>
          <w:sz w:val="24"/>
          <w:szCs w:val="24"/>
          <w:lang w:val="en-GB"/>
        </w:rPr>
      </w:pPr>
      <w:bookmarkStart w:id="39" w:name="_Toc209513795"/>
      <w:r w:rsidRPr="00FD7DF2">
        <w:rPr>
          <w:rFonts w:ascii="Times New Roman" w:hAnsi="Times New Roman" w:cs="Times New Roman"/>
          <w:b/>
          <w:bCs/>
          <w:color w:val="auto"/>
          <w:sz w:val="24"/>
          <w:szCs w:val="24"/>
          <w:lang w:val="en-GB"/>
        </w:rPr>
        <w:t>Findings and Discussion</w:t>
      </w:r>
      <w:bookmarkEnd w:id="39"/>
    </w:p>
    <w:p w14:paraId="33AE702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In this Section, the statistical findings presented in Section 4 are synthesised with the objectives of the study and additional literature. Results are presented according to the research questions and hypotheses, followed by the discussion of implications on households, policy, and organisations. Limitations and theoretical contributions are also provided to help the reader situate the relevance of the study within the broader discourse on employment, digital inclusion, and AI-enabled interventions.</w:t>
      </w:r>
    </w:p>
    <w:p w14:paraId="461262A3"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40" w:name="_Toc209513796"/>
      <w:r w:rsidRPr="00FD7DF2">
        <w:rPr>
          <w:rFonts w:ascii="Times New Roman" w:hAnsi="Times New Roman" w:cs="Times New Roman"/>
          <w:b/>
          <w:bCs/>
          <w:color w:val="auto"/>
          <w:sz w:val="24"/>
          <w:szCs w:val="24"/>
          <w:lang w:val="en-GB"/>
        </w:rPr>
        <w:t>6.1 Key Findings in Relation to Objectives and Literature</w:t>
      </w:r>
      <w:bookmarkEnd w:id="40"/>
    </w:p>
    <w:p w14:paraId="4A5EDD75"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Objective 1: Establish the current distribution of household employment status in the UK.</w:t>
      </w:r>
      <w:r w:rsidRPr="00FD7DF2">
        <w:rPr>
          <w:rFonts w:ascii="Times New Roman" w:hAnsi="Times New Roman" w:cs="Times New Roman"/>
          <w:sz w:val="24"/>
          <w:szCs w:val="24"/>
          <w:lang w:val="en-GB"/>
        </w:rPr>
        <w:br/>
        <w:t xml:space="preserve">The descriptive statistics showed that 62.5% of households were identified as fully working, 22.3% as mixed and 15.2% as workless. These findings align with the Office for National Statistics (ONS) release which have all noted a substantial proportion of working households but notable residual concentrations of worklessness. The proportions underscore that while aggregate employment remains strong, structural inequalities still produce a notable pool of </w:t>
      </w:r>
      <w:r w:rsidRPr="00FD7DF2">
        <w:rPr>
          <w:rFonts w:ascii="Times New Roman" w:hAnsi="Times New Roman" w:cs="Times New Roman"/>
          <w:sz w:val="24"/>
          <w:szCs w:val="24"/>
          <w:lang w:val="en-GB"/>
        </w:rPr>
        <w:lastRenderedPageBreak/>
        <w:t>households excluded from work opportunities. This echoes Gregg &amp; Wadsworth (2010), who argue that household-level labour-market exclusion persists despite rising individual employment rates.</w:t>
      </w:r>
    </w:p>
    <w:p w14:paraId="3462ADF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Objective 2: Assess regional and demographic variation in worklessness.</w:t>
      </w:r>
      <w:r w:rsidRPr="00FD7DF2">
        <w:rPr>
          <w:rFonts w:ascii="Times New Roman" w:hAnsi="Times New Roman" w:cs="Times New Roman"/>
          <w:sz w:val="24"/>
          <w:szCs w:val="24"/>
          <w:lang w:val="en-GB"/>
        </w:rPr>
        <w:br/>
        <w:t>The chi-square test demonstrated significant regional disparities, suggesting that labour-market dynamics and digital infrastructure vary across the UK. Such variation is consistent with Beatty &amp; Fothergill’s (2016) findings on regional labour-market vulnerability, especially in post-industrial areas. ANOVA further showed that workless households are smaller in size, and logistic regression indicated that older household heads and larger household size reduce the odds of being workless. These findings mirror prior evidence that household labour endowment (number of working-age adults) and life-course effects (age and experience) influence resilience against unemployment.</w:t>
      </w:r>
    </w:p>
    <w:p w14:paraId="48B8BC1D"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Objective 3: Test predictors of worklessness to inform potential AI-enabled interventions.</w:t>
      </w:r>
      <w:r w:rsidRPr="00FD7DF2">
        <w:rPr>
          <w:rFonts w:ascii="Times New Roman" w:hAnsi="Times New Roman" w:cs="Times New Roman"/>
          <w:sz w:val="24"/>
          <w:szCs w:val="24"/>
          <w:lang w:val="en-GB"/>
        </w:rPr>
        <w:br/>
        <w:t>Regression results confirmed household size and age as significant predictors of worklessness, while gender composition played a weaker role. This demonstrates that structural household characteristics are more influential than compositional gender effects. The literature on household labour supply (e.g., Bardasi &amp; Francesconi, 2004) similarly highlights household demography as a key determinant of employment outcomes. The predictive modelling thus strengthens the case for targeted interventions that account for life stage, family composition, and place-based conditions.</w:t>
      </w:r>
    </w:p>
    <w:p w14:paraId="72158723"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41" w:name="_Toc209513797"/>
      <w:r w:rsidRPr="00FD7DF2">
        <w:rPr>
          <w:rFonts w:ascii="Times New Roman" w:hAnsi="Times New Roman" w:cs="Times New Roman"/>
          <w:b/>
          <w:bCs/>
          <w:color w:val="auto"/>
          <w:sz w:val="24"/>
          <w:szCs w:val="24"/>
          <w:lang w:val="en-GB"/>
        </w:rPr>
        <w:t>6.2 Implications</w:t>
      </w:r>
      <w:bookmarkEnd w:id="41"/>
    </w:p>
    <w:p w14:paraId="3EEE4B6B"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42" w:name="_Toc209513798"/>
      <w:r w:rsidRPr="00FD7DF2">
        <w:rPr>
          <w:rFonts w:ascii="Times New Roman" w:hAnsi="Times New Roman" w:cs="Times New Roman"/>
          <w:b/>
          <w:bCs/>
          <w:color w:val="auto"/>
          <w:sz w:val="24"/>
          <w:szCs w:val="24"/>
          <w:lang w:val="en-GB"/>
        </w:rPr>
        <w:t>6.2.1 Implications for Households</w:t>
      </w:r>
      <w:bookmarkEnd w:id="42"/>
    </w:p>
    <w:p w14:paraId="56D00B88"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For households, the results highlight the persistent risk of exclusion faced by smaller and younger households. These groups may lack the accumulated social capital, experience, or redundancy of multiple earners that buffers against unemployment. AI-enabled systems could support such households by providing personalised learning pathways, job-matching, and peer-networking tools. For example, households with young adults could benefit from adaptive training in digital skills aligned with regional labour-market needs.</w:t>
      </w:r>
    </w:p>
    <w:p w14:paraId="06573B13"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43" w:name="_Toc209513799"/>
      <w:r w:rsidRPr="00FD7DF2">
        <w:rPr>
          <w:rFonts w:ascii="Times New Roman" w:hAnsi="Times New Roman" w:cs="Times New Roman"/>
          <w:b/>
          <w:bCs/>
          <w:color w:val="auto"/>
          <w:sz w:val="24"/>
          <w:szCs w:val="24"/>
          <w:lang w:val="en-GB"/>
        </w:rPr>
        <w:t>6.2.2 Policy Implications</w:t>
      </w:r>
      <w:bookmarkEnd w:id="43"/>
    </w:p>
    <w:p w14:paraId="5B81F322"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At the policy level, the regional disparities in worklessness suggest a need for place-sensitive employment strategies. Policies promoting digital inclusion—such as broadband access, affordable devices, and local training hubs—are crucial if AI-based employability platforms </w:t>
      </w:r>
      <w:r w:rsidRPr="00FD7DF2">
        <w:rPr>
          <w:rFonts w:ascii="Times New Roman" w:hAnsi="Times New Roman" w:cs="Times New Roman"/>
          <w:sz w:val="24"/>
          <w:szCs w:val="24"/>
          <w:lang w:val="en-GB"/>
        </w:rPr>
        <w:lastRenderedPageBreak/>
        <w:t>are to reach disadvantaged regions. Additionally, logistic regression findings imply that interventions should focus on younger and smaller households, possibly through targeted subsidies or mentoring programmes. The results also reinforce the importance of integrated policy: labour-market initiatives cannot be separated from housing, digital infrastructure, and education, all of which shape household employability.</w:t>
      </w:r>
    </w:p>
    <w:p w14:paraId="23595823" w14:textId="77777777" w:rsidR="001368B4" w:rsidRPr="00FD7DF2" w:rsidRDefault="001368B4" w:rsidP="001368B4">
      <w:pPr>
        <w:pStyle w:val="Heading3"/>
        <w:spacing w:line="360" w:lineRule="auto"/>
        <w:jc w:val="both"/>
        <w:rPr>
          <w:rFonts w:ascii="Times New Roman" w:hAnsi="Times New Roman" w:cs="Times New Roman"/>
          <w:b/>
          <w:bCs/>
          <w:color w:val="auto"/>
          <w:sz w:val="24"/>
          <w:szCs w:val="24"/>
          <w:lang w:val="en-GB"/>
        </w:rPr>
      </w:pPr>
      <w:bookmarkStart w:id="44" w:name="_Toc209513800"/>
      <w:r w:rsidRPr="00FD7DF2">
        <w:rPr>
          <w:rFonts w:ascii="Times New Roman" w:hAnsi="Times New Roman" w:cs="Times New Roman"/>
          <w:b/>
          <w:bCs/>
          <w:color w:val="auto"/>
          <w:sz w:val="24"/>
          <w:szCs w:val="24"/>
          <w:lang w:val="en-GB"/>
        </w:rPr>
        <w:t>6.2.3 Implications for Organisations</w:t>
      </w:r>
      <w:bookmarkEnd w:id="44"/>
    </w:p>
    <w:p w14:paraId="3597091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For employers and organisations, findings underline the value of inclusive recruitment practices and the potential for AI platforms to widen candidate pools. Employers could collaborate with government or third-sector actors to deploy AI-enabled knowledge-sharing tools that make training and job opportunities more visible to at-risk households. Furthermore, results on demographic predictors suggest that employers should tailor outreach to younger households, integrating flexible and skills-focused job entry points. Organisations that adopt fairness-centred AI systems may also strengthen trust and engagement among jobseekers, addressing potential ethical concerns raised in the literature (Binns et al., 2018).</w:t>
      </w:r>
    </w:p>
    <w:p w14:paraId="7E437630"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45" w:name="_Toc209513801"/>
      <w:r w:rsidRPr="00FD7DF2">
        <w:rPr>
          <w:rFonts w:ascii="Times New Roman" w:hAnsi="Times New Roman" w:cs="Times New Roman"/>
          <w:b/>
          <w:bCs/>
          <w:color w:val="auto"/>
          <w:sz w:val="24"/>
          <w:szCs w:val="24"/>
          <w:lang w:val="en-GB"/>
        </w:rPr>
        <w:t>6.3 Theoretical Contributions</w:t>
      </w:r>
      <w:bookmarkEnd w:id="45"/>
    </w:p>
    <w:p w14:paraId="7D1A054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study contributes to theory in three ways:</w:t>
      </w:r>
    </w:p>
    <w:p w14:paraId="6A4A2A2B" w14:textId="77777777" w:rsidR="001368B4" w:rsidRPr="00FD7DF2" w:rsidRDefault="001368B4" w:rsidP="001368B4">
      <w:pPr>
        <w:numPr>
          <w:ilvl w:val="0"/>
          <w:numId w:val="3"/>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Household-level perspective.</w:t>
      </w:r>
      <w:r w:rsidRPr="00FD7DF2">
        <w:rPr>
          <w:rFonts w:ascii="Times New Roman" w:hAnsi="Times New Roman" w:cs="Times New Roman"/>
          <w:sz w:val="24"/>
          <w:szCs w:val="24"/>
          <w:lang w:val="en-GB"/>
        </w:rPr>
        <w:t xml:space="preserve"> While much employment research focuses on individuals, the findings reinforce that the household is a critical unit of analysis. Household size and age of reference person are significant predictors of employment outcomes, lending empirical support to household labour-supply theories (McLanahan &amp; Sandefur, 2009).</w:t>
      </w:r>
    </w:p>
    <w:p w14:paraId="3A40B3AD" w14:textId="77777777" w:rsidR="001368B4" w:rsidRPr="00FD7DF2" w:rsidRDefault="001368B4" w:rsidP="001368B4">
      <w:pPr>
        <w:numPr>
          <w:ilvl w:val="0"/>
          <w:numId w:val="3"/>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Integration of digital inclusion with labour-market inequalities.</w:t>
      </w:r>
      <w:r w:rsidRPr="00FD7DF2">
        <w:rPr>
          <w:rFonts w:ascii="Times New Roman" w:hAnsi="Times New Roman" w:cs="Times New Roman"/>
          <w:sz w:val="24"/>
          <w:szCs w:val="24"/>
          <w:lang w:val="en-GB"/>
        </w:rPr>
        <w:t xml:space="preserve"> By showing that regional disparities in worklessness persist, the study strengthens arguments that digital exclusion and structural inequalities compound each other. The results advance theoretical models of the “digital divide” (DiMaggio &amp; Hargittai, 2001), highlighting how AI interventions must consider structural inequities.</w:t>
      </w:r>
    </w:p>
    <w:p w14:paraId="5F39B795" w14:textId="77777777" w:rsidR="001368B4" w:rsidRPr="00FD7DF2" w:rsidRDefault="001368B4" w:rsidP="001368B4">
      <w:pPr>
        <w:numPr>
          <w:ilvl w:val="0"/>
          <w:numId w:val="3"/>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Bridging AI-enabled knowledge-sharing frameworks with employment research.</w:t>
      </w:r>
      <w:r w:rsidRPr="00FD7DF2">
        <w:rPr>
          <w:rFonts w:ascii="Times New Roman" w:hAnsi="Times New Roman" w:cs="Times New Roman"/>
          <w:sz w:val="24"/>
          <w:szCs w:val="24"/>
          <w:lang w:val="en-GB"/>
        </w:rPr>
        <w:t xml:space="preserve"> Although the statistical analysis did not measure AI directly, it provides baseline evidence for integrating AI into employability theories. The findings imply that predictive and personalised systems must be attentive to demographic and regional disparities, extending existing theories of skill acquisition and employability.</w:t>
      </w:r>
    </w:p>
    <w:p w14:paraId="4444B0C3"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46" w:name="_Toc209513802"/>
      <w:r w:rsidRPr="00FD7DF2">
        <w:rPr>
          <w:rFonts w:ascii="Times New Roman" w:hAnsi="Times New Roman" w:cs="Times New Roman"/>
          <w:b/>
          <w:bCs/>
          <w:color w:val="auto"/>
          <w:sz w:val="24"/>
          <w:szCs w:val="24"/>
          <w:lang w:val="en-GB"/>
        </w:rPr>
        <w:lastRenderedPageBreak/>
        <w:t>6.4 Limitations of the Study</w:t>
      </w:r>
      <w:bookmarkEnd w:id="46"/>
    </w:p>
    <w:p w14:paraId="1A3DF651"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Several limitations should be acknowledged:</w:t>
      </w:r>
    </w:p>
    <w:p w14:paraId="561F5438" w14:textId="77777777" w:rsidR="001368B4" w:rsidRPr="00FD7DF2" w:rsidRDefault="001368B4" w:rsidP="001368B4">
      <w:pPr>
        <w:numPr>
          <w:ilvl w:val="0"/>
          <w:numId w:val="4"/>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Cross-sectional design: </w:t>
      </w:r>
      <w:r w:rsidRPr="00FD7DF2">
        <w:rPr>
          <w:rFonts w:ascii="Times New Roman" w:hAnsi="Times New Roman" w:cs="Times New Roman"/>
          <w:sz w:val="24"/>
          <w:szCs w:val="24"/>
          <w:lang w:val="en-GB"/>
        </w:rPr>
        <w:t>The analysis is limited to January–March 2024 and cannot capture dynamic transitions into and out of worklessness. Longitudinal data would allow stronger causal inference about household trajectories.</w:t>
      </w:r>
    </w:p>
    <w:p w14:paraId="0AEEDD89" w14:textId="77777777" w:rsidR="001368B4" w:rsidRPr="00FD7DF2" w:rsidRDefault="001368B4" w:rsidP="001368B4">
      <w:pPr>
        <w:numPr>
          <w:ilvl w:val="0"/>
          <w:numId w:val="4"/>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Limited variable scope: </w:t>
      </w:r>
      <w:r w:rsidRPr="00FD7DF2">
        <w:rPr>
          <w:rFonts w:ascii="Times New Roman" w:hAnsi="Times New Roman" w:cs="Times New Roman"/>
          <w:sz w:val="24"/>
          <w:szCs w:val="24"/>
          <w:lang w:val="en-GB"/>
        </w:rPr>
        <w:t>While key demographic and structural factors were included, variables such as education, health, digital access, and childcare availability were not available in the dataset. These omissions may underestimate the full determinants of worklessness.</w:t>
      </w:r>
    </w:p>
    <w:p w14:paraId="08B5878C" w14:textId="77777777" w:rsidR="001368B4" w:rsidRPr="00FD7DF2" w:rsidRDefault="001368B4" w:rsidP="001368B4">
      <w:pPr>
        <w:numPr>
          <w:ilvl w:val="0"/>
          <w:numId w:val="4"/>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Proxy measures for AI-related constructs: </w:t>
      </w:r>
      <w:r w:rsidRPr="00FD7DF2">
        <w:rPr>
          <w:rFonts w:ascii="Times New Roman" w:hAnsi="Times New Roman" w:cs="Times New Roman"/>
          <w:sz w:val="24"/>
          <w:szCs w:val="24"/>
          <w:lang w:val="en-GB"/>
        </w:rPr>
        <w:t>The analysis relied on structural proxies (household size, age, region) rather than direct measures of digital inclusion or AI usage. Consequently, the link to AI-enabled systems remains conceptual rather than empirical.</w:t>
      </w:r>
    </w:p>
    <w:p w14:paraId="371DB0DE" w14:textId="77777777" w:rsidR="001368B4" w:rsidRPr="00FD7DF2" w:rsidRDefault="001368B4" w:rsidP="001368B4">
      <w:pPr>
        <w:numPr>
          <w:ilvl w:val="0"/>
          <w:numId w:val="4"/>
        </w:numPr>
        <w:spacing w:line="360" w:lineRule="auto"/>
        <w:jc w:val="both"/>
        <w:rPr>
          <w:rFonts w:ascii="Times New Roman" w:hAnsi="Times New Roman" w:cs="Times New Roman"/>
          <w:sz w:val="24"/>
          <w:szCs w:val="24"/>
          <w:lang w:val="en-GB"/>
        </w:rPr>
      </w:pPr>
      <w:r w:rsidRPr="00FD7DF2">
        <w:rPr>
          <w:rFonts w:ascii="Times New Roman" w:hAnsi="Times New Roman" w:cs="Times New Roman"/>
          <w:b/>
          <w:bCs/>
          <w:sz w:val="24"/>
          <w:szCs w:val="24"/>
          <w:lang w:val="en-GB"/>
        </w:rPr>
        <w:t xml:space="preserve">Generalisability beyond the UK: </w:t>
      </w:r>
      <w:r w:rsidRPr="00FD7DF2">
        <w:rPr>
          <w:rFonts w:ascii="Times New Roman" w:hAnsi="Times New Roman" w:cs="Times New Roman"/>
          <w:sz w:val="24"/>
          <w:szCs w:val="24"/>
          <w:lang w:val="en-GB"/>
        </w:rPr>
        <w:t>Although the dataset is nationally representative, findings may not transfer to countries with different welfare regimes, labour-market structures, or digital ecosystems.</w:t>
      </w:r>
    </w:p>
    <w:p w14:paraId="09171888"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Despite these limitations, the study establishes a robust quantitative baseline against which future research on AI-enabled interventions can be built.</w:t>
      </w:r>
    </w:p>
    <w:p w14:paraId="5614D1C0" w14:textId="77777777" w:rsidR="001368B4" w:rsidRPr="00FD7DF2" w:rsidRDefault="001368B4" w:rsidP="001368B4">
      <w:pPr>
        <w:pStyle w:val="Heading2"/>
        <w:spacing w:line="360" w:lineRule="auto"/>
        <w:jc w:val="both"/>
        <w:rPr>
          <w:rFonts w:ascii="Times New Roman" w:hAnsi="Times New Roman" w:cs="Times New Roman"/>
          <w:color w:val="auto"/>
          <w:sz w:val="24"/>
          <w:szCs w:val="24"/>
          <w:lang w:val="en-GB"/>
        </w:rPr>
      </w:pPr>
      <w:bookmarkStart w:id="47" w:name="_Toc209513803"/>
      <w:r w:rsidRPr="00FD7DF2">
        <w:rPr>
          <w:rFonts w:ascii="Times New Roman" w:hAnsi="Times New Roman" w:cs="Times New Roman"/>
          <w:b/>
          <w:bCs/>
          <w:color w:val="auto"/>
          <w:sz w:val="24"/>
          <w:szCs w:val="24"/>
          <w:lang w:val="en-GB"/>
        </w:rPr>
        <w:t>6.5 Summary and Transition to Section 6</w:t>
      </w:r>
      <w:bookmarkEnd w:id="47"/>
    </w:p>
    <w:p w14:paraId="77BFA35D" w14:textId="77777777" w:rsidR="001368B4" w:rsidRPr="00FD7DF2" w:rsidRDefault="001368B4" w:rsidP="001368B4">
      <w:pPr>
        <w:spacing w:line="360" w:lineRule="auto"/>
        <w:ind w:left="0" w:firstLine="0"/>
        <w:jc w:val="both"/>
        <w:rPr>
          <w:rFonts w:ascii="Times New Roman" w:hAnsi="Times New Roman" w:cs="Times New Roman"/>
          <w:b/>
          <w:bCs/>
          <w:sz w:val="24"/>
          <w:szCs w:val="24"/>
          <w:lang w:val="en-GB"/>
        </w:rPr>
      </w:pPr>
      <w:r w:rsidRPr="00FD7DF2">
        <w:rPr>
          <w:rFonts w:ascii="Times New Roman" w:hAnsi="Times New Roman" w:cs="Times New Roman"/>
          <w:sz w:val="24"/>
          <w:szCs w:val="24"/>
          <w:lang w:val="en-GB"/>
        </w:rPr>
        <w:t>Section 6 synthesises statistical findings with theory and research objectives. It confirms household size and age as predictors of worklessness, while regional disparities highlight structural inequalities. Implications span households, policy, and organisations, particularly regarding digital inclusion and AI-enabled interventions. The study contributes theoretically by foregrounding households as analytical units, linking labour-market inequality with digital divides, and situating AI within employability debates, despite methodological limitations. Having situated the findings within theory and practice, the next Section reflects on the researcher’s learning journey. It evaluates the development of quantitative research skills, assesses strengths and weaknesses in applying methods to the DBA project, and considers personal insights and future directions. This reflective essay bridges the empirical contributions with professional growth, highlighting how methodological practice informs ongoing scholarly and practical engagement.</w:t>
      </w:r>
    </w:p>
    <w:p w14:paraId="0DEB2737" w14:textId="77777777" w:rsidR="001368B4" w:rsidRPr="00FD7DF2" w:rsidRDefault="001368B4" w:rsidP="001368B4">
      <w:pPr>
        <w:pStyle w:val="Heading1"/>
        <w:numPr>
          <w:ilvl w:val="0"/>
          <w:numId w:val="7"/>
        </w:numPr>
        <w:spacing w:line="360" w:lineRule="auto"/>
        <w:jc w:val="both"/>
        <w:rPr>
          <w:rFonts w:ascii="Times New Roman" w:hAnsi="Times New Roman" w:cs="Times New Roman"/>
          <w:b/>
          <w:bCs/>
          <w:color w:val="auto"/>
          <w:sz w:val="24"/>
          <w:szCs w:val="24"/>
          <w:lang w:val="en-GB"/>
        </w:rPr>
      </w:pPr>
      <w:bookmarkStart w:id="48" w:name="_Toc209513804"/>
      <w:r w:rsidRPr="00FD7DF2">
        <w:rPr>
          <w:rFonts w:ascii="Times New Roman" w:hAnsi="Times New Roman" w:cs="Times New Roman"/>
          <w:b/>
          <w:bCs/>
          <w:color w:val="auto"/>
          <w:sz w:val="24"/>
          <w:szCs w:val="24"/>
          <w:lang w:val="en-GB"/>
        </w:rPr>
        <w:lastRenderedPageBreak/>
        <w:t>Conclusion and Reflection</w:t>
      </w:r>
      <w:bookmarkEnd w:id="48"/>
    </w:p>
    <w:p w14:paraId="114C295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This reflective essay considers the development of my quantitative research skills through the module, critically evaluates the use of quantitative methods in my DBA project, and identifies personal insights as well as future directions. While written in a continuous narrative style, the essay remains structured around key themes to provide clarity.</w:t>
      </w:r>
    </w:p>
    <w:p w14:paraId="31DAEFEF"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49" w:name="_Toc209513805"/>
      <w:r w:rsidRPr="00FD7DF2">
        <w:rPr>
          <w:rFonts w:ascii="Times New Roman" w:hAnsi="Times New Roman" w:cs="Times New Roman"/>
          <w:b/>
          <w:bCs/>
          <w:color w:val="auto"/>
          <w:sz w:val="24"/>
          <w:szCs w:val="24"/>
          <w:lang w:val="en-GB"/>
        </w:rPr>
        <w:t>7.1 How the Module Improved My Quantitative Research Skills</w:t>
      </w:r>
      <w:bookmarkEnd w:id="49"/>
    </w:p>
    <w:p w14:paraId="37336AEF"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When I began this module, my experience with quantitative research was limited to a basic understanding of descriptive statistics and survey data analysis. Although I had encountered statistical techniques before, I lacked the depth of knowledge to use them effectively or to interpret results with confidence. Engaging with this module has significantly advanced both my technical competence and my critical appreciation of quantitative approaches.</w:t>
      </w:r>
    </w:p>
    <w:p w14:paraId="4A9A14C3"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 major area of development was data handling and preparation. Through repeated practice, I learned how to screen datasets for outliers, missing values, and logical inconsistencies. For example, while conducting the Labour Force Survey, it was critical to check the consistency between full-work, mixed, or workless household classification and the size of the household. This exercise trained me to ensure the reliability of data before conducting any statistical analysis.</w:t>
      </w:r>
    </w:p>
    <w:p w14:paraId="141B50B0"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Also important was my growing familiarity with statistical thinking. I moved from reliance on descriptive summaries to the application of inferential techniques such as chi-square tests, ANOVA, correlation, and logistic regression (Statistics, 2013). Not only did the module tell me how these tests should be conducted using SPSS, but it also told me why a specific technique is employed in a specific case. Understanding that chi-square is best for categorical associations, whereas logistic regression is applied to predict dichotomous variables (Anitha et al., 2025), allowed me to write analysis that addressed my study hypotheses well.</w:t>
      </w:r>
    </w:p>
    <w:p w14:paraId="76F32D3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Another significant advancement has been in the areas of interpretation and communication. Previously, I used to routinely offer statistical results alone, quoting figures without bringing them back to theory or actual relevance. The module encouraged me to translate outputs into narratives which highlight implications. I have learned to prepare tables and figures that present results briefly but learned also to speak about them in a way that relates directly to research objectives.</w:t>
      </w:r>
    </w:p>
    <w:p w14:paraId="6A1AFA3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Finally, I grew more attuned to reliability and validity as key quantitative research elements. While working with secondary data sets, I started questioning how variables were measured, how samples were chosen, and what assumptions were made in measures. This has sharpened </w:t>
      </w:r>
      <w:r w:rsidRPr="00FD7DF2">
        <w:rPr>
          <w:rFonts w:ascii="Times New Roman" w:hAnsi="Times New Roman" w:cs="Times New Roman"/>
          <w:sz w:val="24"/>
          <w:szCs w:val="24"/>
          <w:lang w:val="en-GB"/>
        </w:rPr>
        <w:lastRenderedPageBreak/>
        <w:t>my skill to evaluate evidence quality and made me more assertive about defending methodological decisions.</w:t>
      </w:r>
    </w:p>
    <w:p w14:paraId="27FECCDB"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50" w:name="_Toc209513806"/>
      <w:r w:rsidRPr="00FD7DF2">
        <w:rPr>
          <w:rFonts w:ascii="Times New Roman" w:hAnsi="Times New Roman" w:cs="Times New Roman"/>
          <w:b/>
          <w:bCs/>
          <w:color w:val="auto"/>
          <w:sz w:val="24"/>
          <w:szCs w:val="24"/>
          <w:lang w:val="en-GB"/>
        </w:rPr>
        <w:t>7.2 Critical Self-Assessment of Using Quantitative Methods in My DBA</w:t>
      </w:r>
      <w:bookmarkEnd w:id="50"/>
    </w:p>
    <w:p w14:paraId="7505A71A"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Reflecting on my DBA project, which examines the potential of AI-capable knowledge-sharing systems in reducing household worklessness, I can identify both the strengths and weaknesses of how I applied quantitative methods. To begin with, I was able to use a nationally representative dataset and thus was able to ensure that the findings had external validity and meaning within the UK context. Employing a combination of descriptive statistics, chi-square tests, ANOVA, and logistic regression enabled me to approach the issue in several ways, including triangulation between the approaches. This diversity enriched the analysis and provided stronger foundations for making conclusions upon.</w:t>
      </w:r>
    </w:p>
    <w:p w14:paraId="74E87D7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But I also faced various limitations. First, the information was cross-sectional, covering only one quarter of 2024. As such, it was not capable of showing how households get into or out of worklessness in the long term. This restricted the capability to make causal claims, which would have been better explored using longitudinal data. Another limitation was the restricted set of variables available. Since my research focuses on the role of AI and digital inclusion, it was frustrating that the dataset did not contain direct measures of digital access or AI use. Instead, I had to rely on demographic proxies such as household size and age, which, while informative, did not fully capture the constructs I wanted to explore.</w:t>
      </w:r>
    </w:p>
    <w:p w14:paraId="1622232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I also reflect critically on my early tendency to focus narrowly on p-values and significance levels. At the beginning of the analysis process, I was prone to reporting results mechanically. Through the module, I became more attuned to the importance of effect sizes, model fit, and substantive interpretation. This is an area where I feel I have grown, though I acknowledge that I still need more confidence with advanced statistical modelling techniques such as structural equation modelling or multilevel analysis. In summary, while my use of quantitative methods in the DBA demonstrated clear strengths in scope and execution, I recognise the limitations inherent in both the dataset and my own developing expertise.</w:t>
      </w:r>
    </w:p>
    <w:p w14:paraId="36ABA926"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51" w:name="_Toc209513807"/>
      <w:r w:rsidRPr="00FD7DF2">
        <w:rPr>
          <w:rFonts w:ascii="Times New Roman" w:hAnsi="Times New Roman" w:cs="Times New Roman"/>
          <w:b/>
          <w:bCs/>
          <w:color w:val="auto"/>
          <w:sz w:val="24"/>
          <w:szCs w:val="24"/>
          <w:lang w:val="en-GB"/>
        </w:rPr>
        <w:t>7.3 Personal Insights</w:t>
      </w:r>
      <w:bookmarkEnd w:id="51"/>
    </w:p>
    <w:p w14:paraId="7284D4B1"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The experience of applying quantitative methods has produced some significant personal reflections. First, the recognition of how quantitative research can bridge academic and practitioner domains. As a DBA student, my research must not only advance theory but also inform practice. Quantitative analysis grants a source of evidence that is credible. For </w:t>
      </w:r>
      <w:r w:rsidRPr="00FD7DF2">
        <w:rPr>
          <w:rFonts w:ascii="Times New Roman" w:hAnsi="Times New Roman" w:cs="Times New Roman"/>
          <w:sz w:val="24"/>
          <w:szCs w:val="24"/>
          <w:lang w:val="en-GB"/>
        </w:rPr>
        <w:lastRenderedPageBreak/>
        <w:t>organisations and policymakers, such analysis offers a powerful language of comparison and accountability (Rich et al., 2018). For academics, they provide the basis to test hypotheses and advance theory.</w:t>
      </w:r>
    </w:p>
    <w:p w14:paraId="6CE08BD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Second, I got to learn how to deal with complex data. Before this project, statistical analysis was intimidating, full of technical concepts and assumptions I could not grasp. Though this project, I discovered that complex data is manageable by employing systematic approaches such as testing assumptions, selecting appropriate tests, and accurately presenting results. This I will reflect on my professional life after research, shaping how I approach complex organisational problems.</w:t>
      </w:r>
    </w:p>
    <w:p w14:paraId="7D620647"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Thirdly, I have also come to appreciate reflexivity in quantitative work. I used to regard reflexivity as being more qualitative in nature, but now I realise all quantitative choices—variable selection, model specification, or interpretation—are full of assumptions. Being clear about these assumptions, and understanding their implications, makes the study more credible.</w:t>
      </w:r>
    </w:p>
    <w:p w14:paraId="3497DB23"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I have come to understand that quantitative and qualitative methods are not competing methodologies but supplements. Whereas statistical models may uncover patterns and associations, qualitative approaches may, at times, be needed to explain the reason why the patterns occur. This has only served to enhance my appreciation of mixed-methods designs, and I am convinced they will be essential in my subsequent works.</w:t>
      </w:r>
    </w:p>
    <w:p w14:paraId="40BEA59B"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52" w:name="_Toc209513808"/>
      <w:r w:rsidRPr="00FD7DF2">
        <w:rPr>
          <w:rFonts w:ascii="Times New Roman" w:hAnsi="Times New Roman" w:cs="Times New Roman"/>
          <w:b/>
          <w:bCs/>
          <w:color w:val="auto"/>
          <w:sz w:val="24"/>
          <w:szCs w:val="24"/>
          <w:lang w:val="en-GB"/>
        </w:rPr>
        <w:t>7.4 Future Directions</w:t>
      </w:r>
      <w:bookmarkEnd w:id="52"/>
    </w:p>
    <w:p w14:paraId="6CE4079E"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Looking ahead, I see several avenues for further development. I intend to improve my quantitative skills by becoming more experienced in higher-order quantitative techniques. Structural equation modelling would allow me to analyse complex associations between latent variables, and longitudinal and multilevel models would provide me with a greater facility for analysing change over time and nested data structures (Little, 2024). These techniques would be particularly helpful if I conduct cross-regional or organisational comparisons for my research on employability with AI.</w:t>
      </w:r>
    </w:p>
    <w:p w14:paraId="03053036"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Professionally, these skills will be applied in programme and intervention assessment. Logistic regression, for instance, would allow organisations to identify those staff groups most likely to suffer from digital exclusion, and ANOVA would assess whether training schemes are effective (Cabero‐Almenara et al., 2022). The inclusion of statistical analysis into decision-making within governance would strengthen policy evidence and improve outcomes.</w:t>
      </w:r>
    </w:p>
    <w:p w14:paraId="79174C2C"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 xml:space="preserve">I also intend to take mixed-methods research as the future direction. By combining quantitative surveys with qualitative focus groups or interviews, I can generate insights that are </w:t>
      </w:r>
      <w:r w:rsidRPr="00FD7DF2">
        <w:rPr>
          <w:rFonts w:ascii="Times New Roman" w:hAnsi="Times New Roman" w:cs="Times New Roman"/>
          <w:sz w:val="24"/>
          <w:szCs w:val="24"/>
          <w:lang w:val="en-GB"/>
        </w:rPr>
        <w:lastRenderedPageBreak/>
        <w:t>contextualised yet generalisable. This would improve my research's theoretical contribution as well as its applicability to practice.</w:t>
      </w:r>
    </w:p>
    <w:p w14:paraId="0DD23BE9"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Finally, I am aware of the importance of continuous learning. Quantitative methods, particularly with the era of big data and AI, evolve on a daily basis (Duan et al., 2019). I plan to keep taking advantage of workshops, e-learning programs, and collaborative programs so that my skills remain current and pertinent.</w:t>
      </w:r>
    </w:p>
    <w:p w14:paraId="555110DE" w14:textId="77777777" w:rsidR="001368B4" w:rsidRPr="00FD7DF2" w:rsidRDefault="001368B4" w:rsidP="001368B4">
      <w:pPr>
        <w:pStyle w:val="Heading2"/>
        <w:spacing w:line="360" w:lineRule="auto"/>
        <w:jc w:val="both"/>
        <w:rPr>
          <w:rFonts w:ascii="Times New Roman" w:hAnsi="Times New Roman" w:cs="Times New Roman"/>
          <w:b/>
          <w:bCs/>
          <w:color w:val="auto"/>
          <w:sz w:val="24"/>
          <w:szCs w:val="24"/>
          <w:lang w:val="en-GB"/>
        </w:rPr>
      </w:pPr>
      <w:bookmarkStart w:id="53" w:name="_Toc209513809"/>
      <w:r w:rsidRPr="00FD7DF2">
        <w:rPr>
          <w:rFonts w:ascii="Times New Roman" w:hAnsi="Times New Roman" w:cs="Times New Roman"/>
          <w:b/>
          <w:bCs/>
          <w:color w:val="auto"/>
          <w:sz w:val="24"/>
          <w:szCs w:val="24"/>
          <w:lang w:val="en-GB"/>
        </w:rPr>
        <w:t>7.5 Summary</w:t>
      </w:r>
      <w:bookmarkEnd w:id="53"/>
    </w:p>
    <w:p w14:paraId="2200E978" w14:textId="77777777" w:rsidR="001368B4" w:rsidRPr="00FD7DF2" w:rsidRDefault="001368B4" w:rsidP="001368B4">
      <w:pPr>
        <w:spacing w:line="360" w:lineRule="auto"/>
        <w:ind w:left="0" w:firstLine="0"/>
        <w:jc w:val="both"/>
        <w:rPr>
          <w:rFonts w:ascii="Times New Roman" w:hAnsi="Times New Roman" w:cs="Times New Roman"/>
          <w:sz w:val="24"/>
          <w:szCs w:val="24"/>
          <w:lang w:val="en-GB"/>
        </w:rPr>
      </w:pPr>
      <w:r w:rsidRPr="00FD7DF2">
        <w:rPr>
          <w:rFonts w:ascii="Times New Roman" w:hAnsi="Times New Roman" w:cs="Times New Roman"/>
          <w:sz w:val="24"/>
          <w:szCs w:val="24"/>
          <w:lang w:val="en-GB"/>
        </w:rPr>
        <w:t>Overall, the module has changed my perception regarding quantitative research. I have moved from hesitant understanding to assured application, and I am now at ease with quantitative methods as part of my scholarly and professional toolkit. The skills that I have developed—particularly in data preparation, statistical thinking, interpretation, and reflexivity—have enhanced the quality of my DBA project and also will direct me in future research. At the same time, I am aware of the limitations of my current capability and the need for ongoing development. This experience, in addition to providing me with hands-on abilities, has altered my attitude. I now approach quantitative analysis with enthusiasm rather than apprehension, and with a will to employ numbers not only as abstract measures but as tangible evidence to inform theory, practice, and policy.</w:t>
      </w:r>
    </w:p>
    <w:p w14:paraId="3CB28751" w14:textId="77777777" w:rsidR="0047586F" w:rsidRPr="001368B4" w:rsidRDefault="0047586F">
      <w:pPr>
        <w:rPr>
          <w:lang w:val="en-GB"/>
        </w:rPr>
      </w:pPr>
    </w:p>
    <w:sectPr w:rsidR="0047586F" w:rsidRPr="00136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30BD3"/>
    <w:multiLevelType w:val="multilevel"/>
    <w:tmpl w:val="B1D01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BC2640"/>
    <w:multiLevelType w:val="multilevel"/>
    <w:tmpl w:val="3F04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6711C"/>
    <w:multiLevelType w:val="multilevel"/>
    <w:tmpl w:val="9C4CA9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42E21491"/>
    <w:multiLevelType w:val="multilevel"/>
    <w:tmpl w:val="7768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D65126"/>
    <w:multiLevelType w:val="multilevel"/>
    <w:tmpl w:val="C338A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A97EF2"/>
    <w:multiLevelType w:val="multilevel"/>
    <w:tmpl w:val="C6621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284BEF"/>
    <w:multiLevelType w:val="multilevel"/>
    <w:tmpl w:val="0C8CD18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440" w:hanging="108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800" w:hanging="144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2160" w:hanging="180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num w:numId="1" w16cid:durableId="2070153501">
    <w:abstractNumId w:val="1"/>
  </w:num>
  <w:num w:numId="2" w16cid:durableId="1330599237">
    <w:abstractNumId w:val="3"/>
  </w:num>
  <w:num w:numId="3" w16cid:durableId="1808891550">
    <w:abstractNumId w:val="4"/>
  </w:num>
  <w:num w:numId="4" w16cid:durableId="754322988">
    <w:abstractNumId w:val="5"/>
  </w:num>
  <w:num w:numId="5" w16cid:durableId="46757471">
    <w:abstractNumId w:val="2"/>
  </w:num>
  <w:num w:numId="6" w16cid:durableId="1873228216">
    <w:abstractNumId w:val="0"/>
  </w:num>
  <w:num w:numId="7" w16cid:durableId="9354014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7"/>
    <w:rsid w:val="001368B4"/>
    <w:rsid w:val="003860A2"/>
    <w:rsid w:val="0047586F"/>
    <w:rsid w:val="00B82525"/>
    <w:rsid w:val="00FC2C6D"/>
    <w:rsid w:val="00FD59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7D83E8-CFE4-4159-900A-FBC96DE0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8B4"/>
    <w:pPr>
      <w:spacing w:after="0" w:line="480" w:lineRule="auto"/>
      <w:ind w:left="720" w:hanging="720"/>
    </w:pPr>
    <w:rPr>
      <w:rFonts w:ascii="Aptos" w:eastAsia="DengXian" w:hAnsi="Aptos" w:cs="SimSun"/>
      <w:kern w:val="0"/>
      <w:sz w:val="22"/>
      <w:szCs w:val="22"/>
      <w:lang w:val="en-US" w:eastAsia="en-US"/>
      <w14:ligatures w14:val="none"/>
    </w:rPr>
  </w:style>
  <w:style w:type="paragraph" w:styleId="Heading1">
    <w:name w:val="heading 1"/>
    <w:basedOn w:val="Normal"/>
    <w:next w:val="Normal"/>
    <w:link w:val="Heading1Char"/>
    <w:uiPriority w:val="9"/>
    <w:qFormat/>
    <w:rsid w:val="00FD5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5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9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9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9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9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D5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FD5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sid w:val="00FD5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947"/>
    <w:rPr>
      <w:rFonts w:eastAsiaTheme="majorEastAsia" w:cstheme="majorBidi"/>
      <w:color w:val="272727" w:themeColor="text1" w:themeTint="D8"/>
    </w:rPr>
  </w:style>
  <w:style w:type="paragraph" w:styleId="Title">
    <w:name w:val="Title"/>
    <w:basedOn w:val="Normal"/>
    <w:next w:val="Normal"/>
    <w:link w:val="TitleChar"/>
    <w:uiPriority w:val="10"/>
    <w:qFormat/>
    <w:rsid w:val="00FD5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9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947"/>
    <w:pPr>
      <w:spacing w:before="160"/>
      <w:jc w:val="center"/>
    </w:pPr>
    <w:rPr>
      <w:i/>
      <w:iCs/>
      <w:color w:val="404040" w:themeColor="text1" w:themeTint="BF"/>
    </w:rPr>
  </w:style>
  <w:style w:type="character" w:customStyle="1" w:styleId="QuoteChar">
    <w:name w:val="Quote Char"/>
    <w:basedOn w:val="DefaultParagraphFont"/>
    <w:link w:val="Quote"/>
    <w:uiPriority w:val="29"/>
    <w:rsid w:val="00FD5947"/>
    <w:rPr>
      <w:i/>
      <w:iCs/>
      <w:color w:val="404040" w:themeColor="text1" w:themeTint="BF"/>
    </w:rPr>
  </w:style>
  <w:style w:type="paragraph" w:styleId="ListParagraph">
    <w:name w:val="List Paragraph"/>
    <w:basedOn w:val="Normal"/>
    <w:uiPriority w:val="34"/>
    <w:qFormat/>
    <w:rsid w:val="00FD5947"/>
    <w:pPr>
      <w:contextualSpacing/>
    </w:pPr>
  </w:style>
  <w:style w:type="character" w:styleId="IntenseEmphasis">
    <w:name w:val="Intense Emphasis"/>
    <w:basedOn w:val="DefaultParagraphFont"/>
    <w:uiPriority w:val="21"/>
    <w:qFormat/>
    <w:rsid w:val="00FD5947"/>
    <w:rPr>
      <w:i/>
      <w:iCs/>
      <w:color w:val="0F4761" w:themeColor="accent1" w:themeShade="BF"/>
    </w:rPr>
  </w:style>
  <w:style w:type="paragraph" w:styleId="IntenseQuote">
    <w:name w:val="Intense Quote"/>
    <w:basedOn w:val="Normal"/>
    <w:next w:val="Normal"/>
    <w:link w:val="IntenseQuoteChar"/>
    <w:uiPriority w:val="30"/>
    <w:qFormat/>
    <w:rsid w:val="00FD5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947"/>
    <w:rPr>
      <w:i/>
      <w:iCs/>
      <w:color w:val="0F4761" w:themeColor="accent1" w:themeShade="BF"/>
    </w:rPr>
  </w:style>
  <w:style w:type="character" w:styleId="IntenseReference">
    <w:name w:val="Intense Reference"/>
    <w:basedOn w:val="DefaultParagraphFont"/>
    <w:uiPriority w:val="32"/>
    <w:qFormat/>
    <w:rsid w:val="00FD5947"/>
    <w:rPr>
      <w:b/>
      <w:bCs/>
      <w:smallCaps/>
      <w:color w:val="0F4761" w:themeColor="accent1" w:themeShade="BF"/>
      <w:spacing w:val="5"/>
    </w:rPr>
  </w:style>
  <w:style w:type="table" w:styleId="TableGrid">
    <w:name w:val="Table Grid"/>
    <w:basedOn w:val="TableNormal"/>
    <w:uiPriority w:val="39"/>
    <w:rsid w:val="001368B4"/>
    <w:pPr>
      <w:spacing w:after="0" w:line="240" w:lineRule="auto"/>
    </w:pPr>
    <w:rPr>
      <w:rFonts w:ascii="Aptos" w:eastAsia="DengXian" w:hAnsi="Aptos" w:cs="SimSu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tmp"/><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image" Target="media/image8.tmp"/><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tmp"/><Relationship Id="rId5" Type="http://schemas.openxmlformats.org/officeDocument/2006/relationships/image" Target="media/image1.png"/><Relationship Id="rId15" Type="http://schemas.openxmlformats.org/officeDocument/2006/relationships/image" Target="media/image11.tmp"/><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image" Target="media/image10.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8539</Words>
  <Characters>48674</Characters>
  <Application>Microsoft Office Word</Application>
  <DocSecurity>0</DocSecurity>
  <Lines>405</Lines>
  <Paragraphs>114</Paragraphs>
  <ScaleCrop>false</ScaleCrop>
  <Company/>
  <LinksUpToDate>false</LinksUpToDate>
  <CharactersWithSpaces>57099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 tao</dc:creator>
  <cp:keywords/>
  <dc:description/>
  <cp:lastModifiedBy>qian tao</cp:lastModifiedBy>
  <cp:revision>2</cp:revision>
  <dcterms:created xsi:type="dcterms:W3CDTF">2025-09-23T08:56:00Z</dcterms:created>
  <dcterms:modified xsi:type="dcterms:W3CDTF">2025-09-23T08:56:00Z</dcterms:modified>
</cp:coreProperties>
</file>