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r>
        <w:rPr>
          <w:b/>
          <w:u w:val="single"/>
        </w:rPr>
        <w:t>Cover Page</w:t>
      </w: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5E3D6F" w:rsidRDefault="005E3D6F" w:rsidP="005E3D6F">
      <w:pPr>
        <w:jc w:val="center"/>
        <w:rPr>
          <w:b/>
          <w:u w:val="single"/>
        </w:rPr>
      </w:pPr>
    </w:p>
    <w:p w:rsidR="00747BF4" w:rsidRDefault="005E3D6F" w:rsidP="005E3D6F">
      <w:pPr>
        <w:jc w:val="center"/>
        <w:rPr>
          <w:b/>
          <w:u w:val="single"/>
        </w:rPr>
      </w:pPr>
      <w:r>
        <w:rPr>
          <w:b/>
          <w:u w:val="single"/>
        </w:rPr>
        <w:lastRenderedPageBreak/>
        <w:t>Element One – Essay</w:t>
      </w:r>
      <w:r w:rsidR="005A4672">
        <w:rPr>
          <w:b/>
          <w:u w:val="single"/>
        </w:rPr>
        <w:t xml:space="preserve"> </w:t>
      </w:r>
    </w:p>
    <w:p w:rsidR="005E3D6F" w:rsidRDefault="005E3D6F" w:rsidP="005E3D6F">
      <w:pPr>
        <w:jc w:val="center"/>
        <w:rPr>
          <w:b/>
          <w:u w:val="single"/>
        </w:rPr>
      </w:pPr>
      <w:r>
        <w:rPr>
          <w:b/>
          <w:u w:val="single"/>
        </w:rPr>
        <w:t>Compare and contrast the scope and approach to outdoor provision in two types of settings.</w:t>
      </w:r>
    </w:p>
    <w:p w:rsidR="0080112F" w:rsidRDefault="0080112F" w:rsidP="0080112F">
      <w:pPr>
        <w:spacing w:before="240" w:after="240" w:line="240" w:lineRule="auto"/>
        <w:rPr>
          <w:b/>
          <w:u w:val="single"/>
        </w:rPr>
      </w:pPr>
    </w:p>
    <w:p w:rsidR="0080112F" w:rsidRPr="0080112F" w:rsidRDefault="0080112F" w:rsidP="0080112F">
      <w:pPr>
        <w:spacing w:before="240" w:after="240" w:line="360" w:lineRule="auto"/>
        <w:jc w:val="both"/>
        <w:rPr>
          <w:rFonts w:eastAsia="Times New Roman" w:cstheme="minorHAnsi"/>
          <w:sz w:val="24"/>
          <w:szCs w:val="24"/>
          <w:lang w:eastAsia="en-GB"/>
        </w:rPr>
      </w:pPr>
      <w:r w:rsidRPr="0080112F">
        <w:rPr>
          <w:rFonts w:eastAsia="Times New Roman" w:cstheme="minorHAnsi"/>
          <w:color w:val="000000"/>
          <w:lang w:eastAsia="en-GB"/>
        </w:rPr>
        <w:t>Humans have been learning from nature since the beginning of time. It is only recently our educational systems have formalised the concept of outdoor schooling. Outdoor learning is a pedagogical approach that allows pupils to engage with the natural environment and learn through real life authentic contexts. This underpins Froebel's Theory (1782-1852) who believed that play helped construct their understanding of the world through direct experience with it. The Institute of Outdoor Learning describes the term as ‘an umbrella term for actively inclusive facilitated approaches that use activities and experiences in the outdoors which lead to learning, increased health and wellbeing, and environmental awareness’ (IOL, 2021) Through this essay I will compare active outdoor provision to Foundation Years and Secondary settings. I have chosen this comparison as on average, secondary schools ‘spend just 6 minutes a week learning outdoors’ (Robinson, 2022). I would like to explore insight and practices used in Foundation Years in order to inform my own practice in the Secondary setting. </w:t>
      </w:r>
    </w:p>
    <w:p w:rsidR="0080112F" w:rsidRPr="0080112F" w:rsidRDefault="0080112F" w:rsidP="0080112F">
      <w:pPr>
        <w:spacing w:before="240" w:after="240" w:line="360" w:lineRule="auto"/>
        <w:jc w:val="both"/>
        <w:rPr>
          <w:rFonts w:eastAsia="Times New Roman" w:cstheme="minorHAnsi"/>
          <w:sz w:val="24"/>
          <w:szCs w:val="24"/>
          <w:lang w:eastAsia="en-GB"/>
        </w:rPr>
      </w:pPr>
      <w:r w:rsidRPr="0080112F">
        <w:rPr>
          <w:rFonts w:eastAsia="Times New Roman" w:cstheme="minorHAnsi"/>
          <w:color w:val="000000"/>
          <w:lang w:eastAsia="en-GB"/>
        </w:rPr>
        <w:t>Outdoor learning underpins the Four Purposes to Learning published by Professor Donaldson’s ‘Successful Futures’. Pupils are encouraged to become healthy, confident individuals, ready to lead fulfilling lives as valued members of society (Donaldson, 2015). In order to do this, pupils must be given the opportunities to explore the world around them and spark curiosity. Outdoor learning not only provides physical activity but equips pupils with transferable skills such as problem-solving, teamwork, and leadership skills. Importantly, it helps pupils explore connections between their experiences, mental health and emotional wellbeing which is explored through the Health and Wellbeing curriculum (Welsh Government, 2021). Outdoor learning is a cross-curricular provision that should be taught in a meaningful and authentic way. </w:t>
      </w:r>
    </w:p>
    <w:p w:rsidR="0080112F" w:rsidRPr="0080112F" w:rsidRDefault="0080112F" w:rsidP="0080112F">
      <w:pPr>
        <w:spacing w:before="240" w:after="240" w:line="360" w:lineRule="auto"/>
        <w:jc w:val="both"/>
        <w:rPr>
          <w:rFonts w:eastAsia="Times New Roman" w:cstheme="minorHAnsi"/>
          <w:sz w:val="24"/>
          <w:szCs w:val="24"/>
          <w:lang w:eastAsia="en-GB"/>
        </w:rPr>
      </w:pPr>
      <w:r w:rsidRPr="0080112F">
        <w:rPr>
          <w:rFonts w:eastAsia="Times New Roman" w:cstheme="minorHAnsi"/>
          <w:color w:val="000000"/>
          <w:lang w:eastAsia="en-GB"/>
        </w:rPr>
        <w:t xml:space="preserve">Outdoor learning is a popular approach during the foundation phase as it provides young children with opportunities for exploration, discovery, and curiosity. Piaget sets this out clearly through the processes of cognitive development stating that during the preoperational stage children need imaginative play to develop (Pound, 2014). </w:t>
      </w:r>
      <w:r w:rsidRPr="0080112F">
        <w:rPr>
          <w:rFonts w:eastAsia="Times New Roman" w:cstheme="minorHAnsi"/>
          <w:i/>
          <w:iCs/>
          <w:color w:val="000000"/>
          <w:lang w:eastAsia="en-GB"/>
        </w:rPr>
        <w:t>The Shared Vision and Values for Outdoor Provision in the Early Years</w:t>
      </w:r>
      <w:r w:rsidRPr="0080112F">
        <w:rPr>
          <w:rFonts w:eastAsia="Times New Roman" w:cstheme="minorHAnsi"/>
          <w:color w:val="000000"/>
          <w:lang w:eastAsia="en-GB"/>
        </w:rPr>
        <w:t xml:space="preserve"> (Vision and Values Partnership, 2004) states ‘all children have the right to experience and enjoy the essential and special nature of being outdoors’. When given the choice, young children are where most children would prefer to spend their time and the Vision and Values Partnership stresses that this is a human right that children should be given as much access to the outdoors as possible. Jan White (2013) states that young children have a particular way of interacting with the world around </w:t>
      </w:r>
      <w:r w:rsidRPr="0080112F">
        <w:rPr>
          <w:rFonts w:eastAsia="Times New Roman" w:cstheme="minorHAnsi"/>
          <w:color w:val="000000"/>
          <w:lang w:eastAsia="en-GB"/>
        </w:rPr>
        <w:lastRenderedPageBreak/>
        <w:t xml:space="preserve">them. They learn through movement and taking in information through all of their senses. White stresses the importance of fresh air and the direct experience of interacting with natural and living things. Through her book ‘Playing and Learning Outdoors’ White sets out a stem of core values for high-quality outdoor experiences. For example, young children should be outdoors as much as indoors with a well-designed, well-organised outdoor environment. Organisation allows for proper stimulation and allows them to follow their own interests. Helen </w:t>
      </w:r>
      <w:proofErr w:type="spellStart"/>
      <w:r w:rsidRPr="0080112F">
        <w:rPr>
          <w:rFonts w:eastAsia="Times New Roman" w:cstheme="minorHAnsi"/>
          <w:color w:val="000000"/>
          <w:lang w:eastAsia="en-GB"/>
        </w:rPr>
        <w:t>Bilton</w:t>
      </w:r>
      <w:proofErr w:type="spellEnd"/>
      <w:r w:rsidRPr="0080112F">
        <w:rPr>
          <w:rFonts w:eastAsia="Times New Roman" w:cstheme="minorHAnsi"/>
          <w:color w:val="000000"/>
          <w:lang w:eastAsia="en-GB"/>
        </w:rPr>
        <w:t xml:space="preserve"> (2010) discusses ‘learning outside the classroom’ which is a phrase coined by the government in their </w:t>
      </w:r>
      <w:r w:rsidRPr="0080112F">
        <w:rPr>
          <w:rFonts w:eastAsia="Times New Roman" w:cstheme="minorHAnsi"/>
          <w:i/>
          <w:iCs/>
          <w:color w:val="000000"/>
          <w:lang w:eastAsia="en-GB"/>
        </w:rPr>
        <w:t xml:space="preserve">Learning Outside the Classroom Manifesto. </w:t>
      </w:r>
      <w:proofErr w:type="spellStart"/>
      <w:r w:rsidRPr="0080112F">
        <w:rPr>
          <w:rFonts w:eastAsia="Times New Roman" w:cstheme="minorHAnsi"/>
          <w:color w:val="000000"/>
          <w:lang w:eastAsia="en-GB"/>
        </w:rPr>
        <w:t>Bilton</w:t>
      </w:r>
      <w:proofErr w:type="spellEnd"/>
      <w:r w:rsidRPr="0080112F">
        <w:rPr>
          <w:rFonts w:eastAsia="Times New Roman" w:cstheme="minorHAnsi"/>
          <w:color w:val="000000"/>
          <w:lang w:eastAsia="en-GB"/>
        </w:rPr>
        <w:t xml:space="preserve"> states that the activity itself does not have to be just ‘play’ but can also entail work usually done in the classroom making its way outside. This could be doing a piece of maths work or reading a story. Children are therefore able to control their own environment to help their learning and engagement. </w:t>
      </w:r>
    </w:p>
    <w:p w:rsidR="0080112F" w:rsidRPr="0080112F" w:rsidRDefault="0080112F" w:rsidP="0080112F">
      <w:pPr>
        <w:spacing w:before="240" w:after="240" w:line="360" w:lineRule="auto"/>
        <w:jc w:val="both"/>
        <w:rPr>
          <w:rFonts w:eastAsia="Times New Roman" w:cstheme="minorHAnsi"/>
          <w:sz w:val="24"/>
          <w:szCs w:val="24"/>
          <w:lang w:eastAsia="en-GB"/>
        </w:rPr>
      </w:pPr>
      <w:r w:rsidRPr="0080112F">
        <w:rPr>
          <w:rFonts w:eastAsia="Times New Roman" w:cstheme="minorHAnsi"/>
          <w:color w:val="000000"/>
          <w:lang w:eastAsia="en-GB"/>
        </w:rPr>
        <w:t xml:space="preserve">Through my own experience within a secondary school, outdoor learning occurs in two ways. Firstly, during an outdoor Physical Education lesson or during extra-curricular learning such as Eco-Club. Outdoor learning is a valuable tool to connect pupils to their physical and mental well-being. Research conducted by the Schools Health Education Unit (SHEU) found that two in ten children aged 5-15 meet the national physical activity target of 60 minutes or more. SHEU also recognised these numbers were even lower in pupils from low socio-economic backgrounds. From this research the Woodland Health for Youth (WHY) developed a project targeting physical activity interventions without compromising the </w:t>
      </w:r>
      <w:r w:rsidR="00604178" w:rsidRPr="0080112F">
        <w:rPr>
          <w:rFonts w:eastAsia="Times New Roman" w:cstheme="minorHAnsi"/>
          <w:color w:val="000000"/>
          <w:lang w:eastAsia="en-GB"/>
        </w:rPr>
        <w:t>school’s</w:t>
      </w:r>
      <w:r w:rsidRPr="0080112F">
        <w:rPr>
          <w:rFonts w:eastAsia="Times New Roman" w:cstheme="minorHAnsi"/>
          <w:color w:val="000000"/>
          <w:lang w:eastAsia="en-GB"/>
        </w:rPr>
        <w:t xml:space="preserve"> delivery of core subjects. WHY reported on positive long-term health outcomes for secondary pupils and called for school-based initiatives to access green spaces. Learning through Landscapes conducted a focus group with secondary school educators and asked them to share their strategies for outdoor learning across every subject. These were compiled into four main points, firstly, start with indoor activities which can easier move outdoors, take revision lessons outside, move into an outdoor environment to conduct activities such as debates and lastly, don’t force yourself out of your comfort zone too quickly. Through these findings and adapting activities used in foundation years I will access outdoor learning with more confidence in the future. </w:t>
      </w:r>
    </w:p>
    <w:p w:rsidR="0080112F" w:rsidRPr="0080112F" w:rsidRDefault="0080112F" w:rsidP="0080112F">
      <w:pPr>
        <w:spacing w:before="240" w:after="240" w:line="360" w:lineRule="auto"/>
        <w:jc w:val="both"/>
        <w:rPr>
          <w:rFonts w:eastAsia="Times New Roman" w:cstheme="minorHAnsi"/>
          <w:sz w:val="24"/>
          <w:szCs w:val="24"/>
          <w:lang w:eastAsia="en-GB"/>
        </w:rPr>
      </w:pPr>
      <w:r w:rsidRPr="0080112F">
        <w:rPr>
          <w:rFonts w:eastAsia="Times New Roman" w:cstheme="minorHAnsi"/>
          <w:color w:val="000000"/>
          <w:lang w:eastAsia="en-GB"/>
        </w:rPr>
        <w:t xml:space="preserve">As well as the many benefits outlined there are key challenges to outdoor learning. These challenges may be accessibility issues, lack of structure and lack of resources. One main challenge is safety concerns. These may be risks such as, weather conditions, injury, and accidents. There is also a risk of children encountering strangers who could potentially harm them. Valentine and McKendrick (1997) highlight ‘stranger danger’ as having a pervasive effect on play. Children have different perceptions of risk so educators must also mitigate the risks, through risk assessments, supervision, clear boundaries, communication, and collaboration with parents. White (2008) argues that “children are seriously </w:t>
      </w:r>
      <w:r w:rsidRPr="0080112F">
        <w:rPr>
          <w:rFonts w:eastAsia="Times New Roman" w:cstheme="minorHAnsi"/>
          <w:color w:val="000000"/>
          <w:lang w:eastAsia="en-GB"/>
        </w:rPr>
        <w:lastRenderedPageBreak/>
        <w:t>disadvantaged if they do not learn how to approach and manage physical and emotional risk” and that the exposure to risk is a benefit to the child's development. Through my own experience, I would also.</w:t>
      </w:r>
    </w:p>
    <w:p w:rsidR="0080112F" w:rsidRPr="0080112F" w:rsidRDefault="0080112F" w:rsidP="0080112F">
      <w:pPr>
        <w:spacing w:before="240" w:after="240" w:line="360" w:lineRule="auto"/>
        <w:jc w:val="both"/>
        <w:rPr>
          <w:rFonts w:eastAsia="Times New Roman" w:cstheme="minorHAnsi"/>
          <w:sz w:val="24"/>
          <w:szCs w:val="24"/>
          <w:lang w:eastAsia="en-GB"/>
        </w:rPr>
      </w:pPr>
      <w:r w:rsidRPr="0080112F">
        <w:rPr>
          <w:rFonts w:eastAsia="Times New Roman" w:cstheme="minorHAnsi"/>
          <w:color w:val="000000"/>
          <w:lang w:eastAsia="en-GB"/>
        </w:rPr>
        <w:t>In conclusion, I recognise the importance of using outdoor learning as a pedagogical tool and feel far more comfortable developing on this in the future. The role of the adult in outdoor learning experiences is extremely important, the adult must support, observe and respond to ensure a safe learning environment for pupils.</w:t>
      </w:r>
      <w:r w:rsidR="00BB4704">
        <w:rPr>
          <w:rFonts w:eastAsia="Times New Roman" w:cstheme="minorHAnsi"/>
          <w:color w:val="000000"/>
          <w:lang w:eastAsia="en-GB"/>
        </w:rPr>
        <w:t xml:space="preserve"> </w:t>
      </w:r>
      <w:r w:rsidRPr="0080112F">
        <w:rPr>
          <w:rFonts w:eastAsia="Times New Roman" w:cstheme="minorHAnsi"/>
          <w:color w:val="000000"/>
          <w:lang w:eastAsia="en-GB"/>
        </w:rPr>
        <w:t>Through outdoor learning pupils are able to engage with lifelong skills such as, problem-solving, critical thinking and teamwork whilst gaining a deeper understanding of the world around them and their own physical and mental well-being. While there are some challenges, a risk assessment, safety measures and communication can transform a child’s learning experience and support holistic development. </w:t>
      </w:r>
    </w:p>
    <w:p w:rsidR="0080112F" w:rsidRPr="0080112F" w:rsidRDefault="0080112F" w:rsidP="0080112F">
      <w:pPr>
        <w:spacing w:after="0" w:line="240" w:lineRule="auto"/>
        <w:rPr>
          <w:rFonts w:ascii="Times New Roman" w:eastAsia="Times New Roman" w:hAnsi="Times New Roman" w:cs="Times New Roman"/>
          <w:sz w:val="24"/>
          <w:szCs w:val="24"/>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Default="0080112F" w:rsidP="0080112F">
      <w:pPr>
        <w:spacing w:before="240" w:after="240" w:line="240" w:lineRule="auto"/>
        <w:rPr>
          <w:rFonts w:ascii="Arial" w:eastAsia="Times New Roman" w:hAnsi="Arial" w:cs="Arial"/>
          <w:b/>
          <w:bCs/>
          <w:color w:val="000000"/>
          <w:lang w:eastAsia="en-GB"/>
        </w:rPr>
      </w:pPr>
    </w:p>
    <w:p w:rsidR="0080112F" w:rsidRPr="0080112F" w:rsidRDefault="0080112F" w:rsidP="0080112F">
      <w:pPr>
        <w:spacing w:before="240" w:after="240" w:line="240" w:lineRule="auto"/>
        <w:rPr>
          <w:rFonts w:eastAsia="Times New Roman" w:cstheme="minorHAnsi"/>
          <w:sz w:val="24"/>
          <w:szCs w:val="24"/>
          <w:u w:val="single"/>
          <w:lang w:eastAsia="en-GB"/>
        </w:rPr>
      </w:pPr>
      <w:r w:rsidRPr="0080112F">
        <w:rPr>
          <w:rFonts w:eastAsia="Times New Roman" w:cstheme="minorHAnsi"/>
          <w:b/>
          <w:bCs/>
          <w:color w:val="000000"/>
          <w:u w:val="single"/>
          <w:lang w:eastAsia="en-GB"/>
        </w:rPr>
        <w:lastRenderedPageBreak/>
        <w:t>Element One References </w:t>
      </w:r>
    </w:p>
    <w:p w:rsidR="0080112F" w:rsidRPr="0080112F" w:rsidRDefault="0080112F" w:rsidP="0080112F">
      <w:pPr>
        <w:spacing w:before="240" w:after="240" w:line="240" w:lineRule="auto"/>
        <w:rPr>
          <w:rFonts w:eastAsia="Times New Roman" w:cstheme="minorHAnsi"/>
          <w:lang w:eastAsia="en-GB"/>
        </w:rPr>
      </w:pPr>
      <w:proofErr w:type="spellStart"/>
      <w:r w:rsidRPr="0080112F">
        <w:rPr>
          <w:rFonts w:eastAsia="Times New Roman" w:cstheme="minorHAnsi"/>
          <w:color w:val="000000"/>
          <w:lang w:eastAsia="en-GB"/>
        </w:rPr>
        <w:t>Aronsson</w:t>
      </w:r>
      <w:proofErr w:type="spellEnd"/>
      <w:r w:rsidRPr="0080112F">
        <w:rPr>
          <w:rFonts w:eastAsia="Times New Roman" w:cstheme="minorHAnsi"/>
          <w:color w:val="000000"/>
          <w:lang w:eastAsia="en-GB"/>
        </w:rPr>
        <w:t xml:space="preserve">, J., Waite, S. and Tighe Clark, M. (2015) ‘SHEU: Measuring the impact of outdoor learning on the physical activity of school age children: The use of </w:t>
      </w:r>
      <w:proofErr w:type="spellStart"/>
      <w:r w:rsidRPr="0080112F">
        <w:rPr>
          <w:rFonts w:eastAsia="Times New Roman" w:cstheme="minorHAnsi"/>
          <w:color w:val="000000"/>
          <w:lang w:eastAsia="en-GB"/>
        </w:rPr>
        <w:t>accelerometry</w:t>
      </w:r>
      <w:proofErr w:type="spellEnd"/>
      <w:r w:rsidRPr="0080112F">
        <w:rPr>
          <w:rFonts w:eastAsia="Times New Roman" w:cstheme="minorHAnsi"/>
          <w:color w:val="000000"/>
          <w:lang w:eastAsia="en-GB"/>
        </w:rPr>
        <w:t xml:space="preserve">’, </w:t>
      </w:r>
      <w:r w:rsidRPr="0080112F">
        <w:rPr>
          <w:rFonts w:eastAsia="Times New Roman" w:cstheme="minorHAnsi"/>
          <w:i/>
          <w:iCs/>
          <w:color w:val="000000"/>
          <w:lang w:eastAsia="en-GB"/>
        </w:rPr>
        <w:t xml:space="preserve">Measuring the impact of outdoor learning on the </w:t>
      </w:r>
      <w:proofErr w:type="gramStart"/>
      <w:r w:rsidRPr="0080112F">
        <w:rPr>
          <w:rFonts w:eastAsia="Times New Roman" w:cstheme="minorHAnsi"/>
          <w:i/>
          <w:iCs/>
          <w:color w:val="000000"/>
          <w:lang w:eastAsia="en-GB"/>
        </w:rPr>
        <w:t>physical  activity</w:t>
      </w:r>
      <w:proofErr w:type="gramEnd"/>
      <w:r w:rsidRPr="0080112F">
        <w:rPr>
          <w:rFonts w:eastAsia="Times New Roman" w:cstheme="minorHAnsi"/>
          <w:i/>
          <w:iCs/>
          <w:color w:val="000000"/>
          <w:lang w:eastAsia="en-GB"/>
        </w:rPr>
        <w:t xml:space="preserve"> of school age children: The use of </w:t>
      </w:r>
      <w:proofErr w:type="spellStart"/>
      <w:r w:rsidRPr="0080112F">
        <w:rPr>
          <w:rFonts w:eastAsia="Times New Roman" w:cstheme="minorHAnsi"/>
          <w:i/>
          <w:iCs/>
          <w:color w:val="000000"/>
          <w:lang w:eastAsia="en-GB"/>
        </w:rPr>
        <w:t>accelerometry</w:t>
      </w:r>
      <w:proofErr w:type="spellEnd"/>
      <w:r w:rsidRPr="0080112F">
        <w:rPr>
          <w:rFonts w:eastAsia="Times New Roman" w:cstheme="minorHAnsi"/>
          <w:color w:val="000000"/>
          <w:lang w:eastAsia="en-GB"/>
        </w:rPr>
        <w:t>. </w:t>
      </w:r>
    </w:p>
    <w:p w:rsidR="0080112F" w:rsidRPr="0080112F" w:rsidRDefault="0080112F" w:rsidP="0080112F">
      <w:pPr>
        <w:spacing w:before="240" w:after="240" w:line="240" w:lineRule="auto"/>
        <w:rPr>
          <w:rFonts w:eastAsia="Times New Roman" w:cstheme="minorHAnsi"/>
          <w:lang w:eastAsia="en-GB"/>
        </w:rPr>
      </w:pPr>
      <w:r w:rsidRPr="0080112F">
        <w:rPr>
          <w:rFonts w:eastAsia="Times New Roman" w:cstheme="minorHAnsi"/>
          <w:color w:val="000000"/>
          <w:lang w:eastAsia="en-GB"/>
        </w:rPr>
        <w:t xml:space="preserve">Donaldson, G., 2015. Successful Futures: Independent review of curriculum and assessment arrangements in Wales. </w:t>
      </w:r>
      <w:proofErr w:type="spellStart"/>
      <w:r w:rsidRPr="0080112F">
        <w:rPr>
          <w:rFonts w:eastAsia="Times New Roman" w:cstheme="minorHAnsi"/>
          <w:color w:val="000000"/>
          <w:lang w:eastAsia="en-GB"/>
        </w:rPr>
        <w:t>Caerdydd</w:t>
      </w:r>
      <w:proofErr w:type="spellEnd"/>
      <w:r w:rsidRPr="0080112F">
        <w:rPr>
          <w:rFonts w:eastAsia="Times New Roman" w:cstheme="minorHAnsi"/>
          <w:color w:val="000000"/>
          <w:lang w:eastAsia="en-GB"/>
        </w:rPr>
        <w:t xml:space="preserve">: </w:t>
      </w:r>
      <w:proofErr w:type="spellStart"/>
      <w:r w:rsidRPr="0080112F">
        <w:rPr>
          <w:rFonts w:eastAsia="Times New Roman" w:cstheme="minorHAnsi"/>
          <w:color w:val="000000"/>
          <w:lang w:eastAsia="en-GB"/>
        </w:rPr>
        <w:t>Llywodraeth</w:t>
      </w:r>
      <w:proofErr w:type="spellEnd"/>
      <w:r w:rsidRPr="0080112F">
        <w:rPr>
          <w:rFonts w:eastAsia="Times New Roman" w:cstheme="minorHAnsi"/>
          <w:color w:val="000000"/>
          <w:lang w:eastAsia="en-GB"/>
        </w:rPr>
        <w:t xml:space="preserve"> </w:t>
      </w:r>
      <w:proofErr w:type="spellStart"/>
      <w:r w:rsidRPr="0080112F">
        <w:rPr>
          <w:rFonts w:eastAsia="Times New Roman" w:cstheme="minorHAnsi"/>
          <w:color w:val="000000"/>
          <w:lang w:eastAsia="en-GB"/>
        </w:rPr>
        <w:t>Cenedlaethol</w:t>
      </w:r>
      <w:proofErr w:type="spellEnd"/>
      <w:r w:rsidRPr="0080112F">
        <w:rPr>
          <w:rFonts w:eastAsia="Times New Roman" w:cstheme="minorHAnsi"/>
          <w:color w:val="000000"/>
          <w:lang w:eastAsia="en-GB"/>
        </w:rPr>
        <w:t xml:space="preserve"> Cymru.</w:t>
      </w:r>
    </w:p>
    <w:p w:rsidR="0080112F" w:rsidRPr="0080112F" w:rsidRDefault="0080112F" w:rsidP="0080112F">
      <w:pPr>
        <w:spacing w:before="240" w:after="240" w:line="240" w:lineRule="auto"/>
        <w:rPr>
          <w:rFonts w:eastAsia="Times New Roman" w:cstheme="minorHAnsi"/>
          <w:lang w:eastAsia="en-GB"/>
        </w:rPr>
      </w:pPr>
      <w:r w:rsidRPr="0080112F">
        <w:rPr>
          <w:rFonts w:eastAsia="Times New Roman" w:cstheme="minorHAnsi"/>
          <w:i/>
          <w:iCs/>
          <w:color w:val="000000"/>
          <w:lang w:eastAsia="en-GB"/>
        </w:rPr>
        <w:t xml:space="preserve">How to teach any subject outdoors at secondary </w:t>
      </w:r>
      <w:proofErr w:type="gramStart"/>
      <w:r w:rsidRPr="0080112F">
        <w:rPr>
          <w:rFonts w:eastAsia="Times New Roman" w:cstheme="minorHAnsi"/>
          <w:i/>
          <w:iCs/>
          <w:color w:val="000000"/>
          <w:lang w:eastAsia="en-GB"/>
        </w:rPr>
        <w:t xml:space="preserve">school </w:t>
      </w:r>
      <w:r w:rsidRPr="0080112F">
        <w:rPr>
          <w:rFonts w:eastAsia="Times New Roman" w:cstheme="minorHAnsi"/>
          <w:color w:val="000000"/>
          <w:lang w:eastAsia="en-GB"/>
        </w:rPr>
        <w:t>.</w:t>
      </w:r>
      <w:proofErr w:type="gramEnd"/>
      <w:r w:rsidRPr="0080112F">
        <w:rPr>
          <w:rFonts w:eastAsia="Times New Roman" w:cstheme="minorHAnsi"/>
          <w:color w:val="000000"/>
          <w:lang w:eastAsia="en-GB"/>
        </w:rPr>
        <w:t xml:space="preserve"> Learning through Landscapes. Available at: https://ltl.org.uk/news/teach-any-subject-outdoors-secondary-school/#:~:text=On%20average%2C%20secondary%20schools%20spend,minutes%20a%20week%20learning%20outdoors. </w:t>
      </w:r>
    </w:p>
    <w:p w:rsidR="0080112F" w:rsidRPr="0080112F" w:rsidRDefault="0080112F" w:rsidP="0080112F">
      <w:pPr>
        <w:spacing w:before="240" w:after="240" w:line="240" w:lineRule="auto"/>
        <w:rPr>
          <w:rFonts w:eastAsia="Times New Roman" w:cstheme="minorHAnsi"/>
          <w:lang w:eastAsia="en-GB"/>
        </w:rPr>
      </w:pPr>
      <w:r w:rsidRPr="0080112F">
        <w:rPr>
          <w:rFonts w:eastAsia="Times New Roman" w:cstheme="minorHAnsi"/>
          <w:color w:val="000000"/>
          <w:lang w:eastAsia="en-GB"/>
        </w:rPr>
        <w:t>IOL (2021) Outdoor Learning [Preprint]. doi:</w:t>
      </w:r>
      <w:hyperlink r:id="rId6" w:history="1">
        <w:r w:rsidRPr="0080112F">
          <w:rPr>
            <w:rFonts w:eastAsia="Times New Roman" w:cstheme="minorHAnsi"/>
            <w:color w:val="1155CC"/>
            <w:u w:val="single"/>
            <w:lang w:eastAsia="en-GB"/>
          </w:rPr>
          <w:t>https://www.outdoor-learning.org/Portals/0/IOL%20Documents/About%20Outdoor%20Learning/RR1%20-%20Describing%20Outdoor%20Learning%202-8-21.pdf?ver=2021-08-10-133755-690</w:t>
        </w:r>
      </w:hyperlink>
      <w:r w:rsidRPr="0080112F">
        <w:rPr>
          <w:rFonts w:eastAsia="Times New Roman" w:cstheme="minorHAnsi"/>
          <w:color w:val="000000"/>
          <w:lang w:eastAsia="en-GB"/>
        </w:rPr>
        <w:t>.</w:t>
      </w:r>
    </w:p>
    <w:p w:rsidR="0080112F" w:rsidRPr="0080112F" w:rsidRDefault="0080112F" w:rsidP="0080112F">
      <w:pPr>
        <w:spacing w:before="240" w:after="240" w:line="240" w:lineRule="auto"/>
        <w:rPr>
          <w:rFonts w:eastAsia="Times New Roman" w:cstheme="minorHAnsi"/>
          <w:lang w:eastAsia="en-GB"/>
        </w:rPr>
      </w:pPr>
      <w:r w:rsidRPr="0080112F">
        <w:rPr>
          <w:rFonts w:eastAsia="Times New Roman" w:cstheme="minorHAnsi"/>
          <w:color w:val="000000"/>
          <w:lang w:eastAsia="en-GB"/>
        </w:rPr>
        <w:t xml:space="preserve">Pound, L. (2014) How Children Learn: Educational Theories and Approaches from Comenius the Father of Modern Education to Giants Such as </w:t>
      </w:r>
      <w:proofErr w:type="spellStart"/>
      <w:proofErr w:type="gramStart"/>
      <w:r w:rsidRPr="0080112F">
        <w:rPr>
          <w:rFonts w:eastAsia="Times New Roman" w:cstheme="minorHAnsi"/>
          <w:color w:val="000000"/>
          <w:lang w:eastAsia="en-GB"/>
        </w:rPr>
        <w:t>Piaget,Vygotsky</w:t>
      </w:r>
      <w:proofErr w:type="spellEnd"/>
      <w:proofErr w:type="gramEnd"/>
      <w:r w:rsidRPr="0080112F">
        <w:rPr>
          <w:rFonts w:eastAsia="Times New Roman" w:cstheme="minorHAnsi"/>
          <w:color w:val="000000"/>
          <w:lang w:eastAsia="en-GB"/>
        </w:rPr>
        <w:t xml:space="preserve"> and Malaguzzi. Amsterdam, Netherlands: </w:t>
      </w:r>
      <w:proofErr w:type="spellStart"/>
      <w:r w:rsidRPr="0080112F">
        <w:rPr>
          <w:rFonts w:eastAsia="Times New Roman" w:cstheme="minorHAnsi"/>
          <w:color w:val="000000"/>
          <w:lang w:eastAsia="en-GB"/>
        </w:rPr>
        <w:t>Afdo</w:t>
      </w:r>
      <w:proofErr w:type="spellEnd"/>
      <w:r w:rsidRPr="0080112F">
        <w:rPr>
          <w:rFonts w:eastAsia="Times New Roman" w:cstheme="minorHAnsi"/>
          <w:color w:val="000000"/>
          <w:lang w:eastAsia="en-GB"/>
        </w:rPr>
        <w:t xml:space="preserve"> Books.</w:t>
      </w:r>
    </w:p>
    <w:p w:rsidR="0080112F" w:rsidRPr="0080112F" w:rsidRDefault="0080112F" w:rsidP="0080112F">
      <w:pPr>
        <w:spacing w:before="240" w:after="240" w:line="240" w:lineRule="auto"/>
        <w:rPr>
          <w:rFonts w:eastAsia="Times New Roman" w:cstheme="minorHAnsi"/>
          <w:lang w:eastAsia="en-GB"/>
        </w:rPr>
      </w:pPr>
      <w:r w:rsidRPr="0080112F">
        <w:rPr>
          <w:rFonts w:eastAsia="Times New Roman" w:cstheme="minorHAnsi"/>
          <w:color w:val="000000"/>
          <w:lang w:eastAsia="en-GB"/>
        </w:rPr>
        <w:t xml:space="preserve">The Shared Vision and Values for Outdoor Provision in the Early Years (Vision and Values Partnership, 2004) http://outdoormatters.co. </w:t>
      </w:r>
      <w:proofErr w:type="spellStart"/>
      <w:r w:rsidRPr="0080112F">
        <w:rPr>
          <w:rFonts w:eastAsia="Times New Roman" w:cstheme="minorHAnsi"/>
          <w:color w:val="000000"/>
          <w:lang w:eastAsia="en-GB"/>
        </w:rPr>
        <w:t>uk</w:t>
      </w:r>
      <w:proofErr w:type="spellEnd"/>
      <w:r w:rsidRPr="0080112F">
        <w:rPr>
          <w:rFonts w:eastAsia="Times New Roman" w:cstheme="minorHAnsi"/>
          <w:color w:val="000000"/>
          <w:lang w:eastAsia="en-GB"/>
        </w:rPr>
        <w:t>/</w:t>
      </w:r>
      <w:proofErr w:type="spellStart"/>
      <w:r w:rsidRPr="0080112F">
        <w:rPr>
          <w:rFonts w:eastAsia="Times New Roman" w:cstheme="minorHAnsi"/>
          <w:color w:val="000000"/>
          <w:lang w:eastAsia="en-GB"/>
        </w:rPr>
        <w:t>wp</w:t>
      </w:r>
      <w:proofErr w:type="spellEnd"/>
      <w:r w:rsidRPr="0080112F">
        <w:rPr>
          <w:rFonts w:eastAsia="Times New Roman" w:cstheme="minorHAnsi"/>
          <w:color w:val="000000"/>
          <w:lang w:eastAsia="en-GB"/>
        </w:rPr>
        <w:t xml:space="preserve">-content/uploadsI2011/03/ </w:t>
      </w:r>
      <w:proofErr w:type="spellStart"/>
      <w:r w:rsidRPr="0080112F">
        <w:rPr>
          <w:rFonts w:eastAsia="Times New Roman" w:cstheme="minorHAnsi"/>
          <w:color w:val="000000"/>
          <w:lang w:eastAsia="en-GB"/>
        </w:rPr>
        <w:t>eyfS_res</w:t>
      </w:r>
      <w:proofErr w:type="spellEnd"/>
      <w:r w:rsidRPr="0080112F">
        <w:rPr>
          <w:rFonts w:eastAsia="Times New Roman" w:cstheme="minorHAnsi"/>
          <w:color w:val="000000"/>
          <w:lang w:eastAsia="en-GB"/>
        </w:rPr>
        <w:t xml:space="preserve">_ vision_ </w:t>
      </w:r>
      <w:proofErr w:type="spellStart"/>
      <w:r w:rsidRPr="0080112F">
        <w:rPr>
          <w:rFonts w:eastAsia="Times New Roman" w:cstheme="minorHAnsi"/>
          <w:color w:val="000000"/>
          <w:lang w:eastAsia="en-GB"/>
        </w:rPr>
        <w:t>outdoocplayl</w:t>
      </w:r>
      <w:proofErr w:type="spellEnd"/>
      <w:r w:rsidRPr="0080112F">
        <w:rPr>
          <w:rFonts w:eastAsia="Times New Roman" w:cstheme="minorHAnsi"/>
          <w:color w:val="000000"/>
          <w:lang w:eastAsia="en-GB"/>
        </w:rPr>
        <w:t>. pdf </w:t>
      </w:r>
    </w:p>
    <w:p w:rsidR="0080112F" w:rsidRPr="0080112F" w:rsidRDefault="0080112F" w:rsidP="0080112F">
      <w:pPr>
        <w:spacing w:before="240" w:after="240" w:line="240" w:lineRule="auto"/>
        <w:rPr>
          <w:rFonts w:eastAsia="Times New Roman" w:cstheme="minorHAnsi"/>
          <w:lang w:eastAsia="en-GB"/>
        </w:rPr>
      </w:pPr>
      <w:r w:rsidRPr="0080112F">
        <w:rPr>
          <w:rFonts w:eastAsia="Times New Roman" w:cstheme="minorHAnsi"/>
          <w:color w:val="000000"/>
          <w:lang w:eastAsia="en-GB"/>
        </w:rPr>
        <w:t xml:space="preserve">Valentine, G. &amp; McKendrick, J. (1997) Children’s outdoor </w:t>
      </w:r>
      <w:proofErr w:type="spellStart"/>
      <w:proofErr w:type="gramStart"/>
      <w:r w:rsidRPr="0080112F">
        <w:rPr>
          <w:rFonts w:eastAsia="Times New Roman" w:cstheme="minorHAnsi"/>
          <w:color w:val="000000"/>
          <w:lang w:eastAsia="en-GB"/>
        </w:rPr>
        <w:t>play:exploring</w:t>
      </w:r>
      <w:proofErr w:type="spellEnd"/>
      <w:proofErr w:type="gramEnd"/>
      <w:r w:rsidRPr="0080112F">
        <w:rPr>
          <w:rFonts w:eastAsia="Times New Roman" w:cstheme="minorHAnsi"/>
          <w:color w:val="000000"/>
          <w:lang w:eastAsia="en-GB"/>
        </w:rPr>
        <w:t xml:space="preserve"> parental concerns about children’s safety and the challenging nature of childhood. </w:t>
      </w:r>
      <w:proofErr w:type="spellStart"/>
      <w:r w:rsidRPr="0080112F">
        <w:rPr>
          <w:rFonts w:eastAsia="Times New Roman" w:cstheme="minorHAnsi"/>
          <w:color w:val="000000"/>
          <w:lang w:eastAsia="en-GB"/>
        </w:rPr>
        <w:t>Geoforum</w:t>
      </w:r>
      <w:proofErr w:type="spellEnd"/>
      <w:r w:rsidRPr="0080112F">
        <w:rPr>
          <w:rFonts w:eastAsia="Times New Roman" w:cstheme="minorHAnsi"/>
          <w:color w:val="000000"/>
          <w:lang w:eastAsia="en-GB"/>
        </w:rPr>
        <w:t>, 28, 219-235</w:t>
      </w:r>
    </w:p>
    <w:p w:rsidR="0080112F" w:rsidRPr="0080112F" w:rsidRDefault="0080112F" w:rsidP="0080112F">
      <w:pPr>
        <w:spacing w:before="240" w:after="240" w:line="240" w:lineRule="auto"/>
        <w:rPr>
          <w:rFonts w:eastAsia="Times New Roman" w:cstheme="minorHAnsi"/>
          <w:lang w:eastAsia="en-GB"/>
        </w:rPr>
      </w:pPr>
      <w:r w:rsidRPr="0080112F">
        <w:rPr>
          <w:rFonts w:eastAsia="Times New Roman" w:cstheme="minorHAnsi"/>
          <w:color w:val="000000"/>
          <w:lang w:eastAsia="en-GB"/>
        </w:rPr>
        <w:t xml:space="preserve">Welsh Government (2021) The Curriculum for Wales – Statements of What Matters Code. </w:t>
      </w:r>
      <w:proofErr w:type="gramStart"/>
      <w:r w:rsidRPr="0080112F">
        <w:rPr>
          <w:rFonts w:eastAsia="Times New Roman" w:cstheme="minorHAnsi"/>
          <w:color w:val="000000"/>
          <w:lang w:eastAsia="en-GB"/>
        </w:rPr>
        <w:t>doi:https://www.gov.wales/sites/default/files/publications/2021-11/curriculum-for-wales-statements-of-what-matters-code.pdf</w:t>
      </w:r>
      <w:proofErr w:type="gramEnd"/>
      <w:r w:rsidRPr="0080112F">
        <w:rPr>
          <w:rFonts w:eastAsia="Times New Roman" w:cstheme="minorHAnsi"/>
          <w:color w:val="000000"/>
          <w:lang w:eastAsia="en-GB"/>
        </w:rPr>
        <w:t>. </w:t>
      </w:r>
    </w:p>
    <w:p w:rsidR="0080112F" w:rsidRPr="0080112F" w:rsidRDefault="0080112F" w:rsidP="0080112F">
      <w:pPr>
        <w:spacing w:before="240" w:after="240" w:line="240" w:lineRule="auto"/>
        <w:rPr>
          <w:rFonts w:eastAsia="Times New Roman" w:cstheme="minorHAnsi"/>
          <w:lang w:eastAsia="en-GB"/>
        </w:rPr>
      </w:pPr>
      <w:r w:rsidRPr="0080112F">
        <w:rPr>
          <w:rFonts w:eastAsia="Times New Roman" w:cstheme="minorHAnsi"/>
          <w:color w:val="000000"/>
          <w:lang w:eastAsia="en-GB"/>
        </w:rPr>
        <w:t xml:space="preserve">White, J. (2008) Being, Playing and Learning Outdoors: Making Provision for High Quality Experiences in the Outdoor Environment (Essential Guides for Early Years Practitioners). 1st </w:t>
      </w:r>
      <w:proofErr w:type="spellStart"/>
      <w:r w:rsidRPr="0080112F">
        <w:rPr>
          <w:rFonts w:eastAsia="Times New Roman" w:cstheme="minorHAnsi"/>
          <w:color w:val="000000"/>
          <w:lang w:eastAsia="en-GB"/>
        </w:rPr>
        <w:t>edn</w:t>
      </w:r>
      <w:proofErr w:type="spellEnd"/>
      <w:r w:rsidRPr="0080112F">
        <w:rPr>
          <w:rFonts w:eastAsia="Times New Roman" w:cstheme="minorHAnsi"/>
          <w:color w:val="000000"/>
          <w:lang w:eastAsia="en-GB"/>
        </w:rPr>
        <w:t>. Routledge.</w:t>
      </w:r>
    </w:p>
    <w:p w:rsidR="0080112F" w:rsidRPr="0080112F" w:rsidRDefault="0080112F" w:rsidP="0080112F">
      <w:pPr>
        <w:spacing w:before="240" w:after="240" w:line="240" w:lineRule="auto"/>
        <w:rPr>
          <w:rFonts w:eastAsia="Times New Roman" w:cstheme="minorHAnsi"/>
          <w:lang w:eastAsia="en-GB"/>
        </w:rPr>
      </w:pPr>
      <w:r w:rsidRPr="0080112F">
        <w:rPr>
          <w:rFonts w:eastAsia="Times New Roman" w:cstheme="minorHAnsi"/>
          <w:color w:val="000000"/>
          <w:lang w:eastAsia="en-GB"/>
        </w:rPr>
        <w:t xml:space="preserve">White, J. (2013). Playing and Learning Outdoors: Making provision for high quality experiences in the outdoor environment with children 3–7 (2nd ed.). Routledge. </w:t>
      </w: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402D3F" w:rsidRDefault="00402D3F" w:rsidP="005E3D6F">
      <w:pPr>
        <w:spacing w:line="360" w:lineRule="auto"/>
        <w:jc w:val="both"/>
      </w:pPr>
    </w:p>
    <w:p w:rsidR="00674EC8" w:rsidRDefault="00674EC8" w:rsidP="005E3D6F">
      <w:pPr>
        <w:spacing w:line="360" w:lineRule="auto"/>
        <w:jc w:val="both"/>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985733" w:rsidRDefault="00985733" w:rsidP="00674EC8">
      <w:pPr>
        <w:spacing w:line="360" w:lineRule="auto"/>
        <w:jc w:val="center"/>
        <w:rPr>
          <w:b/>
          <w:u w:val="single"/>
        </w:rPr>
      </w:pPr>
    </w:p>
    <w:p w:rsidR="00674EC8" w:rsidRDefault="00674EC8" w:rsidP="00674EC8">
      <w:pPr>
        <w:spacing w:line="360" w:lineRule="auto"/>
        <w:jc w:val="center"/>
        <w:rPr>
          <w:b/>
          <w:u w:val="single"/>
        </w:rPr>
      </w:pPr>
      <w:r>
        <w:rPr>
          <w:b/>
          <w:u w:val="single"/>
        </w:rPr>
        <w:lastRenderedPageBreak/>
        <w:t>Element four</w:t>
      </w:r>
    </w:p>
    <w:p w:rsidR="00674EC8" w:rsidRDefault="00674EC8" w:rsidP="00674EC8">
      <w:pPr>
        <w:spacing w:line="360" w:lineRule="auto"/>
        <w:jc w:val="center"/>
        <w:rPr>
          <w:b/>
          <w:u w:val="single"/>
        </w:rPr>
      </w:pPr>
      <w:r>
        <w:rPr>
          <w:b/>
          <w:u w:val="single"/>
        </w:rPr>
        <w:t>Literature Review – The Role of Outdoor Education.</w:t>
      </w:r>
    </w:p>
    <w:p w:rsidR="0078334F" w:rsidRDefault="00FD256F" w:rsidP="00674EC8">
      <w:pPr>
        <w:spacing w:line="360" w:lineRule="auto"/>
        <w:jc w:val="both"/>
      </w:pPr>
      <w:r>
        <w:t>Outdoor education is not a new concept but one that is developing and advancing quickly and building in popularity. The role of outdoor education will have been reviewed, tried out, criticised, embraced, loved and loathed</w:t>
      </w:r>
      <w:r w:rsidR="00251148">
        <w:t>. The type of setting will also have an impact on how outdoor learning is received</w:t>
      </w:r>
      <w:r w:rsidR="00F8618F">
        <w:t xml:space="preserve"> and delivered. Secondary schools may find it more difficult to incorporate </w:t>
      </w:r>
      <w:r w:rsidR="00E66568">
        <w:t xml:space="preserve">outdoor learning into the timetable and subject leads may be reluctant to lose teaching time. However, without understanding and trialling this teaching method, schools may not know what they are missing out on. </w:t>
      </w:r>
      <w:r w:rsidR="007C2AC3">
        <w:t>The diverse field that encompasses such a wide range of approaches and objectives, not to mention opportunities in education that could be inexplorable.</w:t>
      </w:r>
      <w:r w:rsidR="007C7C50">
        <w:t xml:space="preserve"> To the author outdoor education is an approach to learning that takes place in the naturel environment. It involves a variety of activities and experiences that promote learning through direct engagement with the natural world. John Dewey believed that education should be experiential and that students should learn through hands-on, real life experiences. He argued that outdoor education was an ideal way to achieve this, as it allowed students this opportunity where they could develop their senses and intuition</w:t>
      </w:r>
      <w:r w:rsidR="00C77839">
        <w:t xml:space="preserve"> (Dewey, 1910)</w:t>
      </w:r>
      <w:r w:rsidR="007C7C50">
        <w:t xml:space="preserve">. Dewey claims </w:t>
      </w:r>
    </w:p>
    <w:p w:rsidR="00506746" w:rsidRDefault="00232C6F" w:rsidP="00506746">
      <w:pPr>
        <w:spacing w:line="360" w:lineRule="auto"/>
        <w:ind w:left="850" w:right="850"/>
        <w:jc w:val="both"/>
      </w:pPr>
      <w:r>
        <w:t>Although books are key to interpreting and expanding experiences, they are no substitute for actual experience. Symbols are never</w:t>
      </w:r>
      <w:r w:rsidR="00D17902">
        <w:t xml:space="preserve"> a stand in</w:t>
      </w:r>
      <w:r w:rsidR="00506746">
        <w:t xml:space="preserve"> for reality. Instead, children benefit from seeing books as a way to solve real life problems and </w:t>
      </w:r>
      <w:r w:rsidR="00C77839">
        <w:t>pursuing</w:t>
      </w:r>
      <w:r w:rsidR="00506746">
        <w:t xml:space="preserve"> their interests </w:t>
      </w:r>
      <w:sdt>
        <w:sdtPr>
          <w:id w:val="178549524"/>
          <w:citation/>
        </w:sdtPr>
        <w:sdtContent>
          <w:r w:rsidR="00506746">
            <w:fldChar w:fldCharType="begin"/>
          </w:r>
          <w:r w:rsidR="00506746">
            <w:instrText xml:space="preserve"> CITATION Jan20 \l 2057 </w:instrText>
          </w:r>
          <w:r w:rsidR="00506746">
            <w:fldChar w:fldCharType="separate"/>
          </w:r>
          <w:r w:rsidR="00506746" w:rsidRPr="00331FE8">
            <w:rPr>
              <w:noProof/>
            </w:rPr>
            <w:t>(Currell, 2020)</w:t>
          </w:r>
          <w:r w:rsidR="00506746">
            <w:fldChar w:fldCharType="end"/>
          </w:r>
        </w:sdtContent>
      </w:sdt>
      <w:r w:rsidR="00506746">
        <w:t>.</w:t>
      </w:r>
    </w:p>
    <w:p w:rsidR="00D16ED8" w:rsidRDefault="00D16ED8" w:rsidP="00506746">
      <w:pPr>
        <w:spacing w:line="360" w:lineRule="auto"/>
        <w:jc w:val="both"/>
      </w:pPr>
      <w:r>
        <w:t xml:space="preserve">Outdoor education is a form of learning that seeks to engage students in activities that take place outside of the traditional classroom setting. This approach to learning has been shown </w:t>
      </w:r>
      <w:r w:rsidR="00DB27F7">
        <w:t>to have numerous benefits</w:t>
      </w:r>
      <w:r w:rsidR="00537CA6">
        <w:t xml:space="preserve"> for students of all ages including improved physical health, cognitive development and social skills. The purpose of this literature review is to explore the role of outdoor education and its importance in promoting holistic development, referencing key theorists who have contributed to the understanding of outdoor education.</w:t>
      </w:r>
    </w:p>
    <w:p w:rsidR="00224310" w:rsidRDefault="00537CA6" w:rsidP="00615F86">
      <w:pPr>
        <w:spacing w:line="360" w:lineRule="auto"/>
        <w:jc w:val="both"/>
      </w:pPr>
      <w:r>
        <w:t xml:space="preserve">An obvious advantage of outdoor education is it ability to promote physical development. Outdoor activities such as hiking, rock climbing and canoeing provide </w:t>
      </w:r>
      <w:r w:rsidR="003826CD">
        <w:t xml:space="preserve">students with opportunities to engage in </w:t>
      </w:r>
      <w:r w:rsidR="00615F86">
        <w:t xml:space="preserve">physical exercise that can help to improve cardiovascular health, strength and endurance. According to Piaget’s theory of cognitive development, </w:t>
      </w:r>
      <w:r w:rsidR="00224310">
        <w:t>‘</w:t>
      </w:r>
      <w:r w:rsidR="00615F86">
        <w:t>physical activity i</w:t>
      </w:r>
      <w:r w:rsidR="00224310">
        <w:t>s</w:t>
      </w:r>
      <w:r w:rsidR="00615F86">
        <w:t xml:space="preserve"> an essential part of children</w:t>
      </w:r>
      <w:r w:rsidR="00224310">
        <w:t>’</w:t>
      </w:r>
      <w:r w:rsidR="00615F86">
        <w:t xml:space="preserve">s development as it helps them to develop their </w:t>
      </w:r>
      <w:r w:rsidR="00224310">
        <w:t xml:space="preserve">motor skills and spatial awareness’ (Piaget, 1952). Moreover, research has shown that outdoor activities can also ‘help reduce obesity rates in children and help improve their overall health and well-being’ (Telford et al., 2016). </w:t>
      </w:r>
    </w:p>
    <w:p w:rsidR="007B0DD5" w:rsidRDefault="00224310" w:rsidP="00615F86">
      <w:pPr>
        <w:spacing w:line="360" w:lineRule="auto"/>
        <w:jc w:val="both"/>
      </w:pPr>
      <w:r>
        <w:lastRenderedPageBreak/>
        <w:t xml:space="preserve">Outdoor education can also pay a critical role in promoting cognitive development. Exposure to natural environments can enhance cognitive function, creativity and problem-skills. According to the ‘Attention Restoration Theory’ proposed by Kaplan and Kaplan (1989), being in nature can help to restore attention, reduce stress and improve cognitive performance. Similarly, Ulrich’s (1984), </w:t>
      </w:r>
      <w:r w:rsidR="007B0DD5">
        <w:t xml:space="preserve">theory of Biophilia suggests that humans have an innate desire to connect with nature, which can have a positive impact on their cognitive and emotional well-being. </w:t>
      </w:r>
    </w:p>
    <w:p w:rsidR="007B0DD5" w:rsidRDefault="007B0DD5" w:rsidP="00615F86">
      <w:pPr>
        <w:spacing w:line="360" w:lineRule="auto"/>
        <w:jc w:val="both"/>
      </w:pPr>
      <w:r>
        <w:t xml:space="preserve">Outdoor education can also play a critical role in promoting social development. Outdoor activities often require teamwork, communication and leadership skills. Working together to accomplish tasks in a natural setting can also increase social cohesion and respect for others. Social learning theory, proposed by Bandura (1971), emphasises the importance of observational learning and modelling in the acquisition of social skills. Thus, students who participate in outdoor education programs can learn social skills through observation and modelling, which can help them build better relationships with peers and educators. </w:t>
      </w:r>
    </w:p>
    <w:p w:rsidR="00DE46DA" w:rsidRDefault="007B0DD5" w:rsidP="00615F86">
      <w:pPr>
        <w:spacing w:line="360" w:lineRule="auto"/>
        <w:jc w:val="both"/>
      </w:pPr>
      <w:r>
        <w:t>Outdoor education can promote</w:t>
      </w:r>
      <w:r w:rsidR="005C06B6">
        <w:t xml:space="preserve"> emotional development by improving self-esteem, self-awareness and emotional regulation. ‘Being in nature has been shown to reduce symptoms of depression, anxiety and other mental health disorders’ (Berman et al., 2012). Similarly, the theory of self determination proposed by Deci and Ryan (1985), emphasises ‘the importance of autonomy, competence and relatedness in promoting emotional well-being’. Outdoor education can provide students with opportunities to develop their autonomy, competence and relatedness which ultimately leads to improved emotional well-being. </w:t>
      </w:r>
    </w:p>
    <w:p w:rsidR="00B37C24" w:rsidRDefault="00DE46DA" w:rsidP="00615F86">
      <w:pPr>
        <w:spacing w:line="360" w:lineRule="auto"/>
        <w:jc w:val="both"/>
      </w:pPr>
      <w:r>
        <w:t>There have been many reviews and studies dedicated to research on outdoor education and the many benefits it presents.</w:t>
      </w:r>
      <w:r w:rsidR="00AF58CE">
        <w:t xml:space="preserve"> A systematic review of the health and well-being benefits of nature based outdoor education programs for children found that exposure to nature can improve physical, mental health, cognitive development and social well-being in children (Soga et al., 2017). A study conducted by the university of Illinois found that children who play in green spaces have lower rates of attention deficit hyperactivity disorder (ADHD) symptoms than those who play in non-green spaces (Taylor et al., 2001). Research conducted by the University of Michigan found that exposure to nature can help reduce stress, anxiety and depression, and improve cognitive function (Bratman et al., 2015). A study done by the University of Essex </w:t>
      </w:r>
      <w:r w:rsidR="0079468B">
        <w:t>found that exposure to green space can lead to improved mood, self-esteem and cognitive function in adults (Barton and Pretty, 2010). Research by the University of Pittsburgh found children who spend more time outdoors have better distance vision than those who spend more time indoors (Quinn et al., 2011). A study conducted by the university of East Anglia found children who spend more time in nature have lower rates of myopia (</w:t>
      </w:r>
      <w:r w:rsidR="004503C7">
        <w:t>short</w:t>
      </w:r>
      <w:r w:rsidR="0079468B">
        <w:t xml:space="preserve"> sightedness) than those </w:t>
      </w:r>
      <w:r w:rsidR="0079468B">
        <w:lastRenderedPageBreak/>
        <w:t>who spend less time in nature (Wu et al., 2020). A review on the literature on the benefits of nature exposure for children with autism spectrum disorder (ASD) found that outdoor education programs can improve social skills, communication and reduce stereotypical behaviours in children with ASD (Rivkin et al., 2019). These studies all suggest that outdoor education programs can provide significant health benefits to children and adults alike. Exposure to nature can improve physical health, mental health, cognitive development and social well-being.</w:t>
      </w:r>
      <w:r w:rsidR="000D6D56">
        <w:t xml:space="preserve"> The amount of time needed outdoors to feel the benefits can vary depending on the specific benefit being sought and the individual themselves. Studies on the subject can help us in determining an average time </w:t>
      </w:r>
      <w:r w:rsidR="00B124C5">
        <w:t>needed. The University of Exeter carried out a study and found that spending just two hours a week in nature can lead to significant improvements in physical health and well-being</w:t>
      </w:r>
      <w:r w:rsidR="00F17257">
        <w:t xml:space="preserve"> (White et al., </w:t>
      </w:r>
      <w:r w:rsidR="00B37C24">
        <w:t>2019). According to a study by the University of Michigan, a twenty-minute walk can improve stress and improve cognitive function (Bratman et al., 2012). The University of East Anglia found that as little as ten to thirty minutes a week can reduce the risk of developing depression (Twohig-Bennett &amp; Jones, 2018). Finally, research led by the university of Utah found that spending time in nature for at least thirty minutes per week can reduce symptoms of ADHD (</w:t>
      </w:r>
      <w:proofErr w:type="spellStart"/>
      <w:r w:rsidR="00B37C24">
        <w:t>Kuo</w:t>
      </w:r>
      <w:proofErr w:type="spellEnd"/>
      <w:r w:rsidR="00B37C24">
        <w:t xml:space="preserve"> &amp; Faber Taylor, 2004). Each of these studies suggest that even short periods of time in nature can have significant benefits for physical and mental health. It is less clear on the specific amount of time required to feel these benefits. This is most likely dependant on each person.</w:t>
      </w:r>
    </w:p>
    <w:p w:rsidR="003D4435" w:rsidRDefault="002050B1" w:rsidP="00615F86">
      <w:pPr>
        <w:spacing w:line="360" w:lineRule="auto"/>
        <w:jc w:val="both"/>
      </w:pPr>
      <w:r>
        <w:t xml:space="preserve">In Wales, the </w:t>
      </w:r>
      <w:r w:rsidR="000D7DA6">
        <w:t xml:space="preserve">Welsh </w:t>
      </w:r>
      <w:r>
        <w:t xml:space="preserve">Governments report “Fulfilled Lives, Supportive Communities: A Vision for Welsh Language Education in Wales 2020 – 2030” highlights the importance of outdoor learning for developing language skills, promoting well-being and fostering a connection to nature (Welsh Government, 2020). </w:t>
      </w:r>
      <w:r w:rsidR="002A2FB5">
        <w:t>According to a report by the Outdoor Education Advisors Panel (OEAP), outdoor learning is well established in Wales with many schools and other educational institutions offering a range of outdoor learning experiences (OEAP, 2019). The report notes that there is a strong culture of outdoor learning in Wales and the Welsh Government has been supportive in supporting efforts to promote outdoor learning in schools.</w:t>
      </w:r>
      <w:r w:rsidR="00A66ACC">
        <w:t xml:space="preserve"> In addition to this, a survey carried out by Natural Resources Wales found that over 80% of teachers in Wales believe outdoor learning has a positive impact on their students’ well-being, engagement and academic achievement (Natural Resources Wales, 2019). This suggests that outdoor learning is a popular and valued approach to education in Wales.</w:t>
      </w:r>
      <w:r w:rsidR="00AD4206">
        <w:t xml:space="preserve"> </w:t>
      </w:r>
      <w:r w:rsidR="00F748C5">
        <w:t>There are many m</w:t>
      </w:r>
      <w:r w:rsidR="00AD4206">
        <w:t>ore studies</w:t>
      </w:r>
      <w:r w:rsidR="00F748C5">
        <w:t xml:space="preserve"> that confirm the positive outcomes of outdoor learning. The University of Wales, trinity of Saint David found that outdoor learning can improve academic achievement, increase motivation and engagement and enhance personal and social development (Lloyd &amp; Bowers, 2018). Natural Resource Wales also state that ‘outdoor learning can improve mental well-being, increase physical activity and promote a sense of belonging and connection to the natural environment </w:t>
      </w:r>
      <w:r w:rsidR="00F748C5">
        <w:lastRenderedPageBreak/>
        <w:t xml:space="preserve">(Natural Resources Wales, 2019). A study </w:t>
      </w:r>
      <w:r w:rsidR="003D4435">
        <w:t>conducted</w:t>
      </w:r>
      <w:r w:rsidR="00F748C5">
        <w:t xml:space="preserve"> by the Wales Institute of Social and Economic Research, Data and Methods (WISERD) </w:t>
      </w:r>
      <w:r w:rsidR="003D4435">
        <w:t>found that outdoor learning can help promote social justice and reduce educational inequalities by providing opportunities for all learners to access high-quality educational experiences (WISERD, 2017). This is a unique finding from WISERD.</w:t>
      </w:r>
    </w:p>
    <w:p w:rsidR="00F748C5" w:rsidRDefault="003D4435" w:rsidP="00615F86">
      <w:pPr>
        <w:spacing w:line="360" w:lineRule="auto"/>
        <w:jc w:val="both"/>
      </w:pPr>
      <w:r>
        <w:t xml:space="preserve">These studies and reports suggest that outdoor learning in Wales can have a range of benefits from promoting well-being and language development to improving academic achievement and promoting social </w:t>
      </w:r>
      <w:r w:rsidR="009D128A">
        <w:t>injustice. It seems that outdoor learning is a significant and valued part of the educational landscape in Wales.</w:t>
      </w:r>
    </w:p>
    <w:p w:rsidR="00A07194" w:rsidRDefault="002F514D" w:rsidP="00615F86">
      <w:pPr>
        <w:spacing w:line="360" w:lineRule="auto"/>
        <w:jc w:val="both"/>
      </w:pPr>
      <w:r>
        <w:t>There is a significant amount of research on both the positive and negative aspects of outdoor education. In general, there has been more research on the positive</w:t>
      </w:r>
      <w:r w:rsidR="00A07194">
        <w:t xml:space="preserve">. There are some contested views on outdoor learning and education and research that highlights potential challenges and limitations. Some of the potential negative aspects of outdoor education that have been identified include ‘safety concerns, logistical challenges and access barriers for certain groups of learners (Barton and Bragg, 2016; </w:t>
      </w:r>
      <w:proofErr w:type="spellStart"/>
      <w:r w:rsidR="00A07194">
        <w:t>Hancox</w:t>
      </w:r>
      <w:proofErr w:type="spellEnd"/>
      <w:r w:rsidR="00A07194">
        <w:t>, 2019). Additionally, some researchers have argued that the benefits of outdoor education may be ‘overhyped’ and that ‘more research is needed to establish the true impact of outdoor education on learners</w:t>
      </w:r>
      <w:r w:rsidR="00630BEA">
        <w:t>’</w:t>
      </w:r>
      <w:r w:rsidR="00A07194">
        <w:t xml:space="preserve"> (</w:t>
      </w:r>
      <w:proofErr w:type="spellStart"/>
      <w:r w:rsidR="00A07194">
        <w:t>Humberstone</w:t>
      </w:r>
      <w:proofErr w:type="spellEnd"/>
      <w:r w:rsidR="00A07194">
        <w:t xml:space="preserve"> &amp; Brown, 2015)</w:t>
      </w:r>
      <w:r w:rsidR="00F148B2">
        <w:t xml:space="preserve">. </w:t>
      </w:r>
      <w:proofErr w:type="spellStart"/>
      <w:r w:rsidR="00F148B2">
        <w:t>Humberstone</w:t>
      </w:r>
      <w:proofErr w:type="spellEnd"/>
      <w:r w:rsidR="00F148B2">
        <w:t xml:space="preserve"> and Brown also published in their study ‘The Journal of Adventure Education and outdoor Learning’ that ‘there is a lack of empirical evidence to support claims about the benefit of outdoor education and that much more research is needed to establish the effectiveness of outdoor education’ (</w:t>
      </w:r>
      <w:proofErr w:type="spellStart"/>
      <w:r w:rsidR="00F148B2">
        <w:t>Humberstone</w:t>
      </w:r>
      <w:proofErr w:type="spellEnd"/>
      <w:r w:rsidR="00F148B2">
        <w:t xml:space="preserve"> &amp; Brown, 2015). The Guardian newspaper also published an article that argues, ‘while outdoor learning can be beneficial</w:t>
      </w:r>
      <w:r w:rsidR="006A0B9E">
        <w:t>, it is not panacea for all educational challenges and may not be suitable for all learners’ (</w:t>
      </w:r>
      <w:proofErr w:type="spellStart"/>
      <w:r w:rsidR="006A0B9E">
        <w:t>Hancox</w:t>
      </w:r>
      <w:proofErr w:type="spellEnd"/>
      <w:r w:rsidR="006A0B9E">
        <w:t>, 2019). There is also the grey area of the subjects being learnt with outdoor education. In the Journal of Environmental Psychology, it is found that ‘the benefits of outdoor learning may be context-dependent and that the quality of the outdoor environment and the specific activities engaged in can have a significant impact on the learning outcomes’ (</w:t>
      </w:r>
      <w:proofErr w:type="spellStart"/>
      <w:r w:rsidR="006A0B9E">
        <w:t>Rickinson</w:t>
      </w:r>
      <w:proofErr w:type="spellEnd"/>
      <w:r w:rsidR="006A0B9E">
        <w:t xml:space="preserve"> et al., 2004)</w:t>
      </w:r>
      <w:r w:rsidR="004503C7">
        <w:t xml:space="preserve">. </w:t>
      </w:r>
      <w:r w:rsidR="00D277D5">
        <w:t xml:space="preserve"> So</w:t>
      </w:r>
      <w:r w:rsidR="0061392C">
        <w:t>,</w:t>
      </w:r>
      <w:r w:rsidR="00D277D5">
        <w:t xml:space="preserve"> while there is evidence to support the benefits of outdoor learning there are contested views on its effectiveness and suitability for all learners. Further research is needed to establish the true impact of outdoor learning and to identify the best practices for its implementation.</w:t>
      </w:r>
    </w:p>
    <w:p w:rsidR="00D277D5" w:rsidRDefault="00D277D5" w:rsidP="00615F86">
      <w:pPr>
        <w:spacing w:line="360" w:lineRule="auto"/>
        <w:jc w:val="both"/>
      </w:pPr>
      <w:r>
        <w:t xml:space="preserve">Outdoor education can be more difficult to apply in a secondary school. However, there is evidence to suggest that outdoor education can be effective in this setting. In particular, in supporting the development of non-cognitive skills, such as resilience, teamwork and problem solving (Rogers e al., 2018). In addition to this outdoor education can also provide opportunities for practical, hands on learning experiences that may be beneficial for students who struggle with traditional </w:t>
      </w:r>
      <w:r w:rsidR="0072688D">
        <w:t>classroom-</w:t>
      </w:r>
      <w:r w:rsidR="0072688D">
        <w:lastRenderedPageBreak/>
        <w:t>based</w:t>
      </w:r>
      <w:r>
        <w:t xml:space="preserve"> learning (</w:t>
      </w:r>
      <w:proofErr w:type="spellStart"/>
      <w:r>
        <w:t>Dyment</w:t>
      </w:r>
      <w:proofErr w:type="spellEnd"/>
      <w:r>
        <w:t xml:space="preserve"> &amp; Bell, 2008). </w:t>
      </w:r>
      <w:r w:rsidR="0072688D">
        <w:t>One study conducted found that secondary school students who participated in outdoor education programs reported ‘improved confidence, communication skills and motivation, as well as an enhanced knowledge and understanding of the natural world’ (Barratt, 2017). Similarly, in a review of research on outdoor education in secondary schools found that such programs can lead to ‘increased engagement, motivation, improved academic performance and positive attitudes towards learning’ (Reid et al., 2018). It is important to note that the effectiveness of outdoor education in secondary schools may depend on a range of factors. These may include ‘specific program design and delivery, the skills</w:t>
      </w:r>
      <w:r w:rsidR="00EC677D">
        <w:t xml:space="preserve"> and expertise of the educators involved and the support and resources available to schools and teachers’ (</w:t>
      </w:r>
      <w:proofErr w:type="spellStart"/>
      <w:r w:rsidR="00EC677D">
        <w:t>Dyment</w:t>
      </w:r>
      <w:proofErr w:type="spellEnd"/>
      <w:r w:rsidR="00EC677D">
        <w:t xml:space="preserve"> &amp; Bell, 2008; </w:t>
      </w:r>
      <w:proofErr w:type="spellStart"/>
      <w:r w:rsidR="00EC677D">
        <w:t>Rickinson</w:t>
      </w:r>
      <w:proofErr w:type="spellEnd"/>
      <w:r w:rsidR="00EC677D">
        <w:t xml:space="preserve"> et al., 2004)</w:t>
      </w:r>
      <w:r w:rsidR="00327CC1">
        <w:t>.</w:t>
      </w:r>
    </w:p>
    <w:p w:rsidR="00E94C5B" w:rsidRDefault="007F7789" w:rsidP="00615F86">
      <w:pPr>
        <w:spacing w:line="360" w:lineRule="auto"/>
        <w:jc w:val="both"/>
      </w:pPr>
      <w:r>
        <w:t>To conclude, outdoor education can provide a range of benefits for learners of all ages. These can include improved academic performance, physical health and mental well-being, social and emotional development and environmental awareness</w:t>
      </w:r>
      <w:r w:rsidR="009C401C">
        <w:t xml:space="preserve"> (</w:t>
      </w:r>
      <w:r w:rsidR="00AD358A">
        <w:t xml:space="preserve">Barratt, 2017; </w:t>
      </w:r>
      <w:proofErr w:type="spellStart"/>
      <w:r w:rsidR="00AD358A">
        <w:t>Louv</w:t>
      </w:r>
      <w:proofErr w:type="spellEnd"/>
      <w:r w:rsidR="00AD358A">
        <w:t>, 2005; Reid et al., 2018)</w:t>
      </w:r>
      <w:r>
        <w:t>. The</w:t>
      </w:r>
      <w:r w:rsidR="00E94C5B">
        <w:t xml:space="preserve"> theoretical</w:t>
      </w:r>
      <w:r>
        <w:t xml:space="preserve"> underpinnings</w:t>
      </w:r>
      <w:r w:rsidR="00E94C5B">
        <w:t xml:space="preserve"> of outdoor education, including experiential learning and ecological perspectives, suggest that learning in outdoor contexts can be particularly effective in promoting deep understanding, critical thinking and positive attitudes towards learning</w:t>
      </w:r>
      <w:r w:rsidR="00AD358A">
        <w:t xml:space="preserve">( </w:t>
      </w:r>
      <w:proofErr w:type="spellStart"/>
      <w:r w:rsidR="00AD358A">
        <w:t>Dyment</w:t>
      </w:r>
      <w:proofErr w:type="spellEnd"/>
      <w:r w:rsidR="00AD358A">
        <w:t xml:space="preserve"> &amp; Bell, 2008)</w:t>
      </w:r>
      <w:r w:rsidR="00E94C5B">
        <w:t xml:space="preserve"> While there is a growing body of research supporting the effectiveness of outdoor education, some scholars and practitioners have raised concerns about the potential risks and limitations of outdoor learning, particularly with regard to issues such as safety, access and equity</w:t>
      </w:r>
      <w:r w:rsidR="00AD358A">
        <w:t xml:space="preserve"> (Cutter-Mackenzie-Knowles et al., 2017)</w:t>
      </w:r>
      <w:r w:rsidR="00E94C5B">
        <w:t xml:space="preserve">. Therefore, careful planning and implementation of outdoor education programmes are necessary to ensure that they are safe, accessible and inclusive to all learners. </w:t>
      </w:r>
    </w:p>
    <w:p w:rsidR="007F7789" w:rsidRDefault="00E94C5B" w:rsidP="00615F86">
      <w:pPr>
        <w:spacing w:line="360" w:lineRule="auto"/>
        <w:jc w:val="both"/>
      </w:pPr>
      <w:r>
        <w:t>Overall, the evidence suggests that outdoor education can be a valuable complement to traditional classroom-based learning, providing learners with unique and enriching opportunities to connect with nature, develop key skills and knowledge and cultivate a sense of stewardship and responsibility for the environment</w:t>
      </w:r>
      <w:r w:rsidR="00AD358A">
        <w:t xml:space="preserve"> (</w:t>
      </w:r>
      <w:proofErr w:type="spellStart"/>
      <w:r w:rsidR="00AD358A">
        <w:t>Rickinson</w:t>
      </w:r>
      <w:proofErr w:type="spellEnd"/>
      <w:r w:rsidR="00AD358A">
        <w:t xml:space="preserve"> et al</w:t>
      </w:r>
      <w:r>
        <w:t>.</w:t>
      </w:r>
      <w:r w:rsidR="00AD358A">
        <w:t>, 2004)</w:t>
      </w:r>
      <w:r w:rsidR="007F7789">
        <w:t xml:space="preserve"> </w:t>
      </w:r>
    </w:p>
    <w:p w:rsidR="00E53160" w:rsidRDefault="00E53160" w:rsidP="00615F86">
      <w:pPr>
        <w:spacing w:line="360" w:lineRule="auto"/>
        <w:jc w:val="both"/>
      </w:pPr>
    </w:p>
    <w:p w:rsidR="00E53160" w:rsidRDefault="00E53160" w:rsidP="00615F86">
      <w:pPr>
        <w:spacing w:line="360" w:lineRule="auto"/>
        <w:jc w:val="both"/>
      </w:pPr>
    </w:p>
    <w:p w:rsidR="00E53160" w:rsidRDefault="00E53160" w:rsidP="00615F86">
      <w:pPr>
        <w:spacing w:line="360" w:lineRule="auto"/>
        <w:jc w:val="both"/>
      </w:pPr>
    </w:p>
    <w:p w:rsidR="00E53160" w:rsidRDefault="00E53160" w:rsidP="00615F86">
      <w:pPr>
        <w:spacing w:line="360" w:lineRule="auto"/>
        <w:jc w:val="both"/>
      </w:pPr>
    </w:p>
    <w:p w:rsidR="00E53160" w:rsidRDefault="00E53160" w:rsidP="00615F86">
      <w:pPr>
        <w:spacing w:line="360" w:lineRule="auto"/>
        <w:jc w:val="both"/>
      </w:pPr>
    </w:p>
    <w:p w:rsidR="00E53160" w:rsidRDefault="00E53160" w:rsidP="00615F86">
      <w:pPr>
        <w:spacing w:line="360" w:lineRule="auto"/>
        <w:jc w:val="both"/>
      </w:pPr>
      <w:bookmarkStart w:id="0" w:name="_GoBack"/>
      <w:bookmarkEnd w:id="0"/>
    </w:p>
    <w:p w:rsidR="00E53160" w:rsidRPr="00E53160" w:rsidRDefault="00E53160" w:rsidP="00E53160">
      <w:pPr>
        <w:spacing w:line="360" w:lineRule="auto"/>
        <w:jc w:val="center"/>
        <w:rPr>
          <w:b/>
          <w:u w:val="single"/>
        </w:rPr>
      </w:pPr>
      <w:r w:rsidRPr="00E53160">
        <w:rPr>
          <w:b/>
          <w:u w:val="single"/>
        </w:rPr>
        <w:lastRenderedPageBreak/>
        <w:t>References</w:t>
      </w:r>
    </w:p>
    <w:p w:rsidR="00E53160" w:rsidRPr="004A7E12"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300" w:line="240" w:lineRule="auto"/>
        <w:rPr>
          <w:rFonts w:eastAsia="Times New Roman" w:cstheme="minorHAnsi"/>
          <w:color w:val="000000"/>
          <w:lang w:eastAsia="en-GB"/>
        </w:rPr>
      </w:pPr>
      <w:r w:rsidRPr="004A7E12">
        <w:rPr>
          <w:rFonts w:eastAsia="Times New Roman" w:cstheme="minorHAnsi"/>
          <w:color w:val="000000"/>
          <w:lang w:eastAsia="en-GB"/>
        </w:rPr>
        <w:t>Barratt, E. (2017). The impact of outdoor learning on students' confidence, communication skills and motivation. Journal of Adventure Education and Outdoor Learning, 17(1), 58-72.</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eastAsia="Times New Roman" w:cstheme="minorHAnsi"/>
          <w:color w:val="374151"/>
          <w:lang w:eastAsia="en-GB"/>
        </w:rPr>
      </w:pPr>
      <w:r w:rsidRPr="009149C1">
        <w:rPr>
          <w:rFonts w:eastAsia="Times New Roman" w:cstheme="minorHAnsi"/>
          <w:color w:val="374151"/>
          <w:lang w:eastAsia="en-GB"/>
        </w:rPr>
        <w:t xml:space="preserve">Barton, J., &amp; Bragg, R. (2016). </w:t>
      </w:r>
      <w:proofErr w:type="spellStart"/>
      <w:r w:rsidRPr="009149C1">
        <w:rPr>
          <w:rFonts w:eastAsia="Times New Roman" w:cstheme="minorHAnsi"/>
          <w:color w:val="374151"/>
          <w:lang w:eastAsia="en-GB"/>
        </w:rPr>
        <w:t>Te</w:t>
      </w:r>
      <w:proofErr w:type="spellEnd"/>
      <w:r w:rsidRPr="009149C1">
        <w:rPr>
          <w:rFonts w:eastAsia="Times New Roman" w:cstheme="minorHAnsi"/>
          <w:color w:val="374151"/>
          <w:lang w:eastAsia="en-GB"/>
        </w:rPr>
        <w:t xml:space="preserve"> health benefits of outdoor </w:t>
      </w:r>
      <w:r w:rsidRPr="001350CF">
        <w:rPr>
          <w:rFonts w:eastAsia="Times New Roman" w:cstheme="minorHAnsi"/>
          <w:color w:val="374151"/>
          <w:lang w:eastAsia="en-GB"/>
        </w:rPr>
        <w:t>learning: A systematic review and meta-analysis. Current Opinion in Environmental Sustainability, 23, 18-25.</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eastAsia="Times New Roman" w:cstheme="minorHAnsi"/>
          <w:color w:val="374151"/>
          <w:lang w:eastAsia="en-GB"/>
        </w:rPr>
      </w:pPr>
      <w:r w:rsidRPr="009149C1">
        <w:rPr>
          <w:rFonts w:eastAsia="Times New Roman" w:cstheme="minorHAnsi"/>
          <w:color w:val="374151"/>
          <w:lang w:eastAsia="en-GB"/>
        </w:rPr>
        <w:t>B</w:t>
      </w:r>
      <w:r w:rsidRPr="0034090D">
        <w:rPr>
          <w:rFonts w:eastAsia="Times New Roman" w:cstheme="minorHAnsi"/>
          <w:color w:val="374151"/>
          <w:lang w:eastAsia="en-GB"/>
        </w:rPr>
        <w:t xml:space="preserve">arton, J., &amp; Pretty, J. (2010). What is the best dose of nature and green exercise for improving mental health? A multi-study analysis. Environmental Science and Technology, 44(10), 3947-3955. </w:t>
      </w:r>
      <w:proofErr w:type="spellStart"/>
      <w:r w:rsidRPr="0034090D">
        <w:rPr>
          <w:rFonts w:eastAsia="Times New Roman" w:cstheme="minorHAnsi"/>
          <w:color w:val="374151"/>
          <w:lang w:eastAsia="en-GB"/>
        </w:rPr>
        <w:t>doi</w:t>
      </w:r>
      <w:proofErr w:type="spellEnd"/>
      <w:r w:rsidRPr="0034090D">
        <w:rPr>
          <w:rFonts w:eastAsia="Times New Roman" w:cstheme="minorHAnsi"/>
          <w:color w:val="374151"/>
          <w:lang w:eastAsia="en-GB"/>
        </w:rPr>
        <w:t>: 10.1021/es903183r</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cstheme="minorHAnsi"/>
          <w:color w:val="374151"/>
        </w:rPr>
      </w:pPr>
      <w:r w:rsidRPr="009149C1">
        <w:rPr>
          <w:rFonts w:cstheme="minorHAnsi"/>
          <w:color w:val="374151"/>
        </w:rPr>
        <w:t xml:space="preserve">Berman, M. G., </w:t>
      </w:r>
      <w:proofErr w:type="spellStart"/>
      <w:r w:rsidRPr="009149C1">
        <w:rPr>
          <w:rFonts w:cstheme="minorHAnsi"/>
          <w:color w:val="374151"/>
        </w:rPr>
        <w:t>Jonides</w:t>
      </w:r>
      <w:proofErr w:type="spellEnd"/>
      <w:r w:rsidRPr="009149C1">
        <w:rPr>
          <w:rFonts w:cstheme="minorHAnsi"/>
          <w:color w:val="374151"/>
        </w:rPr>
        <w:t>, J., &amp; Kaplan, S. (2012). The cognitive benefits of interacting with nature. Psychological Science, 23(6), 1191-1196.</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cstheme="minorHAnsi"/>
          <w:color w:val="374151"/>
        </w:rPr>
      </w:pPr>
      <w:r w:rsidRPr="009149C1">
        <w:rPr>
          <w:rFonts w:cstheme="minorHAnsi"/>
          <w:color w:val="374151"/>
        </w:rPr>
        <w:t xml:space="preserve">Bratman, G. N., Daily, G. C., Levy, B. J., &amp; Gross, J. J. (2012). The benefits of nature experience: Improved affect and cognition. Landscape and Urban Planning, 105(3), 280-292. </w:t>
      </w:r>
      <w:proofErr w:type="spellStart"/>
      <w:r w:rsidRPr="009149C1">
        <w:rPr>
          <w:rFonts w:cstheme="minorHAnsi"/>
          <w:color w:val="374151"/>
        </w:rPr>
        <w:t>doi</w:t>
      </w:r>
      <w:proofErr w:type="spellEnd"/>
      <w:r w:rsidRPr="009149C1">
        <w:rPr>
          <w:rFonts w:cstheme="minorHAnsi"/>
          <w:color w:val="374151"/>
        </w:rPr>
        <w:t>: 10.1016/j.landurbplan.2011.12.005</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eastAsia="Times New Roman" w:cstheme="minorHAnsi"/>
          <w:color w:val="374151"/>
          <w:lang w:eastAsia="en-GB"/>
        </w:rPr>
      </w:pPr>
      <w:r w:rsidRPr="0034090D">
        <w:rPr>
          <w:rFonts w:eastAsia="Times New Roman" w:cstheme="minorHAnsi"/>
          <w:color w:val="374151"/>
          <w:lang w:eastAsia="en-GB"/>
        </w:rPr>
        <w:t xml:space="preserve">Bratman, G. N., Hamilton, J. P., Hahn, K. S., Daily, G. C., &amp; Gross, J. J. (2015). Nature experience reduces rumination and </w:t>
      </w:r>
      <w:proofErr w:type="spellStart"/>
      <w:r w:rsidRPr="0034090D">
        <w:rPr>
          <w:rFonts w:eastAsia="Times New Roman" w:cstheme="minorHAnsi"/>
          <w:color w:val="374151"/>
          <w:lang w:eastAsia="en-GB"/>
        </w:rPr>
        <w:t>subgenual</w:t>
      </w:r>
      <w:proofErr w:type="spellEnd"/>
      <w:r w:rsidRPr="0034090D">
        <w:rPr>
          <w:rFonts w:eastAsia="Times New Roman" w:cstheme="minorHAnsi"/>
          <w:color w:val="374151"/>
          <w:lang w:eastAsia="en-GB"/>
        </w:rPr>
        <w:t xml:space="preserve"> prefrontal cortex activation. Proceedings of the National Academy of Sciences of the United States of America, 112(28), 8567-8572. </w:t>
      </w:r>
      <w:proofErr w:type="spellStart"/>
      <w:r w:rsidRPr="0034090D">
        <w:rPr>
          <w:rFonts w:eastAsia="Times New Roman" w:cstheme="minorHAnsi"/>
          <w:color w:val="374151"/>
          <w:lang w:eastAsia="en-GB"/>
        </w:rPr>
        <w:t>doi</w:t>
      </w:r>
      <w:proofErr w:type="spellEnd"/>
      <w:r w:rsidRPr="0034090D">
        <w:rPr>
          <w:rFonts w:eastAsia="Times New Roman" w:cstheme="minorHAnsi"/>
          <w:color w:val="374151"/>
          <w:lang w:eastAsia="en-GB"/>
        </w:rPr>
        <w:t>: 10.1073/pnas.1510459112</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eastAsia="Times New Roman" w:cstheme="minorHAnsi"/>
          <w:color w:val="374151"/>
          <w:lang w:eastAsia="en-GB"/>
        </w:rPr>
      </w:pPr>
      <w:r w:rsidRPr="00423876">
        <w:rPr>
          <w:rFonts w:eastAsia="Times New Roman" w:cstheme="minorHAnsi"/>
          <w:color w:val="374151"/>
          <w:lang w:eastAsia="en-GB"/>
        </w:rPr>
        <w:t>Cutter-Mackenzie-Knowles, A., Malone, K., Barratt Hacking, E., &amp; Campbell, C. (2017). Rethinking learning and teaching in outdoor education: A case study from Australia. Palgrave Macmillan.</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cstheme="minorHAnsi"/>
          <w:color w:val="374151"/>
        </w:rPr>
      </w:pPr>
      <w:r w:rsidRPr="009149C1">
        <w:rPr>
          <w:rFonts w:cstheme="minorHAnsi"/>
          <w:color w:val="374151"/>
        </w:rPr>
        <w:t xml:space="preserve">Deci, E. L., &amp; Ryan, R. M. (1985). Intrinsic motivation and self-determination in human </w:t>
      </w:r>
      <w:proofErr w:type="spellStart"/>
      <w:r w:rsidRPr="009149C1">
        <w:rPr>
          <w:rFonts w:cstheme="minorHAnsi"/>
          <w:color w:val="374151"/>
        </w:rPr>
        <w:t>behavior</w:t>
      </w:r>
      <w:proofErr w:type="spellEnd"/>
      <w:r w:rsidRPr="009149C1">
        <w:rPr>
          <w:rFonts w:cstheme="minorHAnsi"/>
          <w:color w:val="374151"/>
        </w:rPr>
        <w:t>. New York: Plenum Press.</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cstheme="minorHAnsi"/>
          <w:color w:val="374151"/>
          <w:shd w:val="clear" w:color="auto" w:fill="F7F7F8"/>
        </w:rPr>
      </w:pPr>
      <w:r w:rsidRPr="009149C1">
        <w:rPr>
          <w:rFonts w:cstheme="minorHAnsi"/>
          <w:color w:val="374151"/>
          <w:shd w:val="clear" w:color="auto" w:fill="F7F7F8"/>
        </w:rPr>
        <w:t xml:space="preserve">Dewey, J., (1910). How we think. </w:t>
      </w:r>
      <w:proofErr w:type="spellStart"/>
      <w:r w:rsidRPr="009149C1">
        <w:rPr>
          <w:rFonts w:cstheme="minorHAnsi"/>
          <w:color w:val="374151"/>
          <w:shd w:val="clear" w:color="auto" w:fill="F7F7F8"/>
        </w:rPr>
        <w:t>D.</w:t>
      </w:r>
      <w:proofErr w:type="gramStart"/>
      <w:r w:rsidRPr="009149C1">
        <w:rPr>
          <w:rFonts w:cstheme="minorHAnsi"/>
          <w:color w:val="374151"/>
          <w:shd w:val="clear" w:color="auto" w:fill="F7F7F8"/>
        </w:rPr>
        <w:t>C.Heath</w:t>
      </w:r>
      <w:proofErr w:type="spellEnd"/>
      <w:proofErr w:type="gramEnd"/>
      <w:r w:rsidRPr="009149C1">
        <w:rPr>
          <w:rFonts w:cstheme="minorHAnsi"/>
          <w:color w:val="374151"/>
          <w:shd w:val="clear" w:color="auto" w:fill="F7F7F8"/>
        </w:rPr>
        <w:t xml:space="preserve"> &amp; Co. </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eastAsia="Times New Roman" w:cstheme="minorHAnsi"/>
          <w:color w:val="000000"/>
          <w:lang w:eastAsia="en-GB"/>
        </w:rPr>
      </w:pPr>
      <w:proofErr w:type="spellStart"/>
      <w:r w:rsidRPr="004A7E12">
        <w:rPr>
          <w:rFonts w:eastAsia="Times New Roman" w:cstheme="minorHAnsi"/>
          <w:color w:val="000000"/>
          <w:lang w:eastAsia="en-GB"/>
        </w:rPr>
        <w:t>Dyment</w:t>
      </w:r>
      <w:proofErr w:type="spellEnd"/>
      <w:r w:rsidRPr="004A7E12">
        <w:rPr>
          <w:rFonts w:eastAsia="Times New Roman" w:cstheme="minorHAnsi"/>
          <w:color w:val="000000"/>
          <w:lang w:eastAsia="en-GB"/>
        </w:rPr>
        <w:t>, J. E., &amp; Bell, A. C. (2008). Outdoor education, student learning and curriculum: A review. Journal of Curriculum Studies, 40(6), 721-749.</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eastAsia="Times New Roman" w:cstheme="minorHAnsi"/>
          <w:color w:val="374151"/>
          <w:lang w:eastAsia="en-GB"/>
        </w:rPr>
      </w:pPr>
      <w:proofErr w:type="spellStart"/>
      <w:r w:rsidRPr="001350CF">
        <w:rPr>
          <w:rFonts w:eastAsia="Times New Roman" w:cstheme="minorHAnsi"/>
          <w:color w:val="374151"/>
          <w:lang w:eastAsia="en-GB"/>
        </w:rPr>
        <w:t>Hancox</w:t>
      </w:r>
      <w:proofErr w:type="spellEnd"/>
      <w:r w:rsidRPr="001350CF">
        <w:rPr>
          <w:rFonts w:eastAsia="Times New Roman" w:cstheme="minorHAnsi"/>
          <w:color w:val="374151"/>
          <w:lang w:eastAsia="en-GB"/>
        </w:rPr>
        <w:t xml:space="preserve">, D. (2019, September 10). Is outdoor learning the answer to all our problems? The Guardian. Retrieved from </w:t>
      </w:r>
      <w:hyperlink r:id="rId7" w:tgtFrame="_blank" w:history="1">
        <w:r w:rsidRPr="009149C1">
          <w:rPr>
            <w:rFonts w:eastAsia="Times New Roman" w:cstheme="minorHAnsi"/>
            <w:color w:val="196AD4"/>
            <w:u w:val="single"/>
            <w:bdr w:val="single" w:sz="2" w:space="0" w:color="D9D9E3" w:frame="1"/>
            <w:lang w:eastAsia="en-GB"/>
          </w:rPr>
          <w:t>https://www.theguardian.com/education/2019/sep/10/is-outdoor-learning-the-answer-to-all-our-problems</w:t>
        </w:r>
      </w:hyperlink>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eastAsia="Times New Roman" w:cstheme="minorHAnsi"/>
          <w:color w:val="374151"/>
          <w:lang w:eastAsia="en-GB"/>
        </w:rPr>
      </w:pPr>
      <w:proofErr w:type="spellStart"/>
      <w:r w:rsidRPr="001350CF">
        <w:rPr>
          <w:rFonts w:eastAsia="Times New Roman" w:cstheme="minorHAnsi"/>
          <w:color w:val="374151"/>
          <w:lang w:eastAsia="en-GB"/>
        </w:rPr>
        <w:t>Humberstone</w:t>
      </w:r>
      <w:proofErr w:type="spellEnd"/>
      <w:r w:rsidRPr="001350CF">
        <w:rPr>
          <w:rFonts w:eastAsia="Times New Roman" w:cstheme="minorHAnsi"/>
          <w:color w:val="374151"/>
          <w:lang w:eastAsia="en-GB"/>
        </w:rPr>
        <w:t>, B., &amp; Brown, H. (2015). Outdoor education: Research and practice - an overview. Journal of Adventure Education and Outdoor Learning, 15(3), 179-187.</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cstheme="minorHAnsi"/>
          <w:color w:val="374151"/>
        </w:rPr>
      </w:pPr>
      <w:r w:rsidRPr="009149C1">
        <w:rPr>
          <w:rFonts w:cstheme="minorHAnsi"/>
          <w:color w:val="374151"/>
        </w:rPr>
        <w:t xml:space="preserve">Kaplan, R., &amp; Kaplan, S. (1989). The experience of nature: A psychological perspective. New York: Cambridge University Press. </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cstheme="minorHAnsi"/>
          <w:color w:val="000000"/>
        </w:rPr>
      </w:pPr>
      <w:r w:rsidRPr="009149C1">
        <w:rPr>
          <w:rFonts w:cstheme="minorHAnsi"/>
          <w:color w:val="000000"/>
        </w:rPr>
        <w:t xml:space="preserve">Lloyd, K., &amp; Bowers, R. (2018). Outdoor learning in Wales: A review of activity, benefits and barriers. University of Wales Trinity Saint David. Retrieved from </w:t>
      </w:r>
      <w:hyperlink r:id="rId8" w:tgtFrame="_blank" w:history="1">
        <w:r w:rsidRPr="009149C1">
          <w:rPr>
            <w:rStyle w:val="Hyperlink"/>
            <w:rFonts w:cstheme="minorHAnsi"/>
            <w:color w:val="196AD4"/>
            <w:bdr w:val="single" w:sz="2" w:space="0" w:color="D9D9E3" w:frame="1"/>
          </w:rPr>
          <w:t>https://repository.uwtsd.ac.uk/id/eprint/1135/</w:t>
        </w:r>
      </w:hyperlink>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eastAsia="Times New Roman" w:cstheme="minorHAnsi"/>
          <w:color w:val="374151"/>
          <w:lang w:eastAsia="en-GB"/>
        </w:rPr>
      </w:pPr>
      <w:proofErr w:type="spellStart"/>
      <w:r w:rsidRPr="009149C1">
        <w:rPr>
          <w:rFonts w:eastAsia="Times New Roman" w:cstheme="minorHAnsi"/>
          <w:color w:val="374151"/>
          <w:lang w:eastAsia="en-GB"/>
        </w:rPr>
        <w:lastRenderedPageBreak/>
        <w:t>L</w:t>
      </w:r>
      <w:r w:rsidRPr="00423876">
        <w:rPr>
          <w:rFonts w:eastAsia="Times New Roman" w:cstheme="minorHAnsi"/>
          <w:color w:val="374151"/>
          <w:lang w:eastAsia="en-GB"/>
        </w:rPr>
        <w:t>ouv</w:t>
      </w:r>
      <w:proofErr w:type="spellEnd"/>
      <w:r w:rsidRPr="00423876">
        <w:rPr>
          <w:rFonts w:eastAsia="Times New Roman" w:cstheme="minorHAnsi"/>
          <w:color w:val="374151"/>
          <w:lang w:eastAsia="en-GB"/>
        </w:rPr>
        <w:t>, R. (2005). Last child in the woods: Saving our children from nature-deficit disorder. Algonquin Books.</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eastAsia="Times New Roman" w:cstheme="minorHAnsi"/>
          <w:color w:val="374151"/>
          <w:lang w:eastAsia="en-GB"/>
        </w:rPr>
      </w:pPr>
      <w:r w:rsidRPr="009D5D15">
        <w:rPr>
          <w:rFonts w:eastAsia="Times New Roman" w:cstheme="minorHAnsi"/>
          <w:color w:val="374151"/>
          <w:lang w:eastAsia="en-GB"/>
        </w:rPr>
        <w:t xml:space="preserve">Natural Resources Wales. (2019). The Value of Outdoor Learning. Retrieved from </w:t>
      </w:r>
      <w:hyperlink r:id="rId9" w:tgtFrame="_blank" w:history="1">
        <w:r w:rsidRPr="009149C1">
          <w:rPr>
            <w:rFonts w:eastAsia="Times New Roman" w:cstheme="minorHAnsi"/>
            <w:color w:val="196AD4"/>
            <w:u w:val="single"/>
            <w:bdr w:val="single" w:sz="2" w:space="0" w:color="D9D9E3" w:frame="1"/>
            <w:lang w:eastAsia="en-GB"/>
          </w:rPr>
          <w:t>https://naturalresources.wales/media/682157/the-value-of-outdoor-learning-nrw-report.pdf</w:t>
        </w:r>
      </w:hyperlink>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cstheme="minorHAnsi"/>
          <w:color w:val="000000"/>
        </w:rPr>
      </w:pPr>
      <w:r w:rsidRPr="009149C1">
        <w:rPr>
          <w:rFonts w:cstheme="minorHAnsi"/>
          <w:color w:val="000000"/>
        </w:rPr>
        <w:t xml:space="preserve">Natural Resources Wales. (2019). The Value of Outdoor Learning. Retrieved from </w:t>
      </w:r>
      <w:hyperlink r:id="rId10" w:tgtFrame="_blank" w:history="1">
        <w:r w:rsidRPr="009149C1">
          <w:rPr>
            <w:rStyle w:val="Hyperlink"/>
            <w:rFonts w:cstheme="minorHAnsi"/>
            <w:color w:val="196AD4"/>
            <w:bdr w:val="single" w:sz="2" w:space="0" w:color="D9D9E3" w:frame="1"/>
          </w:rPr>
          <w:t>https://naturalresources.wales/media/682157/the-value-of-outdoor-learning-nrw-report.pdf</w:t>
        </w:r>
      </w:hyperlink>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cstheme="minorHAnsi"/>
          <w:color w:val="374151"/>
        </w:rPr>
      </w:pPr>
      <w:proofErr w:type="spellStart"/>
      <w:r w:rsidRPr="009149C1">
        <w:rPr>
          <w:rFonts w:cstheme="minorHAnsi"/>
          <w:color w:val="374151"/>
        </w:rPr>
        <w:t>Kuo</w:t>
      </w:r>
      <w:proofErr w:type="spellEnd"/>
      <w:r w:rsidRPr="009149C1">
        <w:rPr>
          <w:rFonts w:cstheme="minorHAnsi"/>
          <w:color w:val="374151"/>
        </w:rPr>
        <w:t xml:space="preserve">, F. E., &amp; Faber Taylor, A. (2004). A potential natural treatment for attention-deficit/hyperactivity disorder: Evidence from a national study. American Journal of Public Health, 94(9), 1580-1586. </w:t>
      </w:r>
      <w:proofErr w:type="spellStart"/>
      <w:r w:rsidRPr="009149C1">
        <w:rPr>
          <w:rFonts w:cstheme="minorHAnsi"/>
          <w:color w:val="374151"/>
        </w:rPr>
        <w:t>doi</w:t>
      </w:r>
      <w:proofErr w:type="spellEnd"/>
      <w:r w:rsidRPr="009149C1">
        <w:rPr>
          <w:rFonts w:cstheme="minorHAnsi"/>
          <w:color w:val="374151"/>
        </w:rPr>
        <w:t>: 10.2105/AJPH.94.9.1580</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eastAsia="Times New Roman" w:cstheme="minorHAnsi"/>
          <w:color w:val="374151"/>
          <w:lang w:eastAsia="en-GB"/>
        </w:rPr>
      </w:pPr>
      <w:r w:rsidRPr="009D5D15">
        <w:rPr>
          <w:rFonts w:eastAsia="Times New Roman" w:cstheme="minorHAnsi"/>
          <w:color w:val="374151"/>
          <w:lang w:eastAsia="en-GB"/>
        </w:rPr>
        <w:t xml:space="preserve">OEAP. (2019). National Guidance for the Safe Delivery of Outdoor Learning. Retrieved from </w:t>
      </w:r>
      <w:hyperlink r:id="rId11" w:tgtFrame="_blank" w:history="1">
        <w:r w:rsidRPr="009149C1">
          <w:rPr>
            <w:rFonts w:eastAsia="Times New Roman" w:cstheme="minorHAnsi"/>
            <w:color w:val="196AD4"/>
            <w:u w:val="single"/>
            <w:bdr w:val="single" w:sz="2" w:space="0" w:color="D9D9E3" w:frame="1"/>
            <w:lang w:eastAsia="en-GB"/>
          </w:rPr>
          <w:t>https://oeapng.info/wp-content/uploads/2019/06/National-Guidance-for-the-Safe-Delivery-of-Outdoor-Learning-2019.pdf</w:t>
        </w:r>
      </w:hyperlink>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cstheme="minorHAnsi"/>
          <w:color w:val="374151"/>
        </w:rPr>
      </w:pPr>
      <w:r w:rsidRPr="009149C1">
        <w:rPr>
          <w:rFonts w:cstheme="minorHAnsi"/>
          <w:color w:val="374151"/>
        </w:rPr>
        <w:t>Piaget, J. (1952). The origins of intelligence in children. New York: International Universities Press.</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cstheme="minorHAnsi"/>
          <w:color w:val="374151"/>
        </w:rPr>
      </w:pPr>
      <w:r w:rsidRPr="0034090D">
        <w:rPr>
          <w:rFonts w:eastAsia="Times New Roman" w:cstheme="minorHAnsi"/>
          <w:color w:val="374151"/>
          <w:lang w:eastAsia="en-GB"/>
        </w:rPr>
        <w:t xml:space="preserve">Quinn, G. E., Shin, C. H., Maguire, M. G., Stone, R. A., &amp; Bailey, M. D. (2011). Myopia and ambient lighting at night. Nature, 404(6774), 143-144. </w:t>
      </w:r>
      <w:proofErr w:type="spellStart"/>
      <w:r w:rsidRPr="0034090D">
        <w:rPr>
          <w:rFonts w:eastAsia="Times New Roman" w:cstheme="minorHAnsi"/>
          <w:color w:val="374151"/>
          <w:lang w:eastAsia="en-GB"/>
        </w:rPr>
        <w:t>doi</w:t>
      </w:r>
      <w:proofErr w:type="spellEnd"/>
      <w:r w:rsidRPr="0034090D">
        <w:rPr>
          <w:rFonts w:eastAsia="Times New Roman" w:cstheme="minorHAnsi"/>
          <w:color w:val="374151"/>
          <w:lang w:eastAsia="en-GB"/>
        </w:rPr>
        <w:t>: 10.1038/35004539</w:t>
      </w:r>
      <w:r w:rsidRPr="009149C1">
        <w:rPr>
          <w:rFonts w:eastAsia="Times New Roman" w:cstheme="minorHAnsi"/>
          <w:color w:val="000000"/>
          <w:lang w:eastAsia="en-GB"/>
        </w:rPr>
        <w:t xml:space="preserve"> </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300" w:line="240" w:lineRule="auto"/>
        <w:rPr>
          <w:rFonts w:eastAsia="Times New Roman" w:cstheme="minorHAnsi"/>
          <w:color w:val="000000"/>
          <w:lang w:eastAsia="en-GB"/>
        </w:rPr>
      </w:pPr>
      <w:r w:rsidRPr="004A7E12">
        <w:rPr>
          <w:rFonts w:eastAsia="Times New Roman" w:cstheme="minorHAnsi"/>
          <w:color w:val="000000"/>
          <w:lang w:eastAsia="en-GB"/>
        </w:rPr>
        <w:t xml:space="preserve">Reid, G., </w:t>
      </w:r>
      <w:proofErr w:type="spellStart"/>
      <w:r w:rsidRPr="004A7E12">
        <w:rPr>
          <w:rFonts w:eastAsia="Times New Roman" w:cstheme="minorHAnsi"/>
          <w:color w:val="000000"/>
          <w:lang w:eastAsia="en-GB"/>
        </w:rPr>
        <w:t>Petocz</w:t>
      </w:r>
      <w:proofErr w:type="spellEnd"/>
      <w:r w:rsidRPr="004A7E12">
        <w:rPr>
          <w:rFonts w:eastAsia="Times New Roman" w:cstheme="minorHAnsi"/>
          <w:color w:val="000000"/>
          <w:lang w:eastAsia="en-GB"/>
        </w:rPr>
        <w:t>, P., &amp; Taylor, N. (2018). The benefits of outdoor education for students in secondary school: A systematic review and meta-analysis. Journal of Adventure Education and Outdoor Learning, 18(3), 243-257.</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300" w:line="240" w:lineRule="auto"/>
        <w:rPr>
          <w:rFonts w:eastAsia="Times New Roman" w:cstheme="minorHAnsi"/>
          <w:color w:val="000000"/>
          <w:lang w:eastAsia="en-GB"/>
        </w:rPr>
      </w:pPr>
      <w:proofErr w:type="spellStart"/>
      <w:r w:rsidRPr="009149C1">
        <w:rPr>
          <w:rFonts w:cstheme="minorHAnsi"/>
          <w:color w:val="000000"/>
        </w:rPr>
        <w:t>Rickinson</w:t>
      </w:r>
      <w:proofErr w:type="spellEnd"/>
      <w:r w:rsidRPr="009149C1">
        <w:rPr>
          <w:rFonts w:cstheme="minorHAnsi"/>
          <w:color w:val="000000"/>
        </w:rPr>
        <w:t xml:space="preserve">, M., Dillon, J., </w:t>
      </w:r>
      <w:proofErr w:type="spellStart"/>
      <w:r w:rsidRPr="009149C1">
        <w:rPr>
          <w:rFonts w:cstheme="minorHAnsi"/>
          <w:color w:val="000000"/>
        </w:rPr>
        <w:t>Teamey</w:t>
      </w:r>
      <w:proofErr w:type="spellEnd"/>
      <w:r w:rsidRPr="009149C1">
        <w:rPr>
          <w:rFonts w:cstheme="minorHAnsi"/>
          <w:color w:val="000000"/>
        </w:rPr>
        <w:t>, K., Morris, M., Choi, M. Y., Sanders, D., &amp; Benefield, P. (2004). A review of research on outdoor learning. Journal of Environmental Psychology, 24(2), 147-163.</w:t>
      </w:r>
    </w:p>
    <w:p w:rsidR="00E53160" w:rsidRPr="00423876" w:rsidRDefault="00E53160" w:rsidP="00E53160">
      <w:pPr>
        <w:pBdr>
          <w:top w:val="single" w:sz="2" w:space="0" w:color="D9D9E3"/>
          <w:left w:val="single" w:sz="2" w:space="0" w:color="D9D9E3"/>
          <w:bottom w:val="single" w:sz="2" w:space="0" w:color="D9D9E3"/>
          <w:right w:val="single" w:sz="2" w:space="0" w:color="D9D9E3"/>
        </w:pBdr>
        <w:shd w:val="clear" w:color="auto" w:fill="F7F7F8"/>
        <w:spacing w:before="300" w:after="0" w:line="240" w:lineRule="auto"/>
        <w:rPr>
          <w:rFonts w:eastAsia="Times New Roman" w:cstheme="minorHAnsi"/>
          <w:color w:val="374151"/>
          <w:lang w:eastAsia="en-GB"/>
        </w:rPr>
      </w:pPr>
      <w:proofErr w:type="spellStart"/>
      <w:r w:rsidRPr="00423876">
        <w:rPr>
          <w:rFonts w:eastAsia="Times New Roman" w:cstheme="minorHAnsi"/>
          <w:color w:val="374151"/>
          <w:lang w:eastAsia="en-GB"/>
        </w:rPr>
        <w:t>Rickinson</w:t>
      </w:r>
      <w:proofErr w:type="spellEnd"/>
      <w:r w:rsidRPr="00423876">
        <w:rPr>
          <w:rFonts w:eastAsia="Times New Roman" w:cstheme="minorHAnsi"/>
          <w:color w:val="374151"/>
          <w:lang w:eastAsia="en-GB"/>
        </w:rPr>
        <w:t xml:space="preserve">, M., Dillon, J., </w:t>
      </w:r>
      <w:proofErr w:type="spellStart"/>
      <w:r w:rsidRPr="00423876">
        <w:rPr>
          <w:rFonts w:eastAsia="Times New Roman" w:cstheme="minorHAnsi"/>
          <w:color w:val="374151"/>
          <w:lang w:eastAsia="en-GB"/>
        </w:rPr>
        <w:t>Teamey</w:t>
      </w:r>
      <w:proofErr w:type="spellEnd"/>
      <w:r w:rsidRPr="00423876">
        <w:rPr>
          <w:rFonts w:eastAsia="Times New Roman" w:cstheme="minorHAnsi"/>
          <w:color w:val="374151"/>
          <w:lang w:eastAsia="en-GB"/>
        </w:rPr>
        <w:t>, K., Morris, M., Choi, M. Y., Sanders, D., &amp; Benefield, P. (2004). A review of research on outdoor learning. National Foundation for Educational Research.</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0" w:line="240" w:lineRule="auto"/>
        <w:rPr>
          <w:rFonts w:eastAsia="Times New Roman" w:cstheme="minorHAnsi"/>
          <w:color w:val="000000"/>
          <w:lang w:eastAsia="en-GB"/>
        </w:rPr>
      </w:pPr>
      <w:r w:rsidRPr="0034090D">
        <w:rPr>
          <w:rFonts w:eastAsia="Times New Roman" w:cstheme="minorHAnsi"/>
          <w:color w:val="374151"/>
          <w:lang w:eastAsia="en-GB"/>
        </w:rPr>
        <w:t xml:space="preserve">Rivkin, I. D., Lawton, K., Makris, S. L., &amp; Marzano, R. J. (2019). The benefits of nature exposure for children with autism spectrum disorder: A systematic review. Journal of Autism and Developmental Disorders, 49(7), 2961-2983. </w:t>
      </w:r>
      <w:proofErr w:type="spellStart"/>
      <w:r w:rsidRPr="0034090D">
        <w:rPr>
          <w:rFonts w:eastAsia="Times New Roman" w:cstheme="minorHAnsi"/>
          <w:color w:val="374151"/>
          <w:lang w:eastAsia="en-GB"/>
        </w:rPr>
        <w:t>doi</w:t>
      </w:r>
      <w:proofErr w:type="spellEnd"/>
      <w:r w:rsidRPr="0034090D">
        <w:rPr>
          <w:rFonts w:eastAsia="Times New Roman" w:cstheme="minorHAnsi"/>
          <w:color w:val="374151"/>
          <w:lang w:eastAsia="en-GB"/>
        </w:rPr>
        <w:t>: 10.1007/s10803-019-03901-4</w:t>
      </w:r>
      <w:r w:rsidRPr="009149C1">
        <w:rPr>
          <w:rFonts w:eastAsia="Times New Roman" w:cstheme="minorHAnsi"/>
          <w:color w:val="000000"/>
          <w:lang w:eastAsia="en-GB"/>
        </w:rPr>
        <w:t xml:space="preserve"> </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0" w:line="240" w:lineRule="auto"/>
        <w:rPr>
          <w:rFonts w:eastAsia="Times New Roman" w:cstheme="minorHAnsi"/>
          <w:color w:val="000000"/>
          <w:lang w:eastAsia="en-GB"/>
        </w:rPr>
      </w:pPr>
      <w:r w:rsidRPr="004A7E12">
        <w:rPr>
          <w:rFonts w:eastAsia="Times New Roman" w:cstheme="minorHAnsi"/>
          <w:color w:val="000000"/>
          <w:lang w:eastAsia="en-GB"/>
        </w:rPr>
        <w:t xml:space="preserve">Rogers, S., </w:t>
      </w:r>
      <w:proofErr w:type="spellStart"/>
      <w:r w:rsidRPr="004A7E12">
        <w:rPr>
          <w:rFonts w:eastAsia="Times New Roman" w:cstheme="minorHAnsi"/>
          <w:color w:val="000000"/>
          <w:lang w:eastAsia="en-GB"/>
        </w:rPr>
        <w:t>Szollos</w:t>
      </w:r>
      <w:proofErr w:type="spellEnd"/>
      <w:r w:rsidRPr="004A7E12">
        <w:rPr>
          <w:rFonts w:eastAsia="Times New Roman" w:cstheme="minorHAnsi"/>
          <w:color w:val="000000"/>
          <w:lang w:eastAsia="en-GB"/>
        </w:rPr>
        <w:t>, A., &amp; Wood, H. (2018). The role of outdoor learning in the 21st century classroom: A systemic review. Education Sciences, 8(4), 194.</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0" w:line="240" w:lineRule="auto"/>
        <w:rPr>
          <w:rFonts w:eastAsia="Times New Roman" w:cstheme="minorHAnsi"/>
          <w:color w:val="000000"/>
          <w:lang w:eastAsia="en-GB"/>
        </w:rPr>
      </w:pPr>
      <w:r w:rsidRPr="0034090D">
        <w:rPr>
          <w:rFonts w:eastAsia="Times New Roman" w:cstheme="minorHAnsi"/>
          <w:color w:val="374151"/>
          <w:lang w:eastAsia="en-GB"/>
        </w:rPr>
        <w:t xml:space="preserve">Soga, M., Gaston, K. J., &amp; </w:t>
      </w:r>
      <w:proofErr w:type="spellStart"/>
      <w:r w:rsidRPr="0034090D">
        <w:rPr>
          <w:rFonts w:eastAsia="Times New Roman" w:cstheme="minorHAnsi"/>
          <w:color w:val="374151"/>
          <w:lang w:eastAsia="en-GB"/>
        </w:rPr>
        <w:t>Yamaura</w:t>
      </w:r>
      <w:proofErr w:type="spellEnd"/>
      <w:r w:rsidRPr="0034090D">
        <w:rPr>
          <w:rFonts w:eastAsia="Times New Roman" w:cstheme="minorHAnsi"/>
          <w:color w:val="374151"/>
          <w:lang w:eastAsia="en-GB"/>
        </w:rPr>
        <w:t xml:space="preserve">, Y. (2017). Health benefits of nature-based solutions: Its contribution to urban ecosystem services. Environmental Science and Policy, 77, 114-123. </w:t>
      </w:r>
      <w:proofErr w:type="spellStart"/>
      <w:r w:rsidRPr="0034090D">
        <w:rPr>
          <w:rFonts w:eastAsia="Times New Roman" w:cstheme="minorHAnsi"/>
          <w:color w:val="374151"/>
          <w:lang w:eastAsia="en-GB"/>
        </w:rPr>
        <w:t>doi</w:t>
      </w:r>
      <w:proofErr w:type="spellEnd"/>
      <w:r w:rsidRPr="0034090D">
        <w:rPr>
          <w:rFonts w:eastAsia="Times New Roman" w:cstheme="minorHAnsi"/>
          <w:color w:val="374151"/>
          <w:lang w:eastAsia="en-GB"/>
        </w:rPr>
        <w:t>: 10.1016/j.envsci.2017.07.008</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0" w:line="240" w:lineRule="auto"/>
        <w:rPr>
          <w:rFonts w:eastAsia="Times New Roman" w:cstheme="minorHAnsi"/>
          <w:color w:val="000000"/>
          <w:lang w:eastAsia="en-GB"/>
        </w:rPr>
      </w:pPr>
      <w:r w:rsidRPr="0034090D">
        <w:rPr>
          <w:rFonts w:eastAsia="Times New Roman" w:cstheme="minorHAnsi"/>
          <w:color w:val="374151"/>
          <w:lang w:eastAsia="en-GB"/>
        </w:rPr>
        <w:t xml:space="preserve">Taylor, A. F., </w:t>
      </w:r>
      <w:proofErr w:type="spellStart"/>
      <w:r w:rsidRPr="0034090D">
        <w:rPr>
          <w:rFonts w:eastAsia="Times New Roman" w:cstheme="minorHAnsi"/>
          <w:color w:val="374151"/>
          <w:lang w:eastAsia="en-GB"/>
        </w:rPr>
        <w:t>Kuo</w:t>
      </w:r>
      <w:proofErr w:type="spellEnd"/>
      <w:r w:rsidRPr="0034090D">
        <w:rPr>
          <w:rFonts w:eastAsia="Times New Roman" w:cstheme="minorHAnsi"/>
          <w:color w:val="374151"/>
          <w:lang w:eastAsia="en-GB"/>
        </w:rPr>
        <w:t xml:space="preserve">, F. E., &amp; Sullivan, W. C. (2001). Coping with ADD: The surprising connection to green play settings. Environment and </w:t>
      </w:r>
      <w:proofErr w:type="spellStart"/>
      <w:r w:rsidRPr="0034090D">
        <w:rPr>
          <w:rFonts w:eastAsia="Times New Roman" w:cstheme="minorHAnsi"/>
          <w:color w:val="374151"/>
          <w:lang w:eastAsia="en-GB"/>
        </w:rPr>
        <w:t>Behavior</w:t>
      </w:r>
      <w:proofErr w:type="spellEnd"/>
      <w:r w:rsidRPr="0034090D">
        <w:rPr>
          <w:rFonts w:eastAsia="Times New Roman" w:cstheme="minorHAnsi"/>
          <w:color w:val="374151"/>
          <w:lang w:eastAsia="en-GB"/>
        </w:rPr>
        <w:t xml:space="preserve">, 33(1), 54-77. </w:t>
      </w:r>
      <w:proofErr w:type="spellStart"/>
      <w:r w:rsidRPr="0034090D">
        <w:rPr>
          <w:rFonts w:eastAsia="Times New Roman" w:cstheme="minorHAnsi"/>
          <w:color w:val="374151"/>
          <w:lang w:eastAsia="en-GB"/>
        </w:rPr>
        <w:t>doi</w:t>
      </w:r>
      <w:proofErr w:type="spellEnd"/>
      <w:r w:rsidRPr="0034090D">
        <w:rPr>
          <w:rFonts w:eastAsia="Times New Roman" w:cstheme="minorHAnsi"/>
          <w:color w:val="374151"/>
          <w:lang w:eastAsia="en-GB"/>
        </w:rPr>
        <w:t>: 10.1177/00139160121972864</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0" w:line="240" w:lineRule="auto"/>
        <w:rPr>
          <w:rFonts w:eastAsia="Times New Roman" w:cstheme="minorHAnsi"/>
          <w:color w:val="000000"/>
          <w:lang w:eastAsia="en-GB"/>
        </w:rPr>
      </w:pPr>
      <w:r w:rsidRPr="009149C1">
        <w:rPr>
          <w:rFonts w:cstheme="minorHAnsi"/>
          <w:color w:val="374151"/>
        </w:rPr>
        <w:t>Telford, R. M., Cunningham, R. B., Fitzgerald, R., Olive, L. S., &amp; Telford, R. D. (2016). Physical education, obesity, and academic achievement: A 2-year longitudinal investigation of Australian elementary school children. American Journal of Public Health, 106(2), 331-337.</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0" w:line="240" w:lineRule="auto"/>
        <w:rPr>
          <w:rFonts w:eastAsia="Times New Roman" w:cstheme="minorHAnsi"/>
          <w:color w:val="000000"/>
          <w:lang w:eastAsia="en-GB"/>
        </w:rPr>
      </w:pPr>
      <w:r w:rsidRPr="009149C1">
        <w:rPr>
          <w:rFonts w:cstheme="minorHAnsi"/>
          <w:color w:val="374151"/>
        </w:rPr>
        <w:lastRenderedPageBreak/>
        <w:t xml:space="preserve">Twohig-Bennett, C., &amp; Jones, A. (2018). The health benefits of the great outdoors: A systematic review and meta-analysis of greenspace exposure and health outcomes. Environmental Research, 166, 628-637. </w:t>
      </w:r>
      <w:proofErr w:type="spellStart"/>
      <w:r w:rsidRPr="009149C1">
        <w:rPr>
          <w:rFonts w:cstheme="minorHAnsi"/>
          <w:color w:val="374151"/>
        </w:rPr>
        <w:t>doi</w:t>
      </w:r>
      <w:proofErr w:type="spellEnd"/>
      <w:r w:rsidRPr="009149C1">
        <w:rPr>
          <w:rFonts w:cstheme="minorHAnsi"/>
          <w:color w:val="374151"/>
        </w:rPr>
        <w:t>: 10.1016/j.envres.2018.06.030</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0" w:line="240" w:lineRule="auto"/>
        <w:rPr>
          <w:rFonts w:eastAsia="Times New Roman" w:cstheme="minorHAnsi"/>
          <w:color w:val="000000"/>
          <w:lang w:eastAsia="en-GB"/>
        </w:rPr>
      </w:pPr>
      <w:r w:rsidRPr="009149C1">
        <w:rPr>
          <w:rFonts w:cstheme="minorHAnsi"/>
          <w:color w:val="374151"/>
        </w:rPr>
        <w:t>Ulrich, R. S. (1984). View through a window may influence recovery from surgery. Science, 224(4647), 420-421.</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0" w:line="240" w:lineRule="auto"/>
        <w:rPr>
          <w:rFonts w:eastAsia="Times New Roman" w:cstheme="minorHAnsi"/>
          <w:color w:val="000000"/>
          <w:lang w:eastAsia="en-GB"/>
        </w:rPr>
      </w:pPr>
      <w:r w:rsidRPr="009149C1">
        <w:rPr>
          <w:rFonts w:cstheme="minorHAnsi"/>
          <w:color w:val="000000"/>
        </w:rPr>
        <w:t xml:space="preserve">Welsh Government. (2020). Fulfilled Lives, Supportive Communities: A Vision for Welsh Language Education in Wales 2020-2030. Retrieved from </w:t>
      </w:r>
      <w:hyperlink r:id="rId12" w:tgtFrame="_blank" w:history="1">
        <w:r w:rsidRPr="009149C1">
          <w:rPr>
            <w:rStyle w:val="Hyperlink"/>
            <w:rFonts w:cstheme="minorHAnsi"/>
            <w:color w:val="196AD4"/>
            <w:bdr w:val="single" w:sz="2" w:space="0" w:color="D9D9E3" w:frame="1"/>
          </w:rPr>
          <w:t>https://gov.wales/sites/default/files/publications/2020-11/fulfilled-lives-supportive-communities-vision-welsh-language-education-wales-2020-2030.pdf</w:t>
        </w:r>
      </w:hyperlink>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0" w:line="240" w:lineRule="auto"/>
        <w:rPr>
          <w:rFonts w:cstheme="minorHAnsi"/>
          <w:color w:val="374151"/>
        </w:rPr>
      </w:pPr>
      <w:r w:rsidRPr="009149C1">
        <w:rPr>
          <w:rFonts w:cstheme="minorHAnsi"/>
          <w:color w:val="374151"/>
        </w:rPr>
        <w:t xml:space="preserve">White, M. P., </w:t>
      </w:r>
      <w:proofErr w:type="spellStart"/>
      <w:r w:rsidRPr="009149C1">
        <w:rPr>
          <w:rFonts w:cstheme="minorHAnsi"/>
          <w:color w:val="374151"/>
        </w:rPr>
        <w:t>Alcock</w:t>
      </w:r>
      <w:proofErr w:type="spellEnd"/>
      <w:r w:rsidRPr="009149C1">
        <w:rPr>
          <w:rFonts w:cstheme="minorHAnsi"/>
          <w:color w:val="374151"/>
        </w:rPr>
        <w:t xml:space="preserve">, I., </w:t>
      </w:r>
      <w:proofErr w:type="spellStart"/>
      <w:r w:rsidRPr="009149C1">
        <w:rPr>
          <w:rFonts w:cstheme="minorHAnsi"/>
          <w:color w:val="374151"/>
        </w:rPr>
        <w:t>Grellier</w:t>
      </w:r>
      <w:proofErr w:type="spellEnd"/>
      <w:r w:rsidRPr="009149C1">
        <w:rPr>
          <w:rFonts w:cstheme="minorHAnsi"/>
          <w:color w:val="374151"/>
        </w:rPr>
        <w:t xml:space="preserve">, J., Wheeler, B. W., </w:t>
      </w:r>
      <w:proofErr w:type="spellStart"/>
      <w:r w:rsidRPr="009149C1">
        <w:rPr>
          <w:rFonts w:cstheme="minorHAnsi"/>
          <w:color w:val="374151"/>
        </w:rPr>
        <w:t>Hartig</w:t>
      </w:r>
      <w:proofErr w:type="spellEnd"/>
      <w:r w:rsidRPr="009149C1">
        <w:rPr>
          <w:rFonts w:cstheme="minorHAnsi"/>
          <w:color w:val="374151"/>
        </w:rPr>
        <w:t xml:space="preserve">, T., </w:t>
      </w:r>
      <w:proofErr w:type="spellStart"/>
      <w:r w:rsidRPr="009149C1">
        <w:rPr>
          <w:rFonts w:cstheme="minorHAnsi"/>
          <w:color w:val="374151"/>
        </w:rPr>
        <w:t>Warber</w:t>
      </w:r>
      <w:proofErr w:type="spellEnd"/>
      <w:r w:rsidRPr="009149C1">
        <w:rPr>
          <w:rFonts w:cstheme="minorHAnsi"/>
          <w:color w:val="374151"/>
        </w:rPr>
        <w:t xml:space="preserve">, S. L., ... &amp; Fleming, L. E. (2019). Spending at least 120 minutes a week in nature is associated with good health and wellbeing. Scientific Reports, 9(1), 7730. </w:t>
      </w:r>
      <w:proofErr w:type="spellStart"/>
      <w:r w:rsidRPr="009149C1">
        <w:rPr>
          <w:rFonts w:cstheme="minorHAnsi"/>
          <w:color w:val="374151"/>
        </w:rPr>
        <w:t>doi</w:t>
      </w:r>
      <w:proofErr w:type="spellEnd"/>
      <w:r w:rsidRPr="009149C1">
        <w:rPr>
          <w:rFonts w:cstheme="minorHAnsi"/>
          <w:color w:val="374151"/>
        </w:rPr>
        <w:t>: 10.1038/s41598-019-44097-3</w:t>
      </w:r>
    </w:p>
    <w:p w:rsidR="00E53160" w:rsidRPr="009149C1"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0" w:line="240" w:lineRule="auto"/>
        <w:rPr>
          <w:rFonts w:eastAsia="Times New Roman" w:cstheme="minorHAnsi"/>
          <w:color w:val="000000"/>
          <w:lang w:eastAsia="en-GB"/>
        </w:rPr>
      </w:pPr>
      <w:r w:rsidRPr="009149C1">
        <w:rPr>
          <w:rFonts w:cstheme="minorHAnsi"/>
          <w:color w:val="000000"/>
        </w:rPr>
        <w:t xml:space="preserve">WISERD. (2017). Education in Wales: Our National Mission. Retrieved from </w:t>
      </w:r>
      <w:hyperlink r:id="rId13" w:tgtFrame="_blank" w:history="1">
        <w:r w:rsidRPr="009149C1">
          <w:rPr>
            <w:rStyle w:val="Hyperlink"/>
            <w:rFonts w:cstheme="minorHAnsi"/>
            <w:color w:val="196AD4"/>
            <w:bdr w:val="single" w:sz="2" w:space="0" w:color="D9D9E3" w:frame="1"/>
          </w:rPr>
          <w:t>https://www.wiserd.ac.uk/publications/education-in-wales-our-national-mission/</w:t>
        </w:r>
      </w:hyperlink>
    </w:p>
    <w:p w:rsidR="00E53160" w:rsidRPr="0034090D" w:rsidRDefault="00E53160" w:rsidP="00E53160">
      <w:pPr>
        <w:pBdr>
          <w:top w:val="single" w:sz="2" w:space="0" w:color="D9D9E3"/>
          <w:left w:val="single" w:sz="2" w:space="0" w:color="D9D9E3"/>
          <w:bottom w:val="single" w:sz="2" w:space="0" w:color="D9D9E3"/>
          <w:right w:val="single" w:sz="2" w:space="0" w:color="D9D9E3"/>
        </w:pBdr>
        <w:shd w:val="clear" w:color="auto" w:fill="FFFFFF"/>
        <w:spacing w:before="300" w:after="0" w:line="240" w:lineRule="auto"/>
        <w:rPr>
          <w:rFonts w:eastAsia="Times New Roman" w:cstheme="minorHAnsi"/>
          <w:color w:val="000000"/>
          <w:lang w:eastAsia="en-GB"/>
        </w:rPr>
      </w:pPr>
      <w:r w:rsidRPr="0034090D">
        <w:rPr>
          <w:rFonts w:eastAsia="Times New Roman" w:cstheme="minorHAnsi"/>
          <w:color w:val="374151"/>
          <w:lang w:eastAsia="en-GB"/>
        </w:rPr>
        <w:t xml:space="preserve">Wu, P. C., Chen, C. T., Lin, K. K., Sun, C. C., </w:t>
      </w:r>
      <w:proofErr w:type="spellStart"/>
      <w:r w:rsidRPr="0034090D">
        <w:rPr>
          <w:rFonts w:eastAsia="Times New Roman" w:cstheme="minorHAnsi"/>
          <w:color w:val="374151"/>
          <w:lang w:eastAsia="en-GB"/>
        </w:rPr>
        <w:t>Kuo</w:t>
      </w:r>
      <w:proofErr w:type="spellEnd"/>
      <w:r w:rsidRPr="0034090D">
        <w:rPr>
          <w:rFonts w:eastAsia="Times New Roman" w:cstheme="minorHAnsi"/>
          <w:color w:val="374151"/>
          <w:lang w:eastAsia="en-GB"/>
        </w:rPr>
        <w:t xml:space="preserve">, C. N., Huang, H. M., ... &amp; Yang, M. L. (2020). Myopia prevention and outdoor light intensity in a school-based cluster randomized trial. Ophthalmology, 127(5), 573-582. </w:t>
      </w:r>
      <w:proofErr w:type="spellStart"/>
      <w:r w:rsidRPr="0034090D">
        <w:rPr>
          <w:rFonts w:eastAsia="Times New Roman" w:cstheme="minorHAnsi"/>
          <w:color w:val="374151"/>
          <w:lang w:eastAsia="en-GB"/>
        </w:rPr>
        <w:t>doi</w:t>
      </w:r>
      <w:proofErr w:type="spellEnd"/>
      <w:r w:rsidRPr="0034090D">
        <w:rPr>
          <w:rFonts w:eastAsia="Times New Roman" w:cstheme="minorHAnsi"/>
          <w:color w:val="374151"/>
          <w:lang w:eastAsia="en-GB"/>
        </w:rPr>
        <w:t>: 10.1016/j.ophtha.2019.11.014</w:t>
      </w:r>
    </w:p>
    <w:p w:rsidR="00E53160" w:rsidRDefault="00E53160" w:rsidP="00615F86">
      <w:pPr>
        <w:spacing w:line="360" w:lineRule="auto"/>
        <w:jc w:val="both"/>
      </w:pPr>
    </w:p>
    <w:p w:rsidR="0078334F" w:rsidRDefault="0078334F" w:rsidP="00674EC8">
      <w:pPr>
        <w:spacing w:line="360" w:lineRule="auto"/>
        <w:jc w:val="both"/>
      </w:pPr>
    </w:p>
    <w:p w:rsidR="0078334F" w:rsidRDefault="0078334F" w:rsidP="00674EC8">
      <w:pPr>
        <w:spacing w:line="360" w:lineRule="auto"/>
        <w:jc w:val="both"/>
      </w:pPr>
    </w:p>
    <w:p w:rsidR="00402D3F" w:rsidRPr="00676CB3" w:rsidRDefault="00402D3F" w:rsidP="005E3D6F">
      <w:pPr>
        <w:spacing w:line="360" w:lineRule="auto"/>
        <w:jc w:val="both"/>
      </w:pPr>
    </w:p>
    <w:sectPr w:rsidR="00402D3F" w:rsidRPr="00676C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34850"/>
    <w:multiLevelType w:val="multilevel"/>
    <w:tmpl w:val="F7FE5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2C0BCA"/>
    <w:multiLevelType w:val="multilevel"/>
    <w:tmpl w:val="FC2EF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DC746D"/>
    <w:multiLevelType w:val="multilevel"/>
    <w:tmpl w:val="84645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1C5006"/>
    <w:multiLevelType w:val="multilevel"/>
    <w:tmpl w:val="98F22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6A7DC5"/>
    <w:multiLevelType w:val="multilevel"/>
    <w:tmpl w:val="752A4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18043B"/>
    <w:multiLevelType w:val="multilevel"/>
    <w:tmpl w:val="150CAA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F742A7"/>
    <w:multiLevelType w:val="multilevel"/>
    <w:tmpl w:val="7242CF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6"/>
  </w:num>
  <w:num w:numId="4">
    <w:abstractNumId w:val="3"/>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BF4"/>
    <w:rsid w:val="000D6D56"/>
    <w:rsid w:val="000D7DA6"/>
    <w:rsid w:val="00191E4B"/>
    <w:rsid w:val="002050B1"/>
    <w:rsid w:val="00224310"/>
    <w:rsid w:val="00232C6F"/>
    <w:rsid w:val="00251148"/>
    <w:rsid w:val="00266D20"/>
    <w:rsid w:val="002A2FB5"/>
    <w:rsid w:val="002C41B4"/>
    <w:rsid w:val="002F514D"/>
    <w:rsid w:val="0032179F"/>
    <w:rsid w:val="00327CC1"/>
    <w:rsid w:val="00334AAC"/>
    <w:rsid w:val="003826CD"/>
    <w:rsid w:val="003D4435"/>
    <w:rsid w:val="00402D3F"/>
    <w:rsid w:val="004503C7"/>
    <w:rsid w:val="0046721D"/>
    <w:rsid w:val="004E603C"/>
    <w:rsid w:val="00506746"/>
    <w:rsid w:val="00537489"/>
    <w:rsid w:val="00537CA6"/>
    <w:rsid w:val="0058100F"/>
    <w:rsid w:val="005A1D96"/>
    <w:rsid w:val="005A4672"/>
    <w:rsid w:val="005B18C5"/>
    <w:rsid w:val="005C06B6"/>
    <w:rsid w:val="005E3D6F"/>
    <w:rsid w:val="005E441C"/>
    <w:rsid w:val="005F38ED"/>
    <w:rsid w:val="00604178"/>
    <w:rsid w:val="00611F2D"/>
    <w:rsid w:val="0061392C"/>
    <w:rsid w:val="00615F86"/>
    <w:rsid w:val="00630BEA"/>
    <w:rsid w:val="006342EA"/>
    <w:rsid w:val="00664431"/>
    <w:rsid w:val="006705CB"/>
    <w:rsid w:val="00674EC8"/>
    <w:rsid w:val="00676CB3"/>
    <w:rsid w:val="006A0B9E"/>
    <w:rsid w:val="006F44AD"/>
    <w:rsid w:val="0072688D"/>
    <w:rsid w:val="00727F10"/>
    <w:rsid w:val="00747BF4"/>
    <w:rsid w:val="0078334F"/>
    <w:rsid w:val="0079468B"/>
    <w:rsid w:val="007B0DD5"/>
    <w:rsid w:val="007C2AC3"/>
    <w:rsid w:val="007C7C50"/>
    <w:rsid w:val="007F7789"/>
    <w:rsid w:val="0080112F"/>
    <w:rsid w:val="008B5159"/>
    <w:rsid w:val="008D2B88"/>
    <w:rsid w:val="008F4BCB"/>
    <w:rsid w:val="00937CAF"/>
    <w:rsid w:val="00940886"/>
    <w:rsid w:val="00985733"/>
    <w:rsid w:val="009C401C"/>
    <w:rsid w:val="009D128A"/>
    <w:rsid w:val="00A07194"/>
    <w:rsid w:val="00A66ACC"/>
    <w:rsid w:val="00AD358A"/>
    <w:rsid w:val="00AD4206"/>
    <w:rsid w:val="00AF31B0"/>
    <w:rsid w:val="00AF58CE"/>
    <w:rsid w:val="00B124C5"/>
    <w:rsid w:val="00B37C24"/>
    <w:rsid w:val="00B84487"/>
    <w:rsid w:val="00B87D4D"/>
    <w:rsid w:val="00BB4704"/>
    <w:rsid w:val="00BF383F"/>
    <w:rsid w:val="00C77839"/>
    <w:rsid w:val="00CD6D08"/>
    <w:rsid w:val="00D16ED8"/>
    <w:rsid w:val="00D17902"/>
    <w:rsid w:val="00D277D5"/>
    <w:rsid w:val="00D44DEB"/>
    <w:rsid w:val="00D91DE7"/>
    <w:rsid w:val="00DA491F"/>
    <w:rsid w:val="00DB27F7"/>
    <w:rsid w:val="00DE46DA"/>
    <w:rsid w:val="00E22E27"/>
    <w:rsid w:val="00E53160"/>
    <w:rsid w:val="00E66568"/>
    <w:rsid w:val="00E94C5B"/>
    <w:rsid w:val="00EB6C6F"/>
    <w:rsid w:val="00EC677D"/>
    <w:rsid w:val="00EE6BDD"/>
    <w:rsid w:val="00F148B2"/>
    <w:rsid w:val="00F17257"/>
    <w:rsid w:val="00F310CE"/>
    <w:rsid w:val="00F42C4D"/>
    <w:rsid w:val="00F748C5"/>
    <w:rsid w:val="00F768AA"/>
    <w:rsid w:val="00F8618F"/>
    <w:rsid w:val="00FB5E4A"/>
    <w:rsid w:val="00FC6BD0"/>
    <w:rsid w:val="00FD2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5B8DC"/>
  <w15:chartTrackingRefBased/>
  <w15:docId w15:val="{D9A8AFF3-3D7F-4266-944A-02711D2E9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1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011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805942">
      <w:bodyDiv w:val="1"/>
      <w:marLeft w:val="0"/>
      <w:marRight w:val="0"/>
      <w:marTop w:val="0"/>
      <w:marBottom w:val="0"/>
      <w:divBdr>
        <w:top w:val="none" w:sz="0" w:space="0" w:color="auto"/>
        <w:left w:val="none" w:sz="0" w:space="0" w:color="auto"/>
        <w:bottom w:val="none" w:sz="0" w:space="0" w:color="auto"/>
        <w:right w:val="none" w:sz="0" w:space="0" w:color="auto"/>
      </w:divBdr>
    </w:div>
    <w:div w:id="513762950">
      <w:bodyDiv w:val="1"/>
      <w:marLeft w:val="0"/>
      <w:marRight w:val="0"/>
      <w:marTop w:val="0"/>
      <w:marBottom w:val="0"/>
      <w:divBdr>
        <w:top w:val="none" w:sz="0" w:space="0" w:color="auto"/>
        <w:left w:val="none" w:sz="0" w:space="0" w:color="auto"/>
        <w:bottom w:val="none" w:sz="0" w:space="0" w:color="auto"/>
        <w:right w:val="none" w:sz="0" w:space="0" w:color="auto"/>
      </w:divBdr>
    </w:div>
    <w:div w:id="526721435">
      <w:bodyDiv w:val="1"/>
      <w:marLeft w:val="0"/>
      <w:marRight w:val="0"/>
      <w:marTop w:val="0"/>
      <w:marBottom w:val="0"/>
      <w:divBdr>
        <w:top w:val="none" w:sz="0" w:space="0" w:color="auto"/>
        <w:left w:val="none" w:sz="0" w:space="0" w:color="auto"/>
        <w:bottom w:val="none" w:sz="0" w:space="0" w:color="auto"/>
        <w:right w:val="none" w:sz="0" w:space="0" w:color="auto"/>
      </w:divBdr>
    </w:div>
    <w:div w:id="773592715">
      <w:bodyDiv w:val="1"/>
      <w:marLeft w:val="0"/>
      <w:marRight w:val="0"/>
      <w:marTop w:val="0"/>
      <w:marBottom w:val="0"/>
      <w:divBdr>
        <w:top w:val="none" w:sz="0" w:space="0" w:color="auto"/>
        <w:left w:val="none" w:sz="0" w:space="0" w:color="auto"/>
        <w:bottom w:val="none" w:sz="0" w:space="0" w:color="auto"/>
        <w:right w:val="none" w:sz="0" w:space="0" w:color="auto"/>
      </w:divBdr>
    </w:div>
    <w:div w:id="856626591">
      <w:bodyDiv w:val="1"/>
      <w:marLeft w:val="0"/>
      <w:marRight w:val="0"/>
      <w:marTop w:val="0"/>
      <w:marBottom w:val="0"/>
      <w:divBdr>
        <w:top w:val="none" w:sz="0" w:space="0" w:color="auto"/>
        <w:left w:val="none" w:sz="0" w:space="0" w:color="auto"/>
        <w:bottom w:val="none" w:sz="0" w:space="0" w:color="auto"/>
        <w:right w:val="none" w:sz="0" w:space="0" w:color="auto"/>
      </w:divBdr>
    </w:div>
    <w:div w:id="997078471">
      <w:bodyDiv w:val="1"/>
      <w:marLeft w:val="0"/>
      <w:marRight w:val="0"/>
      <w:marTop w:val="0"/>
      <w:marBottom w:val="0"/>
      <w:divBdr>
        <w:top w:val="none" w:sz="0" w:space="0" w:color="auto"/>
        <w:left w:val="none" w:sz="0" w:space="0" w:color="auto"/>
        <w:bottom w:val="none" w:sz="0" w:space="0" w:color="auto"/>
        <w:right w:val="none" w:sz="0" w:space="0" w:color="auto"/>
      </w:divBdr>
    </w:div>
    <w:div w:id="1230111989">
      <w:bodyDiv w:val="1"/>
      <w:marLeft w:val="0"/>
      <w:marRight w:val="0"/>
      <w:marTop w:val="0"/>
      <w:marBottom w:val="0"/>
      <w:divBdr>
        <w:top w:val="none" w:sz="0" w:space="0" w:color="auto"/>
        <w:left w:val="none" w:sz="0" w:space="0" w:color="auto"/>
        <w:bottom w:val="none" w:sz="0" w:space="0" w:color="auto"/>
        <w:right w:val="none" w:sz="0" w:space="0" w:color="auto"/>
      </w:divBdr>
    </w:div>
    <w:div w:id="196693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uwtsd.ac.uk/id/eprint/1135/" TargetMode="External"/><Relationship Id="rId13" Type="http://schemas.openxmlformats.org/officeDocument/2006/relationships/hyperlink" Target="https://www.wiserd.ac.uk/publications/education-in-wales-our-national-mission/" TargetMode="External"/><Relationship Id="rId3" Type="http://schemas.openxmlformats.org/officeDocument/2006/relationships/styles" Target="styles.xml"/><Relationship Id="rId7" Type="http://schemas.openxmlformats.org/officeDocument/2006/relationships/hyperlink" Target="https://www.theguardian.com/education/2019/sep/10/is-outdoor-learning-the-answer-to-all-our-problems" TargetMode="External"/><Relationship Id="rId12" Type="http://schemas.openxmlformats.org/officeDocument/2006/relationships/hyperlink" Target="https://gov.wales/sites/default/files/publications/2020-11/fulfilled-lives-supportive-communities-vision-welsh-language-education-wales-2020-203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outdoor-learning.org/Portals/0/IOL%20Documents/About%20Outdoor%20Learning/RR1%20-%20Describing%20Outdoor%20Learning%202-8-21.pdf?ver=2021-08-10-133755-690" TargetMode="External"/><Relationship Id="rId11" Type="http://schemas.openxmlformats.org/officeDocument/2006/relationships/hyperlink" Target="https://oeapng.info/wp-content/uploads/2019/06/National-Guidance-for-the-Safe-Delivery-of-Outdoor-Learning-2019.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naturalresources.wales/media/682157/the-value-of-outdoor-learning-nrw-report.pdf" TargetMode="External"/><Relationship Id="rId4" Type="http://schemas.openxmlformats.org/officeDocument/2006/relationships/settings" Target="settings.xml"/><Relationship Id="rId9" Type="http://schemas.openxmlformats.org/officeDocument/2006/relationships/hyperlink" Target="https://naturalresources.wales/media/682157/the-value-of-outdoor-learning-nrw-repor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Bri22</b:Tag>
    <b:SourceType>InternetSite</b:SourceType>
    <b:Guid>{AE59C8CF-8FE3-4598-A4B1-A4925CD3B825}</b:Guid>
    <b:Author>
      <b:Author>
        <b:NameList>
          <b:Person>
            <b:Last>Patel</b:Last>
            <b:First>Brina</b:First>
          </b:Person>
        </b:NameList>
      </b:Author>
    </b:Author>
    <b:Title>Thinking Outside the Classroom: The Benefits Of Outdoor Learning</b:Title>
    <b:Year>2022</b:Year>
    <b:YearAccessed>2023</b:YearAccessed>
    <b:MonthAccessed>04</b:MonthAccessed>
    <b:DayAccessed>12</b:DayAccessed>
    <b:URL>https://www.verywellmind.com/outdoor-learning-school-kids-benefits-expert-advice-6455659</b:URL>
    <b:RefOrder>1</b:RefOrder>
  </b:Source>
  <b:Source>
    <b:Tag>Jan20</b:Tag>
    <b:SourceType>InternetSite</b:SourceType>
    <b:Guid>{CD23FDCC-CE54-439D-A211-82E1F40DB54A}</b:Guid>
    <b:Author>
      <b:Author>
        <b:NameList>
          <b:Person>
            <b:Last>Currell</b:Last>
            <b:First>Jane</b:First>
          </b:Person>
        </b:NameList>
      </b:Author>
    </b:Author>
    <b:Title>The Legacy of John Dewey</b:Title>
    <b:Year>2020</b:Year>
    <b:YearAccessed>2023</b:YearAccessed>
    <b:MonthAccessed>05</b:MonthAccessed>
    <b:DayAccessed>07</b:DayAccessed>
    <b:URL>https://mathsnoproblem.com/blog/teaching-practice/legacy-of-john-dewey#:~:text=John%20Dewey%20%281859%E2%80%931952%29%20was%20an%20American%20philosopher%2C%20psychologist%2C,education%20on%20the%20principle%20of%20learning%20through%20doing.</b:URL>
    <b:RefOrder>1</b:RefOrder>
  </b:Source>
</b:Sources>
</file>

<file path=customXml/itemProps1.xml><?xml version="1.0" encoding="utf-8"?>
<ds:datastoreItem xmlns:ds="http://schemas.openxmlformats.org/officeDocument/2006/customXml" ds:itemID="{04938689-B41F-4350-A400-65EC98244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2252</TotalTime>
  <Pages>14</Pages>
  <Words>4715</Words>
  <Characters>26882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Bishop Vaughan Catholic School</Company>
  <LinksUpToDate>false</LinksUpToDate>
  <CharactersWithSpaces>31534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Holohan (Bishop Vaughan School)</dc:creator>
  <cp:keywords/>
  <dc:description/>
  <cp:lastModifiedBy>J Holohan (Bishop Vaughan School)</cp:lastModifiedBy>
  <cp:revision>48</cp:revision>
  <dcterms:created xsi:type="dcterms:W3CDTF">2023-04-20T19:40:00Z</dcterms:created>
  <dcterms:modified xsi:type="dcterms:W3CDTF">2023-05-14T17:20:00Z</dcterms:modified>
</cp:coreProperties>
</file>