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charts/colors1.xml" ContentType="application/vnd.ms-office.chartcolorstyle+xml"/>
  <Override PartName="/word/fontTable.xml" ContentType="application/vnd.openxmlformats-officedocument.wordprocessingml.fontTable+xml"/>
  <Override PartName="/word/charts/chart3.xml" ContentType="application/vnd.openxmlformats-officedocument.drawingml.chart+xml"/>
  <Override PartName="/docProps/core.xml" ContentType="application/vnd.openxmlformats-package.core-properties+xml"/>
  <Override PartName="/word/charts/chart1.xml" ContentType="application/vnd.openxmlformats-officedocument.drawingml.chart+xml"/>
  <Override PartName="/word/footer1.xml" ContentType="application/vnd.openxmlformats-officedocument.wordprocessingml.footer+xml"/>
  <Override PartName="/word/numbering.xml" ContentType="application/vnd.openxmlformats-officedocument.wordprocessingml.numbering+xml"/>
  <Override PartName="/word/charts/colors3.xml" ContentType="application/vnd.ms-office.chartcolorstyle+xml"/>
  <Override PartName="/word/charts/style2.xml" ContentType="application/vnd.ms-office.chartstyle+xml"/>
  <Override PartName="/word/settings.xml" ContentType="application/vnd.openxmlformats-officedocument.wordprocessingml.settings+xml"/>
  <Override PartName="/word/charts/style4.xml" ContentType="application/vnd.ms-office.chartstyle+xml"/>
  <Override PartName="/docProps/custom.xml" ContentType="application/vnd.openxmlformats-officedocument.custom-properties+xml"/>
  <Override PartName="/word/charts/colors2.xml" ContentType="application/vnd.ms-office.chartcolorstyle+xml"/>
  <Override PartName="/word/charts/chart4.xml" ContentType="application/vnd.openxmlformats-officedocument.drawingml.chart+xml"/>
  <Override PartName="/word/charts/colors4.xml" ContentType="application/vnd.ms-office.chartcolorstyle+xml"/>
  <Override PartName="/word/document.xml" ContentType="application/vnd.openxmlformats-officedocument.wordprocessingml.document.main+xml"/>
  <Override PartName="/word/charts/chart2.xml" ContentType="application/vnd.openxmlformats-officedocument.drawingml.chart+xml"/>
  <Override PartName="/word/charts/style1.xml" ContentType="application/vnd.ms-office.chartstyle+xml"/>
  <Override PartName="/customXml/itemProps1.xml" ContentType="application/vnd.openxmlformats-officedocument.customXmlProperties+xml"/>
  <Override PartName="/word/styles.xml" ContentType="application/vnd.openxmlformats-officedocument.wordprocessingml.styles+xml"/>
  <Override PartName="/word/charts/style3.xml" ContentType="application/vnd.ms-office.chartstyle+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sz w:val="40"/>
        </w:rPr>
      </w:pPr>
      <w:r>
        <w:rPr>
          <w:sz w:val="40"/>
        </w:rPr>
        <w:t>LCBB5000</w:t>
      </w:r>
    </w:p>
    <w:p>
      <w:pPr>
        <w:pStyle w:val="style62"/>
        <w:rPr>
          <w:sz w:val="40"/>
        </w:rPr>
      </w:pPr>
      <w:r>
        <w:rPr>
          <w:sz w:val="40"/>
        </w:rPr>
        <w:t>Data Handling &amp; Business Intelligence</w:t>
      </w:r>
    </w:p>
    <w:p>
      <w:pPr>
        <w:pStyle w:val="style62"/>
        <w:rPr>
          <w:sz w:val="40"/>
        </w:rPr>
      </w:pPr>
      <w:r>
        <w:rPr>
          <w:sz w:val="40"/>
        </w:rPr>
        <w:t>Assessment 2</w:t>
      </w:r>
      <w:r>
        <w:rPr>
          <w:sz w:val="40"/>
        </w:rPr>
        <w:t xml:space="preserve">: </w:t>
      </w:r>
      <w:r>
        <w:rPr>
          <w:sz w:val="40"/>
        </w:rPr>
        <w:t xml:space="preserve">Data analysis and Visualisation </w:t>
      </w:r>
    </w:p>
    <w:p>
      <w:pPr>
        <w:pStyle w:val="style0"/>
        <w:numPr>
          <w:ilvl w:val="0"/>
          <w:numId w:val="0"/>
        </w:numPr>
        <w:rPr>
          <w:sz w:val="40"/>
        </w:rPr>
      </w:pPr>
      <w:r>
        <w:rPr>
          <w:sz w:val="40"/>
          <w:lang w:val="en-US"/>
        </w:rPr>
        <w:t xml:space="preserve">   Student Name  Narcis Gavril</w:t>
      </w:r>
    </w:p>
    <w:p>
      <w:pPr>
        <w:pStyle w:val="style0"/>
        <w:numPr>
          <w:ilvl w:val="0"/>
          <w:numId w:val="0"/>
        </w:numPr>
        <w:rPr>
          <w:sz w:val="40"/>
        </w:rPr>
      </w:pPr>
      <w:r>
        <w:rPr>
          <w:sz w:val="40"/>
          <w:lang w:val="en-US"/>
        </w:rPr>
        <w:t xml:space="preserve">   Student ID 2022007</w:t>
      </w:r>
    </w:p>
    <w:p>
      <w:pPr>
        <w:pStyle w:val="style0"/>
        <w:numPr>
          <w:ilvl w:val="0"/>
          <w:numId w:val="0"/>
        </w:numPr>
        <w:rPr>
          <w:sz w:val="40"/>
        </w:rPr>
      </w:pPr>
    </w:p>
    <w:p>
      <w:pPr>
        <w:pStyle w:val="style0"/>
        <w:rPr/>
      </w:pPr>
    </w:p>
    <w:p>
      <w:pPr>
        <w:pStyle w:val="style0"/>
        <w:widowControl/>
        <w:autoSpaceDE/>
        <w:autoSpaceDN/>
        <w:spacing w:after="160" w:lineRule="auto" w:line="259"/>
        <w:jc w:val="left"/>
        <w:rPr/>
      </w:pPr>
      <w:r>
        <w:br w:type="page"/>
      </w:r>
    </w:p>
    <w:p>
      <w:pPr>
        <w:pStyle w:val="style266"/>
        <w:rPr/>
      </w:pPr>
      <w:r>
        <w:t>Table of Contents</w:t>
      </w: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"_Toc109382456"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_Toc109382456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"_Toc109382457" </w:instrText>
      </w:r>
      <w:r>
        <w:rPr/>
        <w:fldChar w:fldCharType="separate"/>
      </w:r>
      <w:r>
        <w:rPr>
          <w:rStyle w:val="style85"/>
          <w:noProof/>
        </w:rPr>
        <w:t>Part 1</w:t>
      </w:r>
      <w:r>
        <w:rPr>
          <w:noProof/>
          <w:webHidden/>
        </w:rPr>
        <w:tab/>
      </w:r>
      <w:r>
        <w:rPr>
          <w:noProof/>
          <w:webHidden/>
        </w:rPr>
        <w:fldChar w:fldCharType="begin"/>
      </w:r>
      <w:r>
        <w:rPr>
          <w:noProof/>
          <w:webHidden/>
        </w:rPr>
        <w:instrText xml:space="preserve"> PAGEREF _Toc109382457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"_Toc109382458" </w:instrText>
      </w:r>
      <w:r>
        <w:rPr/>
        <w:fldChar w:fldCharType="separate"/>
      </w:r>
      <w:r>
        <w:rPr>
          <w:rStyle w:val="style85"/>
          <w:noProof/>
        </w:rPr>
        <w:t>A thorough analysis of the potential applications for various businesses of excel pre-processing data</w:t>
      </w:r>
      <w:r>
        <w:rPr>
          <w:noProof/>
          <w:webHidden/>
        </w:rPr>
        <w:tab/>
      </w:r>
      <w:r>
        <w:rPr>
          <w:noProof/>
          <w:webHidden/>
        </w:rPr>
        <w:fldChar w:fldCharType="begin"/>
      </w:r>
      <w:r>
        <w:rPr>
          <w:noProof/>
          <w:webHidden/>
        </w:rPr>
        <w:instrText xml:space="preserve"> PAGEREF _Toc109382458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"_Toc109382459" </w:instrText>
      </w:r>
      <w:r>
        <w:rPr/>
        <w:fldChar w:fldCharType="separate"/>
      </w:r>
      <w:r>
        <w:rPr>
          <w:rStyle w:val="style85"/>
          <w:noProof/>
        </w:rPr>
        <w:t>Superstore data analysis</w:t>
      </w:r>
      <w:r>
        <w:rPr>
          <w:noProof/>
          <w:webHidden/>
        </w:rPr>
        <w:tab/>
      </w:r>
      <w:r>
        <w:rPr>
          <w:noProof/>
          <w:webHidden/>
        </w:rPr>
        <w:fldChar w:fldCharType="begin"/>
      </w:r>
      <w:r>
        <w:rPr>
          <w:noProof/>
          <w:webHidden/>
        </w:rPr>
        <w:instrText xml:space="preserve"> PAGEREF _Toc109382459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"_Toc109382460" </w:instrText>
      </w:r>
      <w:r>
        <w:rPr/>
        <w:fldChar w:fldCharType="separate"/>
      </w:r>
      <w:r>
        <w:rPr>
          <w:rStyle w:val="style85"/>
          <w:noProof/>
        </w:rPr>
        <w:t>Part 2</w:t>
      </w:r>
      <w:r>
        <w:rPr>
          <w:noProof/>
          <w:webHidden/>
        </w:rPr>
        <w:tab/>
      </w:r>
      <w:r>
        <w:rPr>
          <w:noProof/>
          <w:webHidden/>
        </w:rPr>
        <w:fldChar w:fldCharType="begin"/>
      </w:r>
      <w:r>
        <w:rPr>
          <w:noProof/>
          <w:webHidden/>
        </w:rPr>
        <w:instrText xml:space="preserve"> PAGEREF _Toc109382460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"_Toc109382461" </w:instrText>
      </w:r>
      <w:r>
        <w:rPr/>
        <w:fldChar w:fldCharType="separate"/>
      </w:r>
      <w:r>
        <w:rPr>
          <w:rStyle w:val="style85"/>
          <w:noProof/>
        </w:rPr>
        <w:t>2.1 Student likes the vanilla flavour</w:t>
      </w:r>
      <w:r>
        <w:rPr>
          <w:noProof/>
          <w:webHidden/>
        </w:rPr>
        <w:tab/>
      </w:r>
      <w:r>
        <w:rPr>
          <w:noProof/>
          <w:webHidden/>
        </w:rPr>
        <w:fldChar w:fldCharType="begin"/>
      </w:r>
      <w:r>
        <w:rPr>
          <w:noProof/>
          <w:webHidden/>
        </w:rPr>
        <w:instrText xml:space="preserve"> PAGEREF _Toc109382461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"_Toc109382462" </w:instrText>
      </w:r>
      <w:r>
        <w:rPr/>
        <w:fldChar w:fldCharType="separate"/>
      </w:r>
      <w:r>
        <w:rPr>
          <w:rStyle w:val="style85"/>
          <w:noProof/>
        </w:rPr>
        <w:t>2.2 Male and female students</w:t>
      </w:r>
      <w:r>
        <w:rPr>
          <w:noProof/>
          <w:webHidden/>
        </w:rPr>
        <w:tab/>
      </w:r>
      <w:r>
        <w:rPr>
          <w:noProof/>
          <w:webHidden/>
        </w:rPr>
        <w:fldChar w:fldCharType="begin"/>
      </w:r>
      <w:r>
        <w:rPr>
          <w:noProof/>
          <w:webHidden/>
        </w:rPr>
        <w:instrText xml:space="preserve"> PAGEREF _Toc109382462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"_Toc109382463" </w:instrText>
      </w:r>
      <w:r>
        <w:rPr/>
        <w:fldChar w:fldCharType="separate"/>
      </w:r>
      <w:r>
        <w:rPr>
          <w:rStyle w:val="style85"/>
          <w:rFonts w:eastAsia="Arial"/>
          <w:noProof/>
        </w:rPr>
        <w:t>2.3 Mean and median</w:t>
      </w:r>
      <w:r>
        <w:rPr>
          <w:noProof/>
          <w:webHidden/>
        </w:rPr>
        <w:tab/>
      </w:r>
      <w:r>
        <w:rPr>
          <w:noProof/>
          <w:webHidden/>
        </w:rPr>
        <w:fldChar w:fldCharType="begin"/>
      </w:r>
      <w:r>
        <w:rPr>
          <w:noProof/>
          <w:webHidden/>
        </w:rPr>
        <w:instrText xml:space="preserve"> PAGEREF _Toc109382463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"_Toc109382464" </w:instrText>
      </w:r>
      <w:r>
        <w:rPr/>
        <w:fldChar w:fldCharType="separate"/>
      </w:r>
      <w:r>
        <w:rPr>
          <w:rStyle w:val="style85"/>
          <w:noProof/>
        </w:rPr>
        <w:t>2.5 Data mining and text mining methods</w:t>
      </w:r>
      <w:r>
        <w:rPr>
          <w:noProof/>
          <w:webHidden/>
        </w:rPr>
        <w:tab/>
      </w:r>
      <w:r>
        <w:rPr>
          <w:noProof/>
          <w:webHidden/>
        </w:rPr>
        <w:fldChar w:fldCharType="begin"/>
      </w:r>
      <w:r>
        <w:rPr>
          <w:noProof/>
          <w:webHidden/>
        </w:rPr>
        <w:instrText xml:space="preserve"> PAGEREF _Toc109382464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350"/>
        </w:tabs>
        <w:rPr>
          <w:noProof/>
        </w:rPr>
      </w:pPr>
      <w:r>
        <w:rPr/>
        <w:fldChar w:fldCharType="begin"/>
      </w:r>
      <w:r>
        <w:instrText xml:space="preserve"> HYPERLINK \l "_Toc109382465" </w:instrText>
      </w:r>
      <w:r>
        <w:rPr/>
        <w:fldChar w:fldCharType="separate"/>
      </w:r>
      <w:r>
        <w:rPr>
          <w:rStyle w:val="style85"/>
          <w:noProof/>
        </w:rPr>
        <w:t>2.6 Advantages and disadvantages of SPSS and Excel</w:t>
      </w:r>
      <w:r>
        <w:rPr>
          <w:noProof/>
          <w:webHidden/>
        </w:rPr>
        <w:tab/>
      </w:r>
      <w:r>
        <w:rPr>
          <w:noProof/>
          <w:webHidden/>
        </w:rPr>
        <w:fldChar w:fldCharType="begin"/>
      </w:r>
      <w:r>
        <w:rPr>
          <w:noProof/>
          <w:webHidden/>
        </w:rPr>
        <w:instrText xml:space="preserve"> PAGEREF _Toc109382465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"_Toc109382466" </w:instrText>
      </w:r>
      <w:r>
        <w:rPr/>
        <w:fldChar w:fldCharType="separate"/>
      </w:r>
      <w:r>
        <w:rPr>
          <w:rStyle w:val="style85"/>
          <w:noProof/>
        </w:rPr>
        <w:t>Advantages and disadvantages of SPSS</w:t>
      </w:r>
      <w:r>
        <w:rPr>
          <w:noProof/>
          <w:webHidden/>
        </w:rPr>
        <w:tab/>
      </w:r>
      <w:r>
        <w:rPr>
          <w:noProof/>
          <w:webHidden/>
        </w:rPr>
        <w:fldChar w:fldCharType="begin"/>
      </w:r>
      <w:r>
        <w:rPr>
          <w:noProof/>
          <w:webHidden/>
        </w:rPr>
        <w:instrText xml:space="preserve"> PAGEREF _Toc109382466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350"/>
        </w:tabs>
        <w:rPr>
          <w:noProof/>
        </w:rPr>
      </w:pPr>
      <w:r>
        <w:rPr/>
        <w:fldChar w:fldCharType="begin"/>
      </w:r>
      <w:r>
        <w:instrText xml:space="preserve"> HYPERLINK \l "_Toc109382467" </w:instrText>
      </w:r>
      <w:r>
        <w:rPr/>
        <w:fldChar w:fldCharType="separate"/>
      </w:r>
      <w:r>
        <w:rPr>
          <w:rStyle w:val="style85"/>
          <w:noProof/>
        </w:rPr>
        <w:t>Advantages and disadvantages of Excel</w:t>
      </w:r>
      <w:r>
        <w:rPr>
          <w:noProof/>
          <w:webHidden/>
        </w:rPr>
        <w:tab/>
      </w:r>
      <w:r>
        <w:rPr>
          <w:noProof/>
          <w:webHidden/>
        </w:rPr>
        <w:fldChar w:fldCharType="begin"/>
      </w:r>
      <w:r>
        <w:rPr>
          <w:noProof/>
          <w:webHidden/>
        </w:rPr>
        <w:instrText xml:space="preserve"> PAGEREF _Toc109382467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"_Toc109382468"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_Toc109382468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"_Toc109382469"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_Toc109382469 \h </w:instrText>
      </w:r>
      <w:r>
        <w:rPr>
          <w:noProof/>
          <w:webHidden/>
        </w:rPr>
        <w:fldChar w:fldCharType="separate"/>
      </w:r>
      <w:r>
        <w:rPr>
          <w:noProof/>
          <w:webHidden/>
        </w:rPr>
        <w:t>16</w:t>
      </w:r>
      <w:r>
        <w:rPr>
          <w:noProof/>
          <w:webHidden/>
        </w:rPr>
        <w:fldChar w:fldCharType="end"/>
      </w:r>
      <w:r>
        <w:rPr/>
        <w:fldChar w:fldCharType="end"/>
      </w:r>
    </w:p>
    <w:p>
      <w:pPr>
        <w:pStyle w:val="style0"/>
        <w:rPr/>
      </w:pPr>
      <w:r>
        <w:rPr>
          <w:b/>
          <w:bCs/>
          <w:noProof/>
        </w:rPr>
        <w:fldChar w:fldCharType="end"/>
      </w:r>
    </w:p>
    <w:p>
      <w:pPr>
        <w:pStyle w:val="style0"/>
        <w:widowControl/>
        <w:autoSpaceDE/>
        <w:autoSpaceDN/>
        <w:spacing w:after="160" w:lineRule="auto" w:line="259"/>
        <w:jc w:val="left"/>
        <w:rPr/>
      </w:pPr>
      <w:r>
        <w:br w:type="page"/>
      </w:r>
    </w:p>
    <w:bookmarkStart w:id="0" w:name="_Toc109382456"/>
    <w:p>
      <w:pPr>
        <w:pStyle w:val="style1"/>
        <w:rPr/>
      </w:pPr>
      <w:r>
        <w:t>Introduction</w:t>
      </w:r>
      <w:bookmarkEnd w:id="0"/>
    </w:p>
    <w:p>
      <w:pPr>
        <w:pStyle w:val="style0"/>
        <w:rPr/>
      </w:pPr>
      <w:r>
        <w:t>It is well known that</w:t>
      </w:r>
      <w:r>
        <w:t xml:space="preserve"> data management is one of the most critical aspects of any organisation, regardless of the area in which it operates, as </w:t>
      </w:r>
      <w:bookmarkStart w:id="1" w:name="_GoBack"/>
      <w:bookmarkEnd w:id="1"/>
      <w:r>
        <w:t xml:space="preserve">it relates to the facts and figures of the company that are very significant in the present market environment (Boyles, 2019). </w:t>
      </w:r>
      <w:r>
        <w:t>T</w:t>
      </w:r>
      <w:r>
        <w:t xml:space="preserve">o conduct a systematic study and evaluation of various things that are significant from the perspective of the company, there is a brief discussion of various features that are related to </w:t>
      </w:r>
      <w:r>
        <w:t>Ice-cream</w:t>
      </w:r>
      <w:r>
        <w:t xml:space="preserve"> and a full examination of various compo</w:t>
      </w:r>
      <w:r>
        <w:t xml:space="preserve">nents that are involved in it. </w:t>
      </w:r>
      <w:r>
        <w:t xml:space="preserve">Aside from that, several Excel features are also assessed in this report </w:t>
      </w:r>
      <w:r>
        <w:t>by</w:t>
      </w:r>
      <w:r>
        <w:t xml:space="preserve"> the demands, needs, and requirements of the organisation.</w:t>
      </w:r>
      <w:r>
        <w:t xml:space="preserve"> </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2" w:name="_Toc109382457"/>
    <w:p>
      <w:pPr>
        <w:pStyle w:val="style1"/>
        <w:rPr/>
      </w:pPr>
      <w:r>
        <w:t>Part 1</w:t>
      </w:r>
      <w:bookmarkEnd w:id="2"/>
    </w:p>
    <w:bookmarkStart w:id="3" w:name="_Toc109382458"/>
    <w:p>
      <w:pPr>
        <w:pStyle w:val="style2"/>
        <w:rPr/>
      </w:pPr>
      <w:r>
        <w:t>A thorough analysis of the potential applications for various businesses of excel pre-processing data</w:t>
      </w:r>
      <w:bookmarkEnd w:id="3"/>
    </w:p>
    <w:p>
      <w:pPr>
        <w:pStyle w:val="style0"/>
        <w:rPr/>
      </w:pPr>
      <w:r>
        <w:t>Microsoft Excel has various purposes and functions, and an organisation can list itself in it for the benefit of its customers, managers, and owner as well as for the gathering of data and ongoing, regular examination of Microsoft Excel's features. As there are a lot of functions in Microsoft Excel, they are all systematically and in-depth discussed below:</w:t>
      </w:r>
    </w:p>
    <w:p>
      <w:pPr>
        <w:pStyle w:val="style179"/>
        <w:numPr>
          <w:ilvl w:val="0"/>
          <w:numId w:val="1"/>
        </w:numPr>
        <w:rPr/>
      </w:pPr>
      <w:r>
        <w:rPr>
          <w:b/>
        </w:rPr>
        <w:t xml:space="preserve">Analysing and storing data: </w:t>
      </w:r>
      <w:r>
        <w:t xml:space="preserve">Although there are many other methods for analysing and evaluating data as well as many different ways to store it, Microsoft Excel allows for both of these tasks to be completed </w:t>
      </w:r>
      <w:r>
        <w:t>systematically and accurately</w:t>
      </w:r>
      <w:r>
        <w:t xml:space="preserve"> that aids in a thorough analysis of all the factors that are highly valuable to the industry</w:t>
      </w:r>
      <w:r>
        <w:t xml:space="preserve"> </w:t>
      </w:r>
      <w:r>
        <w:t xml:space="preserve">(Fatima and </w:t>
      </w:r>
      <w:r>
        <w:t>Linnes</w:t>
      </w:r>
      <w:r>
        <w:t xml:space="preserve">, 2019). </w:t>
      </w:r>
      <w:r>
        <w:t>Several tools</w:t>
      </w:r>
      <w:r>
        <w:t xml:space="preserve"> can be utilised in it to ensure that data storage can be done precisely, which would further boost the value of the company in the market and allow it to stay in the industry for a much longer amount of time than its rivals.</w:t>
      </w:r>
    </w:p>
    <w:p>
      <w:pPr>
        <w:pStyle w:val="style179"/>
        <w:numPr>
          <w:ilvl w:val="0"/>
          <w:numId w:val="1"/>
        </w:numPr>
        <w:rPr/>
      </w:pPr>
      <w:r>
        <w:rPr>
          <w:b/>
        </w:rPr>
        <w:t>Data recovery:</w:t>
      </w:r>
      <w:r>
        <w:t xml:space="preserve"> It is one of the most crucial and necessary components since Microsoft Excel has a function that aids in recovering data that has been accidentally destroyed, providing value to business operations.</w:t>
      </w:r>
    </w:p>
    <w:p>
      <w:pPr>
        <w:pStyle w:val="style179"/>
        <w:numPr>
          <w:ilvl w:val="0"/>
          <w:numId w:val="1"/>
        </w:numPr>
        <w:rPr/>
      </w:pPr>
      <w:r>
        <w:rPr>
          <w:b/>
        </w:rPr>
        <w:t>Creating reports:</w:t>
      </w:r>
      <w:r>
        <w:t xml:space="preserve"> Using the various tools and techniques that are available in Microsoft Excel, it is possible to create reports </w:t>
      </w:r>
      <w:r>
        <w:t>effectively and efficiently</w:t>
      </w:r>
      <w:r>
        <w:t>. This makes it a highly important and necessary tool</w:t>
      </w:r>
      <w:r>
        <w:t xml:space="preserve"> (Kumar, 2018)</w:t>
      </w:r>
      <w:r>
        <w:t>. The report can be monitored in MS Excel in a precise manner as well, reducing the possibility of any inaccuracies.</w:t>
      </w:r>
    </w:p>
    <w:p>
      <w:pPr>
        <w:pStyle w:val="style179"/>
        <w:numPr>
          <w:ilvl w:val="0"/>
          <w:numId w:val="1"/>
        </w:numPr>
        <w:rPr/>
      </w:pPr>
      <w:r>
        <w:rPr>
          <w:b/>
        </w:rPr>
        <w:t>Research:</w:t>
      </w:r>
      <w:r>
        <w:t xml:space="preserve"> Microsoft Excel is also useful for conducting in-depth investigations and analyses of all the various components of a business to boost productivity and performance, which will boost sales and profitability and allow the company to expand and thrive in the sector in which it operates.</w:t>
      </w:r>
    </w:p>
    <w:p>
      <w:pPr>
        <w:pStyle w:val="style179"/>
        <w:numPr>
          <w:ilvl w:val="0"/>
          <w:numId w:val="1"/>
        </w:numPr>
        <w:rPr/>
      </w:pPr>
      <w:r>
        <w:rPr>
          <w:b/>
        </w:rPr>
        <w:t>Conditional formatting:</w:t>
      </w:r>
      <w:r>
        <w:t xml:space="preserve"> In Microsoft Excel, there is a method by which businesses can format the data </w:t>
      </w:r>
      <w:r>
        <w:t>following</w:t>
      </w:r>
      <w:r>
        <w:t xml:space="preserve"> the demands and requirements of the organisation to minimise any type of misrepresentation, which is highly advantageous from the perspective of the company</w:t>
      </w:r>
      <w:r>
        <w:t xml:space="preserve"> (</w:t>
      </w:r>
      <w:r>
        <w:t>Moyo</w:t>
      </w:r>
      <w:r>
        <w:t xml:space="preserve"> and </w:t>
      </w:r>
      <w:r>
        <w:t>Loock</w:t>
      </w:r>
      <w:r>
        <w:t>, 2018)</w:t>
      </w:r>
      <w:r>
        <w:t>.</w:t>
      </w:r>
    </w:p>
    <w:p>
      <w:pPr>
        <w:pStyle w:val="style179"/>
        <w:numPr>
          <w:ilvl w:val="0"/>
          <w:numId w:val="1"/>
        </w:numPr>
        <w:rPr/>
      </w:pPr>
      <w:r>
        <w:rPr>
          <w:b/>
        </w:rPr>
        <w:t>Security:</w:t>
      </w:r>
      <w:r>
        <w:t xml:space="preserve"> Because Microsoft Excel is used to store important data, it</w:t>
      </w:r>
      <w:r>
        <w:t>s security must remain</w:t>
      </w:r>
      <w:r>
        <w:t xml:space="preserve"> </w:t>
      </w:r>
      <w:r>
        <w:t>the top concern of the organisation. Microsoft Excel has all the necessary security features, but different people can still compromise it using any number of different methods (</w:t>
      </w:r>
      <w:r>
        <w:t>Fernández-Manzano</w:t>
      </w:r>
      <w:r>
        <w:t xml:space="preserve">, </w:t>
      </w:r>
      <w:r>
        <w:t>et al.</w:t>
      </w:r>
      <w:r>
        <w:t>, 2016).</w:t>
      </w:r>
    </w:p>
    <w:p>
      <w:pPr>
        <w:pStyle w:val="style0"/>
        <w:rPr/>
      </w:pPr>
      <w:r>
        <w:rPr>
          <w:b/>
        </w:rPr>
        <w:t>Examining the use of the IF function in Microsoft Excel -</w:t>
      </w:r>
      <w:r>
        <w:t xml:space="preserve"> The IF feature, which can occasionally be referred to as the IF declaration due to the function that it performs, consists of a comma that separates it into three parts.</w:t>
      </w:r>
    </w:p>
    <w:p>
      <w:pPr>
        <w:pStyle w:val="style179"/>
        <w:numPr>
          <w:ilvl w:val="0"/>
          <w:numId w:val="3"/>
        </w:numPr>
        <w:rPr/>
      </w:pPr>
      <w:r>
        <w:t xml:space="preserve">Old facts and figures can also be rearranged </w:t>
      </w:r>
      <w:r>
        <w:t>systematicall</w:t>
      </w:r>
      <w:r>
        <w:t>y with the aid of this function in an appropriate way</w:t>
      </w:r>
      <w:r>
        <w:t xml:space="preserve"> (</w:t>
      </w:r>
      <w:r>
        <w:t>Mumtaz</w:t>
      </w:r>
      <w:r>
        <w:t xml:space="preserve"> and Ashraf, 2017)</w:t>
      </w:r>
      <w:r>
        <w:t xml:space="preserve">. </w:t>
      </w:r>
    </w:p>
    <w:p>
      <w:pPr>
        <w:pStyle w:val="style179"/>
        <w:numPr>
          <w:ilvl w:val="0"/>
          <w:numId w:val="3"/>
        </w:numPr>
        <w:rPr/>
      </w:pPr>
      <w:r>
        <w:t xml:space="preserve">It provides useful information about income or the revenue that is generated by the firm and also describes the sales as well as expenses aspect </w:t>
      </w:r>
      <w:r>
        <w:t>o</w:t>
      </w:r>
      <w:r>
        <w:t>n a step</w:t>
      </w:r>
      <w:r>
        <w:t>-by-</w:t>
      </w:r>
      <w:r>
        <w:t>step basis that helps in evaluating it in detail.</w:t>
      </w:r>
    </w:p>
    <w:p>
      <w:pPr>
        <w:pStyle w:val="style0"/>
        <w:rPr/>
      </w:pPr>
      <w:r>
        <w:rPr>
          <w:b/>
        </w:rPr>
        <w:t>IF element from -</w:t>
      </w:r>
      <w:r>
        <w:t xml:space="preserve"> The IF Element form has a variety of applications, all of which are described in more detail below:</w:t>
      </w:r>
    </w:p>
    <w:p>
      <w:pPr>
        <w:pStyle w:val="style179"/>
        <w:numPr>
          <w:ilvl w:val="0"/>
          <w:numId w:val="3"/>
        </w:numPr>
        <w:rPr/>
      </w:pPr>
      <w:r>
        <w:t>It aids in the creation of form code</w:t>
      </w:r>
    </w:p>
    <w:p>
      <w:pPr>
        <w:pStyle w:val="style179"/>
        <w:numPr>
          <w:ilvl w:val="0"/>
          <w:numId w:val="3"/>
        </w:numPr>
        <w:rPr/>
      </w:pPr>
      <w:r>
        <w:t>It may also be used to check cell code and determine whether or not requirements have been met.</w:t>
      </w:r>
    </w:p>
    <w:p>
      <w:pPr>
        <w:pStyle w:val="style0"/>
        <w:rPr/>
      </w:pPr>
      <w:r>
        <w:t>The parameter of B1 will also signify that the IF parameter is more important than B3 as soon as this function is noticed if a function discloses the relevance of B3 and if B3's value or importance is smaller than that of B3's variable. After pressing the Enter key, the user should be able to see the cell of the B4 file.</w:t>
      </w:r>
      <w:r>
        <w:t xml:space="preserve"> </w:t>
      </w:r>
      <w:r>
        <w:t>The user must move the handle from cell D4 to cell D8400 to witness the effect.</w:t>
      </w:r>
    </w:p>
    <w:p>
      <w:pPr>
        <w:pStyle w:val="style0"/>
        <w:rPr/>
      </w:pPr>
      <w:r>
        <w:t xml:space="preserve">Whether or whether the customer wants it, users should not be puzzled if they need to learn about the H Lookup and V Lookup features of an application. This is a crucial ability. If </w:t>
      </w:r>
      <w:r>
        <w:t xml:space="preserve">the </w:t>
      </w:r>
      <w:r>
        <w:t xml:space="preserve">operation is done with few numbers, </w:t>
      </w:r>
      <w:r>
        <w:t xml:space="preserve">the </w:t>
      </w:r>
      <w:r>
        <w:t>user will think about anything in detail. Therefore, if the search was extended, it would take significantly longer to find everything in the data (Kumar, 2018).</w:t>
      </w:r>
    </w:p>
    <w:p>
      <w:pPr>
        <w:pStyle w:val="style0"/>
        <w:rPr/>
      </w:pPr>
      <w:r>
        <w:rPr>
          <w:b/>
        </w:rPr>
        <w:t>Lookup Value:</w:t>
      </w:r>
      <w:r>
        <w:t xml:space="preserve"> This value serves as the foundation for the row of quests.</w:t>
      </w:r>
    </w:p>
    <w:p>
      <w:pPr>
        <w:pStyle w:val="style0"/>
        <w:rPr/>
      </w:pPr>
      <w:r>
        <w:rPr>
          <w:b/>
        </w:rPr>
        <w:t>Table series:</w:t>
      </w:r>
      <w:r>
        <w:t xml:space="preserve"> From this group of tables, one must select the one that is both necessary and appropriate.</w:t>
      </w:r>
    </w:p>
    <w:p>
      <w:pPr>
        <w:pStyle w:val="style0"/>
        <w:rPr/>
      </w:pPr>
      <w:r>
        <w:rPr>
          <w:b/>
        </w:rPr>
        <w:t>Row index number:</w:t>
      </w:r>
      <w:r>
        <w:t xml:space="preserve"> In it, the number is displayed as the total of the rows, and the first row is numbered as row 1.</w:t>
      </w:r>
    </w:p>
    <w:p>
      <w:pPr>
        <w:pStyle w:val="style0"/>
        <w:rPr/>
      </w:pPr>
      <w:r>
        <w:rPr>
          <w:b/>
        </w:rPr>
        <w:t>Lookup range:</w:t>
      </w:r>
      <w:r>
        <w:t xml:space="preserve"> These elements are mentioned because the same table has two distinct sets that </w:t>
      </w:r>
      <w:r>
        <w:t>are both correct and erroneous.</w:t>
      </w:r>
    </w:p>
    <w:p>
      <w:pPr>
        <w:pStyle w:val="style0"/>
        <w:rPr/>
      </w:pPr>
      <w:r>
        <w:t>Examining the Lookup function in depth within the context of the superstore sale in a suitable manner- Using the same Microsoft Excel sheet, several processes can be completed, which are covered in more detail below-</w:t>
      </w:r>
    </w:p>
    <w:p>
      <w:pPr>
        <w:pStyle w:val="style0"/>
        <w:rPr/>
      </w:pPr>
      <w:r>
        <w:rPr>
          <w:b/>
        </w:rPr>
        <w:t>Lookup Value:</w:t>
      </w:r>
      <w:r>
        <w:t xml:space="preserve"> After thoroughly analysing all the factors, a row or column can accept input in the form of a question and produce results that are the question's response. Use of Cell G2, H2, and I2 for request time, selling, and revenue. G3, H3, and I3 are all attainable. Using the Lookup key as the G3 cell, select the Lookup feature and set the cell to H3.</w:t>
      </w:r>
    </w:p>
    <w:p>
      <w:pPr>
        <w:pStyle w:val="style0"/>
        <w:rPr/>
      </w:pPr>
      <w:r>
        <w:rPr>
          <w:b/>
        </w:rPr>
        <w:t>Table series:</w:t>
      </w:r>
      <w:r>
        <w:t xml:space="preserve"> For the entire set, choose from A2 to C8400 (A2:C8400). </w:t>
      </w:r>
    </w:p>
    <w:p>
      <w:pPr>
        <w:pStyle w:val="style0"/>
        <w:rPr/>
      </w:pPr>
      <w:r>
        <w:rPr>
          <w:b/>
        </w:rPr>
        <w:t>Lookup range</w:t>
      </w:r>
      <w:r>
        <w:t xml:space="preserve"> - Choose a cell to buy from B2 to B8400 (B2:B8400).</w:t>
      </w:r>
    </w:p>
    <w:bookmarkStart w:id="4" w:name="_Toc80887631"/>
    <w:bookmarkStart w:id="5" w:name="_Toc109382459"/>
    <w:p>
      <w:pPr>
        <w:pStyle w:val="style2"/>
        <w:rPr/>
      </w:pPr>
      <w:r>
        <w:t>Superstore data analysis</w:t>
      </w:r>
      <w:bookmarkEnd w:id="4"/>
      <w:bookmarkEnd w:id="5"/>
    </w:p>
    <w:p>
      <w:pPr>
        <w:pStyle w:val="style0"/>
        <w:rPr/>
      </w:pPr>
      <w:r>
        <w:t>This section will analyse Superstore's declining sales so that the true situation can be understood. The PIVOT table was used to create the graphs that are shown below.</w:t>
      </w:r>
    </w:p>
    <w:p>
      <w:pPr>
        <w:pStyle w:val="style0"/>
        <w:jc w:val="center"/>
        <w:rPr/>
      </w:pPr>
      <w:r>
        <w:rPr>
          <w:noProof/>
          <w:sz w:val="20"/>
          <w:lang w:eastAsia="en-GB"/>
        </w:rPr>
        <w:drawing>
          <wp:inline distL="0" distT="0" distB="0" distR="0">
            <wp:extent cx="4591685" cy="2209800"/>
            <wp:effectExtent l="0" t="0" r="0" b="0"/>
            <wp:docPr id="1026" name="image1.jpe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2" cstate="print">
                      <a:duotone>
                        <a:srgbClr val="000000"/>
                        <a:srgbClr val="ffaa79"/>
                      </a:duotone>
                    </a:blip>
                    <a:srcRect l="0" t="0" r="0" b="0"/>
                    <a:stretch/>
                  </pic:blipFill>
                  <pic:spPr>
                    <a:xfrm rot="0">
                      <a:off x="0" y="0"/>
                      <a:ext cx="4591685" cy="2209800"/>
                    </a:xfrm>
                    <a:prstGeom prst="rect"/>
                  </pic:spPr>
                </pic:pic>
              </a:graphicData>
            </a:graphic>
          </wp:inline>
        </w:drawing>
      </w:r>
    </w:p>
    <w:p>
      <w:pPr>
        <w:pStyle w:val="style0"/>
        <w:rPr/>
      </w:pPr>
      <w:r>
        <w:t xml:space="preserve">This is the total of sales from Superstore during the past four years. This demonstrates unequivocally that 2009 was the company's finest year in terms of overall sales. After that, it started to decline in 2010 and continued to do so through 2011, but it started to improve in 2012. The profit that an organisation will make is directly correlated with sales. Unless costs have been drastically lowered, it might be claimed that Superstore's profit has decreased because </w:t>
      </w:r>
      <w:r>
        <w:t>of</w:t>
      </w:r>
      <w:r>
        <w:t xml:space="preserve"> the decline in sales.</w:t>
      </w:r>
    </w:p>
    <w:p>
      <w:pPr>
        <w:pStyle w:val="style0"/>
        <w:rPr/>
      </w:pPr>
      <w:r>
        <w:t>Since 2009, the sales and earnings have fluctuated, according to Superstore data. The sales margin drops by 14.81 per</w:t>
      </w:r>
      <w:r>
        <w:t xml:space="preserve"> </w:t>
      </w:r>
      <w:r>
        <w:t>cent from 2009 to 2010 and by another 2.7 per</w:t>
      </w:r>
      <w:r>
        <w:t xml:space="preserve"> </w:t>
      </w:r>
      <w:r>
        <w:t xml:space="preserve">cent in 2011. The sales data, however, reveals an improvement in 2012, when it increased to 3739181 from the reported </w:t>
      </w:r>
      <w:r>
        <w:t xml:space="preserve">3455452 at the end of 2011. </w:t>
      </w:r>
      <w:r>
        <w:t>T</w:t>
      </w:r>
      <w:r>
        <w:t xml:space="preserve">his represents a decline in the volume of goods that customers purchased throughout the impacted years. </w:t>
      </w:r>
      <w:r>
        <w:t>The s</w:t>
      </w:r>
      <w:r>
        <w:t>ales decline is the area where the company's sales are declining in comparison to typical transactions because of variables the organisation might have overlooked to implement.</w:t>
      </w:r>
      <w:r>
        <w:t xml:space="preserve"> </w:t>
      </w:r>
      <w:r>
        <w:t>. In this way, the company can even have bad luck as time passes and th</w:t>
      </w:r>
      <w:r>
        <w:t>e economy continues to decline</w:t>
      </w:r>
      <w:r>
        <w:t>. Every organisation in the world exists to sell something, and without business, every organisation would fail. Therefore, it is always important to identify the true causes of customer dissatisfaction with your goods or services.</w:t>
      </w:r>
    </w:p>
    <w:tbl>
      <w:tblPr>
        <w:tblStyle w:val="style4105"/>
        <w:tblW w:w="0" w:type="auto"/>
        <w:jc w:val="center"/>
        <w:tblLayout w:type="fixed"/>
        <w:tblLook w:val="01E0" w:firstRow="1" w:lastRow="1" w:firstColumn="1" w:lastColumn="1" w:noHBand="0" w:noVBand="0"/>
      </w:tblPr>
      <w:tblGrid>
        <w:gridCol w:w="1093"/>
        <w:gridCol w:w="1539"/>
        <w:gridCol w:w="1156"/>
        <w:gridCol w:w="1728"/>
        <w:gridCol w:w="2015"/>
      </w:tblGrid>
      <w:tr>
        <w:trPr>
          <w:trHeight w:val="1208" w:hRule="exact"/>
          <w:jc w:val="center"/>
        </w:trPr>
        <w:tc>
          <w:tcPr>
            <w:tcW w:w="1093" w:type="dxa"/>
            <w:tcBorders/>
          </w:tcPr>
          <w:p>
            <w:pPr>
              <w:pStyle w:val="style0"/>
              <w:jc w:val="center"/>
              <w:rPr/>
            </w:pPr>
            <w:r>
              <w:t>Row Labels</w:t>
            </w:r>
          </w:p>
        </w:tc>
        <w:tc>
          <w:tcPr>
            <w:tcW w:w="1539" w:type="dxa"/>
            <w:tcBorders/>
          </w:tcPr>
          <w:p>
            <w:pPr>
              <w:pStyle w:val="style0"/>
              <w:jc w:val="center"/>
              <w:rPr/>
            </w:pPr>
            <w:r>
              <w:t>Sum</w:t>
            </w:r>
            <w:r>
              <w:tab/>
            </w:r>
            <w:r>
              <w:t>of</w:t>
            </w:r>
            <w:r>
              <w:t xml:space="preserve"> order</w:t>
            </w:r>
            <w:r>
              <w:t xml:space="preserve"> Quantity</w:t>
            </w:r>
          </w:p>
        </w:tc>
        <w:tc>
          <w:tcPr>
            <w:tcW w:w="1156" w:type="dxa"/>
            <w:tcBorders/>
          </w:tcPr>
          <w:p>
            <w:pPr>
              <w:pStyle w:val="style0"/>
              <w:jc w:val="center"/>
              <w:rPr/>
            </w:pPr>
            <w:r>
              <w:t xml:space="preserve">Sum </w:t>
            </w:r>
            <w:r>
              <w:t xml:space="preserve"> of </w:t>
            </w:r>
            <w:r>
              <w:t>Discount</w:t>
            </w:r>
          </w:p>
        </w:tc>
        <w:tc>
          <w:tcPr>
            <w:tcW w:w="1728" w:type="dxa"/>
            <w:tcBorders/>
          </w:tcPr>
          <w:p>
            <w:pPr>
              <w:pStyle w:val="style0"/>
              <w:jc w:val="center"/>
              <w:rPr/>
            </w:pPr>
            <w:r>
              <w:t>Sum   of   Unit Price</w:t>
            </w:r>
          </w:p>
        </w:tc>
        <w:tc>
          <w:tcPr>
            <w:tcW w:w="2015" w:type="dxa"/>
            <w:tcBorders/>
          </w:tcPr>
          <w:p>
            <w:pPr>
              <w:pStyle w:val="style0"/>
              <w:jc w:val="center"/>
              <w:rPr/>
            </w:pPr>
            <w:r>
              <w:t>Sum of  Shipping Cost</w:t>
            </w:r>
          </w:p>
        </w:tc>
      </w:tr>
      <w:tr>
        <w:tblPrEx/>
        <w:trPr>
          <w:trHeight w:val="410" w:hRule="exact"/>
          <w:jc w:val="center"/>
        </w:trPr>
        <w:tc>
          <w:tcPr>
            <w:tcW w:w="1093" w:type="dxa"/>
            <w:tcBorders/>
          </w:tcPr>
          <w:p>
            <w:pPr>
              <w:pStyle w:val="style0"/>
              <w:jc w:val="center"/>
              <w:rPr/>
            </w:pPr>
            <w:r>
              <w:t>2009</w:t>
            </w:r>
          </w:p>
        </w:tc>
        <w:tc>
          <w:tcPr>
            <w:tcW w:w="1539" w:type="dxa"/>
            <w:tcBorders/>
          </w:tcPr>
          <w:p>
            <w:pPr>
              <w:pStyle w:val="style0"/>
              <w:jc w:val="center"/>
              <w:rPr/>
            </w:pPr>
            <w:r>
              <w:t>54</w:t>
            </w:r>
            <w:r>
              <w:t>,</w:t>
            </w:r>
            <w:r>
              <w:t>508</w:t>
            </w:r>
          </w:p>
        </w:tc>
        <w:tc>
          <w:tcPr>
            <w:tcW w:w="1156" w:type="dxa"/>
            <w:tcBorders/>
          </w:tcPr>
          <w:p>
            <w:pPr>
              <w:pStyle w:val="style0"/>
              <w:jc w:val="center"/>
              <w:rPr/>
            </w:pPr>
            <w:r>
              <w:t>105.4</w:t>
            </w:r>
          </w:p>
        </w:tc>
        <w:tc>
          <w:tcPr>
            <w:tcW w:w="1728" w:type="dxa"/>
            <w:tcBorders/>
          </w:tcPr>
          <w:p>
            <w:pPr>
              <w:pStyle w:val="style0"/>
              <w:jc w:val="center"/>
              <w:rPr/>
            </w:pPr>
            <w:r>
              <w:t>232830.9</w:t>
            </w:r>
          </w:p>
        </w:tc>
        <w:tc>
          <w:tcPr>
            <w:tcW w:w="2015" w:type="dxa"/>
            <w:tcBorders/>
          </w:tcPr>
          <w:p>
            <w:pPr>
              <w:pStyle w:val="style0"/>
              <w:jc w:val="center"/>
              <w:rPr/>
            </w:pPr>
            <w:r>
              <w:t>28481.8</w:t>
            </w:r>
          </w:p>
        </w:tc>
      </w:tr>
      <w:tr>
        <w:tblPrEx/>
        <w:trPr>
          <w:trHeight w:val="540" w:hRule="exact"/>
          <w:jc w:val="center"/>
        </w:trPr>
        <w:tc>
          <w:tcPr>
            <w:tcW w:w="1093" w:type="dxa"/>
            <w:tcBorders/>
          </w:tcPr>
          <w:p>
            <w:pPr>
              <w:pStyle w:val="style0"/>
              <w:jc w:val="center"/>
              <w:rPr/>
            </w:pPr>
            <w:r>
              <w:t>20</w:t>
            </w:r>
            <w:r>
              <w:t>10</w:t>
            </w:r>
          </w:p>
        </w:tc>
        <w:tc>
          <w:tcPr>
            <w:tcW w:w="1539" w:type="dxa"/>
            <w:tcBorders/>
          </w:tcPr>
          <w:p>
            <w:pPr>
              <w:pStyle w:val="style0"/>
              <w:jc w:val="center"/>
              <w:rPr/>
            </w:pPr>
            <w:r>
              <w:t>54</w:t>
            </w:r>
            <w:r>
              <w:t>,</w:t>
            </w:r>
            <w:r>
              <w:t>379</w:t>
            </w:r>
          </w:p>
        </w:tc>
        <w:tc>
          <w:tcPr>
            <w:tcW w:w="1156" w:type="dxa"/>
            <w:tcBorders/>
          </w:tcPr>
          <w:p>
            <w:pPr>
              <w:pStyle w:val="style0"/>
              <w:jc w:val="center"/>
              <w:rPr/>
            </w:pPr>
            <w:r>
              <w:t>105.8</w:t>
            </w:r>
          </w:p>
        </w:tc>
        <w:tc>
          <w:tcPr>
            <w:tcW w:w="1728" w:type="dxa"/>
            <w:tcBorders/>
          </w:tcPr>
          <w:p>
            <w:pPr>
              <w:pStyle w:val="style0"/>
              <w:jc w:val="center"/>
              <w:rPr/>
            </w:pPr>
            <w:r>
              <w:t>162467.6</w:t>
            </w:r>
          </w:p>
        </w:tc>
        <w:tc>
          <w:tcPr>
            <w:tcW w:w="2015" w:type="dxa"/>
            <w:tcBorders/>
          </w:tcPr>
          <w:p>
            <w:pPr>
              <w:pStyle w:val="style0"/>
              <w:jc w:val="center"/>
              <w:rPr/>
            </w:pPr>
            <w:r>
              <w:t>27354.3</w:t>
            </w:r>
          </w:p>
        </w:tc>
      </w:tr>
      <w:tr>
        <w:tblPrEx/>
        <w:trPr>
          <w:trHeight w:val="555" w:hRule="exact"/>
          <w:jc w:val="center"/>
        </w:trPr>
        <w:tc>
          <w:tcPr>
            <w:tcW w:w="1093" w:type="dxa"/>
            <w:tcBorders/>
          </w:tcPr>
          <w:p>
            <w:pPr>
              <w:pStyle w:val="style0"/>
              <w:jc w:val="center"/>
              <w:rPr/>
            </w:pPr>
            <w:r>
              <w:t>20</w:t>
            </w:r>
            <w:r>
              <w:t>11</w:t>
            </w:r>
          </w:p>
        </w:tc>
        <w:tc>
          <w:tcPr>
            <w:tcW w:w="1539" w:type="dxa"/>
            <w:tcBorders/>
          </w:tcPr>
          <w:p>
            <w:pPr>
              <w:pStyle w:val="style0"/>
              <w:jc w:val="center"/>
              <w:rPr/>
            </w:pPr>
            <w:r>
              <w:t>51</w:t>
            </w:r>
            <w:r>
              <w:t>,</w:t>
            </w:r>
            <w:r>
              <w:t>413</w:t>
            </w:r>
          </w:p>
        </w:tc>
        <w:tc>
          <w:tcPr>
            <w:tcW w:w="1156" w:type="dxa"/>
            <w:tcBorders/>
          </w:tcPr>
          <w:p>
            <w:pPr>
              <w:pStyle w:val="style0"/>
              <w:jc w:val="center"/>
              <w:rPr/>
            </w:pPr>
            <w:r>
              <w:t>10 1.</w:t>
            </w:r>
            <w:r>
              <w:t>7</w:t>
            </w:r>
          </w:p>
        </w:tc>
        <w:tc>
          <w:tcPr>
            <w:tcW w:w="1728" w:type="dxa"/>
            <w:tcBorders/>
          </w:tcPr>
          <w:p>
            <w:pPr>
              <w:pStyle w:val="style0"/>
              <w:jc w:val="center"/>
              <w:rPr/>
            </w:pPr>
            <w:r>
              <w:t>159653.1</w:t>
            </w:r>
          </w:p>
        </w:tc>
        <w:tc>
          <w:tcPr>
            <w:tcW w:w="2015" w:type="dxa"/>
            <w:tcBorders/>
          </w:tcPr>
          <w:p>
            <w:pPr>
              <w:pStyle w:val="style0"/>
              <w:jc w:val="center"/>
              <w:rPr/>
            </w:pPr>
            <w:r>
              <w:t>24939.9</w:t>
            </w:r>
          </w:p>
        </w:tc>
      </w:tr>
      <w:tr>
        <w:tblPrEx/>
        <w:trPr>
          <w:trHeight w:val="700" w:hRule="exact"/>
          <w:jc w:val="center"/>
        </w:trPr>
        <w:tc>
          <w:tcPr>
            <w:tcW w:w="1093" w:type="dxa"/>
            <w:tcBorders/>
          </w:tcPr>
          <w:p>
            <w:pPr>
              <w:pStyle w:val="style0"/>
              <w:jc w:val="center"/>
              <w:rPr/>
            </w:pPr>
            <w:r>
              <w:t>20</w:t>
            </w:r>
            <w:r>
              <w:t>12</w:t>
            </w:r>
          </w:p>
        </w:tc>
        <w:tc>
          <w:tcPr>
            <w:tcW w:w="1539" w:type="dxa"/>
            <w:tcBorders/>
          </w:tcPr>
          <w:p>
            <w:pPr>
              <w:pStyle w:val="style0"/>
              <w:jc w:val="center"/>
              <w:rPr/>
            </w:pPr>
            <w:r>
              <w:t>54</w:t>
            </w:r>
            <w:r>
              <w:t>,</w:t>
            </w:r>
            <w:r>
              <w:t>480</w:t>
            </w:r>
          </w:p>
        </w:tc>
        <w:tc>
          <w:tcPr>
            <w:tcW w:w="1156" w:type="dxa"/>
            <w:tcBorders/>
          </w:tcPr>
          <w:p>
            <w:pPr>
              <w:pStyle w:val="style0"/>
              <w:jc w:val="center"/>
              <w:rPr/>
            </w:pPr>
            <w:r>
              <w:t>104.3</w:t>
            </w:r>
          </w:p>
        </w:tc>
        <w:tc>
          <w:tcPr>
            <w:tcW w:w="1728" w:type="dxa"/>
            <w:tcBorders/>
          </w:tcPr>
          <w:p>
            <w:pPr>
              <w:pStyle w:val="style0"/>
              <w:jc w:val="center"/>
              <w:rPr/>
            </w:pPr>
            <w:r>
              <w:t>195467.6</w:t>
            </w:r>
          </w:p>
        </w:tc>
        <w:tc>
          <w:tcPr>
            <w:tcW w:w="2015" w:type="dxa"/>
            <w:tcBorders/>
          </w:tcPr>
          <w:p>
            <w:pPr>
              <w:pStyle w:val="style0"/>
              <w:jc w:val="center"/>
              <w:rPr/>
            </w:pPr>
            <w:r>
              <w:t>27055.2</w:t>
            </w:r>
          </w:p>
        </w:tc>
      </w:tr>
      <w:tr>
        <w:tblPrEx/>
        <w:trPr>
          <w:trHeight w:val="916" w:hRule="exact"/>
          <w:jc w:val="center"/>
        </w:trPr>
        <w:tc>
          <w:tcPr>
            <w:tcW w:w="1093" w:type="dxa"/>
            <w:tcBorders/>
          </w:tcPr>
          <w:p>
            <w:pPr>
              <w:pStyle w:val="style0"/>
              <w:jc w:val="center"/>
              <w:rPr/>
            </w:pPr>
            <w:r>
              <w:t xml:space="preserve">Grand </w:t>
            </w:r>
            <w:r>
              <w:t>Total</w:t>
            </w:r>
          </w:p>
        </w:tc>
        <w:tc>
          <w:tcPr>
            <w:tcW w:w="1539" w:type="dxa"/>
            <w:tcBorders/>
          </w:tcPr>
          <w:p>
            <w:pPr>
              <w:pStyle w:val="style0"/>
              <w:jc w:val="center"/>
              <w:rPr/>
            </w:pPr>
            <w:r>
              <w:t>21</w:t>
            </w:r>
            <w:r>
              <w:t>,</w:t>
            </w:r>
            <w:r>
              <w:t>4780</w:t>
            </w:r>
          </w:p>
        </w:tc>
        <w:tc>
          <w:tcPr>
            <w:tcW w:w="1156" w:type="dxa"/>
            <w:tcBorders/>
          </w:tcPr>
          <w:p>
            <w:pPr>
              <w:pStyle w:val="style0"/>
              <w:jc w:val="center"/>
              <w:rPr/>
            </w:pPr>
            <w:r>
              <w:t>417.2</w:t>
            </w:r>
          </w:p>
        </w:tc>
        <w:tc>
          <w:tcPr>
            <w:tcW w:w="1728" w:type="dxa"/>
            <w:tcBorders/>
          </w:tcPr>
          <w:p>
            <w:pPr>
              <w:pStyle w:val="style0"/>
              <w:jc w:val="center"/>
              <w:rPr/>
            </w:pPr>
            <w:r>
              <w:t>750419.2</w:t>
            </w:r>
          </w:p>
        </w:tc>
        <w:tc>
          <w:tcPr>
            <w:tcW w:w="2015" w:type="dxa"/>
            <w:tcBorders/>
          </w:tcPr>
          <w:p>
            <w:pPr>
              <w:pStyle w:val="style0"/>
              <w:jc w:val="center"/>
              <w:rPr/>
            </w:pPr>
            <w:r>
              <w:t>107831.0</w:t>
            </w:r>
          </w:p>
        </w:tc>
      </w:tr>
    </w:tbl>
    <w:p>
      <w:pPr>
        <w:pStyle w:val="style0"/>
        <w:rPr>
          <w:noProof/>
          <w:lang w:eastAsia="en-GB"/>
        </w:rPr>
      </w:pPr>
    </w:p>
    <w:p>
      <w:pPr>
        <w:pStyle w:val="style0"/>
        <w:jc w:val="center"/>
        <w:rPr/>
      </w:pPr>
      <w:r>
        <w:rPr>
          <w:noProof/>
          <w:lang w:eastAsia="en-GB"/>
        </w:rPr>
      </w:r>
      <w:r>
        <w:rPr>
          <w:noProof/>
          <w:lang w:eastAsia="en-GB"/>
        </w:rPr>
      </w:r>
      <w:r>
        <w:rPr>
          <w:noProof/>
          <w:lang w:eastAsia="en-GB"/>
        </w:rPr>
      </w:r>
      <w:r>
        <w:rPr>
          <w:noProof/>
          <w:lang w:eastAsia="en-GB"/>
        </w:rPr>
        <w:drawing>
          <wp:inline distL="114300" distT="0" distB="0" distR="114300">
            <wp:extent cx="4572000" cy="2743200"/>
            <wp:effectExtent l="0" t="0" r="0" b="0"/>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r>
        <w:rPr>
          <w:noProof/>
          <w:lang w:eastAsia="en-GB"/>
        </w:rPr>
      </w:r>
    </w:p>
    <w:p>
      <w:pPr>
        <w:pStyle w:val="style0"/>
        <w:rPr/>
      </w:pPr>
      <w:r>
        <w:t xml:space="preserve">This demonstrates that the company received </w:t>
      </w:r>
      <w:r>
        <w:t>fewer</w:t>
      </w:r>
      <w:r>
        <w:t xml:space="preserve"> orders in 2010 and 2011 than in 2012 and 2009. This indicates that the removal of the number </w:t>
      </w:r>
      <w:r>
        <w:t xml:space="preserve">of the </w:t>
      </w:r>
      <w:r>
        <w:t xml:space="preserve">order has resulted in a fall in sales </w:t>
      </w:r>
      <w:r>
        <w:t xml:space="preserve">volume. It is expected that the </w:t>
      </w:r>
      <w:r>
        <w:t>number</w:t>
      </w:r>
      <w:r>
        <w:t xml:space="preserve"> of sales will decrease when the quantity of orders decreases. Despite the decline in orders, the company still had to pay a sizable sum for shipping in 2010, which also affected the company's profit.</w:t>
      </w:r>
    </w:p>
    <w:p>
      <w:pPr>
        <w:pStyle w:val="style0"/>
        <w:jc w:val="center"/>
        <w:rPr/>
      </w:pPr>
      <w:r>
        <w:rPr>
          <w:noProof/>
          <w:lang w:eastAsia="en-GB"/>
        </w:rPr>
      </w:r>
      <w:r>
        <w:rPr>
          <w:noProof/>
          <w:lang w:eastAsia="en-GB"/>
        </w:rPr>
      </w:r>
      <w:r>
        <w:rPr>
          <w:noProof/>
          <w:lang w:eastAsia="en-GB"/>
        </w:rPr>
      </w:r>
      <w:r>
        <w:rPr>
          <w:noProof/>
          <w:lang w:eastAsia="en-GB"/>
        </w:rPr>
        <w:drawing>
          <wp:inline distL="114300" distT="0" distB="0" distR="114300">
            <wp:extent cx="4572000" cy="2743200"/>
            <wp:effectExtent l="0" t="0" r="0" b="0"/>
            <wp:docPr id="103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r>
        <w:rPr>
          <w:noProof/>
          <w:lang w:eastAsia="en-GB"/>
        </w:rPr>
      </w:r>
    </w:p>
    <w:p>
      <w:pPr>
        <w:pStyle w:val="style0"/>
        <w:rPr/>
      </w:pPr>
      <w:r>
        <w:t xml:space="preserve">This is among the most crucial </w:t>
      </w:r>
      <w:r>
        <w:t xml:space="preserve">pieces of </w:t>
      </w:r>
      <w:r>
        <w:t>evidence that suggests the discount may be to blame for the company's declining sales value. Even if the sales order has increased, the company gives its consumers a sizable discount. Due to this, despite receiving more orders than in 2011, Superstore's 2010 sales value was lower.</w:t>
      </w:r>
    </w:p>
    <w:p>
      <w:pPr>
        <w:pStyle w:val="style0"/>
        <w:jc w:val="center"/>
        <w:rPr/>
      </w:pPr>
      <w:r>
        <w:rPr>
          <w:noProof/>
          <w:lang w:eastAsia="en-GB"/>
        </w:rPr>
      </w:r>
      <w:r>
        <w:rPr>
          <w:noProof/>
          <w:lang w:eastAsia="en-GB"/>
        </w:rPr>
      </w:r>
      <w:r>
        <w:rPr>
          <w:noProof/>
          <w:lang w:eastAsia="en-GB"/>
        </w:rPr>
      </w:r>
      <w:r>
        <w:rPr>
          <w:noProof/>
          <w:lang w:eastAsia="en-GB"/>
        </w:rPr>
        <w:drawing>
          <wp:inline distL="114300" distT="0" distB="0" distR="114300">
            <wp:extent cx="4572000" cy="2743200"/>
            <wp:effectExtent l="0" t="0" r="0" b="0"/>
            <wp:docPr id="103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Pr>
          <w:noProof/>
          <w:lang w:eastAsia="en-GB"/>
        </w:rPr>
      </w:r>
    </w:p>
    <w:p>
      <w:pPr>
        <w:pStyle w:val="style0"/>
        <w:rPr/>
      </w:pPr>
      <w:r>
        <w:t>In 2010 and 2011, the total unit price decreased as well. It was at its lowest in 2011, and it is clear from that that the shift in the unit pricing (lower) may be what caused the fall in sales. However, the company is exhibiting signs of growth as a result of a rise in unit price in 2012.</w:t>
      </w:r>
    </w:p>
    <w:p>
      <w:pPr>
        <w:pStyle w:val="style0"/>
        <w:jc w:val="center"/>
        <w:rPr/>
      </w:pPr>
      <w:r>
        <w:rPr>
          <w:noProof/>
          <w:lang w:eastAsia="en-GB"/>
        </w:rPr>
      </w:r>
      <w:r>
        <w:rPr>
          <w:noProof/>
          <w:lang w:eastAsia="en-GB"/>
        </w:rPr>
      </w:r>
      <w:r>
        <w:rPr>
          <w:noProof/>
          <w:lang w:eastAsia="en-GB"/>
        </w:rPr>
      </w:r>
      <w:r>
        <w:rPr>
          <w:noProof/>
          <w:lang w:eastAsia="en-GB"/>
        </w:rPr>
        <w:drawing>
          <wp:inline distL="114300" distT="0" distB="0" distR="114300">
            <wp:extent cx="4572000" cy="2354580"/>
            <wp:effectExtent l="0" t="0" r="0" b="0"/>
            <wp:docPr id="103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Pr>
          <w:noProof/>
          <w:lang w:eastAsia="en-GB"/>
        </w:rPr>
      </w:r>
    </w:p>
    <w:p>
      <w:pPr>
        <w:pStyle w:val="style0"/>
        <w:rPr/>
      </w:pPr>
      <w:r>
        <w:t xml:space="preserve">2009 saw the highest order delivery costs due to the company receiving more orders than in previous years. An essential aspect that is evident in this situation is the fact that shipping costs have decreased as a result of the shift in the </w:t>
      </w:r>
      <w:r>
        <w:t>number</w:t>
      </w:r>
      <w:r>
        <w:t xml:space="preserve"> of orders. That indicates a direct relationship between it and the volume of orders.</w:t>
      </w:r>
    </w:p>
    <w:tbl>
      <w:tblPr>
        <w:tblStyle w:val="style154"/>
        <w:tblW w:w="9355" w:type="dxa"/>
        <w:tblLayout w:type="fixed"/>
        <w:tblLook w:val="01E0" w:firstRow="1" w:lastRow="1" w:firstColumn="1" w:lastColumn="1" w:noHBand="0" w:noVBand="0"/>
      </w:tblPr>
      <w:tblGrid>
        <w:gridCol w:w="1784"/>
        <w:gridCol w:w="1721"/>
        <w:gridCol w:w="1710"/>
        <w:gridCol w:w="1620"/>
        <w:gridCol w:w="1260"/>
        <w:gridCol w:w="1260"/>
      </w:tblGrid>
      <w:tr>
        <w:trPr>
          <w:trHeight w:val="820" w:hRule="atLeast"/>
        </w:trPr>
        <w:tc>
          <w:tcPr>
            <w:tcW w:w="1784" w:type="dxa"/>
            <w:tcBorders/>
          </w:tcPr>
          <w:p>
            <w:pPr>
              <w:pStyle w:val="style4101"/>
              <w:ind w:left="0"/>
              <w:rPr>
                <w:rFonts w:ascii="Times New Roman"/>
                <w:sz w:val="24"/>
              </w:rPr>
            </w:pPr>
          </w:p>
        </w:tc>
        <w:tc>
          <w:tcPr>
            <w:tcW w:w="1721" w:type="dxa"/>
            <w:tcBorders/>
          </w:tcPr>
          <w:p>
            <w:pPr>
              <w:pStyle w:val="style4101"/>
              <w:spacing w:lineRule="exact" w:line="275"/>
              <w:ind w:left="215"/>
              <w:rPr>
                <w:sz w:val="24"/>
              </w:rPr>
            </w:pPr>
            <w:r>
              <w:rPr>
                <w:sz w:val="24"/>
              </w:rPr>
              <w:t>Order</w:t>
            </w:r>
          </w:p>
          <w:p>
            <w:pPr>
              <w:pStyle w:val="style4101"/>
              <w:ind w:left="0"/>
              <w:rPr>
                <w:sz w:val="24"/>
              </w:rPr>
            </w:pPr>
          </w:p>
          <w:p>
            <w:pPr>
              <w:pStyle w:val="style4101"/>
              <w:spacing w:lineRule="exact" w:line="250"/>
              <w:ind w:left="215"/>
              <w:rPr>
                <w:sz w:val="24"/>
              </w:rPr>
            </w:pPr>
            <w:r>
              <w:rPr>
                <w:sz w:val="24"/>
              </w:rPr>
              <w:t>Quantity</w:t>
            </w:r>
          </w:p>
        </w:tc>
        <w:tc>
          <w:tcPr>
            <w:tcW w:w="1710" w:type="dxa"/>
            <w:tcBorders/>
          </w:tcPr>
          <w:p>
            <w:pPr>
              <w:pStyle w:val="style4101"/>
              <w:ind w:left="0"/>
              <w:rPr>
                <w:sz w:val="26"/>
              </w:rPr>
            </w:pPr>
          </w:p>
          <w:p>
            <w:pPr>
              <w:pStyle w:val="style4101"/>
              <w:spacing w:before="10"/>
              <w:ind w:left="0"/>
              <w:rPr>
                <w:sz w:val="21"/>
              </w:rPr>
            </w:pPr>
          </w:p>
          <w:p>
            <w:pPr>
              <w:pStyle w:val="style4101"/>
              <w:spacing w:lineRule="exact" w:line="250"/>
              <w:ind w:left="108"/>
              <w:rPr>
                <w:sz w:val="24"/>
              </w:rPr>
            </w:pPr>
            <w:r>
              <w:rPr>
                <w:sz w:val="24"/>
              </w:rPr>
              <w:t>Discount</w:t>
            </w:r>
          </w:p>
        </w:tc>
        <w:tc>
          <w:tcPr>
            <w:tcW w:w="1620" w:type="dxa"/>
            <w:tcBorders/>
          </w:tcPr>
          <w:p>
            <w:pPr>
              <w:pStyle w:val="style4101"/>
              <w:spacing w:lineRule="exact" w:line="275"/>
              <w:ind w:left="107"/>
              <w:rPr>
                <w:sz w:val="24"/>
              </w:rPr>
            </w:pPr>
            <w:r>
              <w:rPr>
                <w:sz w:val="24"/>
              </w:rPr>
              <w:t>Unit</w:t>
            </w:r>
          </w:p>
          <w:p>
            <w:pPr>
              <w:pStyle w:val="style4101"/>
              <w:ind w:left="0"/>
              <w:rPr>
                <w:sz w:val="24"/>
              </w:rPr>
            </w:pPr>
          </w:p>
          <w:p>
            <w:pPr>
              <w:pStyle w:val="style4101"/>
              <w:spacing w:lineRule="exact" w:line="250"/>
              <w:ind w:left="107"/>
              <w:rPr>
                <w:sz w:val="24"/>
              </w:rPr>
            </w:pPr>
            <w:r>
              <w:rPr>
                <w:sz w:val="24"/>
              </w:rPr>
              <w:t>Price</w:t>
            </w:r>
          </w:p>
        </w:tc>
        <w:tc>
          <w:tcPr>
            <w:tcW w:w="1260" w:type="dxa"/>
            <w:tcBorders/>
          </w:tcPr>
          <w:p>
            <w:pPr>
              <w:pStyle w:val="style4101"/>
              <w:spacing w:lineRule="exact" w:line="275"/>
              <w:ind w:left="107"/>
              <w:rPr>
                <w:sz w:val="24"/>
              </w:rPr>
            </w:pPr>
            <w:r>
              <w:rPr>
                <w:sz w:val="24"/>
              </w:rPr>
              <w:t>Shipping</w:t>
            </w:r>
          </w:p>
          <w:p>
            <w:pPr>
              <w:pStyle w:val="style4101"/>
              <w:ind w:left="0"/>
              <w:rPr>
                <w:sz w:val="24"/>
              </w:rPr>
            </w:pPr>
          </w:p>
          <w:p>
            <w:pPr>
              <w:pStyle w:val="style4101"/>
              <w:spacing w:lineRule="exact" w:line="250"/>
              <w:ind w:left="107"/>
              <w:rPr>
                <w:sz w:val="24"/>
              </w:rPr>
            </w:pPr>
            <w:r>
              <w:rPr>
                <w:sz w:val="24"/>
              </w:rPr>
              <w:t>Cost</w:t>
            </w:r>
          </w:p>
        </w:tc>
        <w:tc>
          <w:tcPr>
            <w:tcW w:w="1260" w:type="dxa"/>
            <w:tcBorders/>
          </w:tcPr>
          <w:p>
            <w:pPr>
              <w:pStyle w:val="style4101"/>
              <w:ind w:left="0"/>
              <w:rPr>
                <w:sz w:val="26"/>
              </w:rPr>
            </w:pPr>
          </w:p>
          <w:p>
            <w:pPr>
              <w:pStyle w:val="style4101"/>
              <w:spacing w:before="10"/>
              <w:ind w:left="0"/>
              <w:rPr>
                <w:sz w:val="21"/>
              </w:rPr>
            </w:pPr>
          </w:p>
          <w:p>
            <w:pPr>
              <w:pStyle w:val="style4101"/>
              <w:spacing w:lineRule="exact" w:line="250"/>
              <w:ind w:left="107"/>
              <w:rPr>
                <w:sz w:val="24"/>
              </w:rPr>
            </w:pPr>
            <w:r>
              <w:rPr>
                <w:sz w:val="24"/>
              </w:rPr>
              <w:t>Sales</w:t>
            </w:r>
          </w:p>
        </w:tc>
      </w:tr>
      <w:tr>
        <w:tblPrEx/>
        <w:trPr>
          <w:trHeight w:val="303" w:hRule="atLeast"/>
        </w:trPr>
        <w:tc>
          <w:tcPr>
            <w:tcW w:w="1784" w:type="dxa"/>
            <w:tcBorders/>
          </w:tcPr>
          <w:p>
            <w:pPr>
              <w:pStyle w:val="style4101"/>
              <w:spacing w:before="15" w:lineRule="exact" w:line="268"/>
              <w:ind w:left="110"/>
              <w:rPr>
                <w:sz w:val="24"/>
              </w:rPr>
            </w:pPr>
            <w:r>
              <w:rPr>
                <w:sz w:val="24"/>
              </w:rPr>
              <w:t>Order Quantity</w:t>
            </w:r>
          </w:p>
        </w:tc>
        <w:tc>
          <w:tcPr>
            <w:tcW w:w="1721" w:type="dxa"/>
            <w:tcBorders/>
          </w:tcPr>
          <w:p>
            <w:pPr>
              <w:pStyle w:val="style4101"/>
              <w:spacing w:before="15" w:lineRule="exact" w:line="268"/>
              <w:ind w:left="215"/>
              <w:rPr>
                <w:sz w:val="24"/>
              </w:rPr>
            </w:pPr>
            <w:r>
              <w:rPr>
                <w:sz w:val="24"/>
              </w:rPr>
              <w:t>1</w:t>
            </w:r>
          </w:p>
        </w:tc>
        <w:tc>
          <w:tcPr>
            <w:tcW w:w="1710" w:type="dxa"/>
            <w:tcBorders/>
          </w:tcPr>
          <w:p>
            <w:pPr>
              <w:pStyle w:val="style4101"/>
              <w:ind w:left="0"/>
              <w:rPr>
                <w:rFonts w:ascii="Times New Roman"/>
              </w:rPr>
            </w:pPr>
          </w:p>
        </w:tc>
        <w:tc>
          <w:tcPr>
            <w:tcW w:w="1620" w:type="dxa"/>
            <w:tcBorders/>
          </w:tcPr>
          <w:p>
            <w:pPr>
              <w:pStyle w:val="style4101"/>
              <w:ind w:left="0"/>
              <w:rPr>
                <w:rFonts w:ascii="Times New Roman"/>
              </w:rPr>
            </w:pPr>
          </w:p>
        </w:tc>
        <w:tc>
          <w:tcPr>
            <w:tcW w:w="1260" w:type="dxa"/>
            <w:tcBorders/>
          </w:tcPr>
          <w:p>
            <w:pPr>
              <w:pStyle w:val="style4101"/>
              <w:ind w:left="0"/>
              <w:rPr>
                <w:rFonts w:ascii="Times New Roman"/>
              </w:rPr>
            </w:pPr>
          </w:p>
        </w:tc>
        <w:tc>
          <w:tcPr>
            <w:tcW w:w="1260" w:type="dxa"/>
            <w:tcBorders/>
          </w:tcPr>
          <w:p>
            <w:pPr>
              <w:pStyle w:val="style4101"/>
              <w:ind w:left="0"/>
              <w:rPr>
                <w:rFonts w:ascii="Times New Roman"/>
              </w:rPr>
            </w:pPr>
          </w:p>
        </w:tc>
      </w:tr>
      <w:tr>
        <w:tblPrEx/>
        <w:trPr>
          <w:trHeight w:val="300" w:hRule="atLeast"/>
        </w:trPr>
        <w:tc>
          <w:tcPr>
            <w:tcW w:w="1784" w:type="dxa"/>
            <w:tcBorders/>
          </w:tcPr>
          <w:p>
            <w:pPr>
              <w:pStyle w:val="style4101"/>
              <w:spacing w:before="12" w:lineRule="exact" w:line="268"/>
              <w:ind w:left="110"/>
              <w:rPr>
                <w:sz w:val="24"/>
              </w:rPr>
            </w:pPr>
            <w:r>
              <w:rPr>
                <w:sz w:val="24"/>
              </w:rPr>
              <w:t>Discount</w:t>
            </w:r>
          </w:p>
        </w:tc>
        <w:tc>
          <w:tcPr>
            <w:tcW w:w="1721" w:type="dxa"/>
            <w:tcBorders/>
          </w:tcPr>
          <w:p>
            <w:pPr>
              <w:pStyle w:val="style4101"/>
              <w:spacing w:before="12" w:lineRule="exact" w:line="268"/>
              <w:ind w:left="215"/>
              <w:rPr>
                <w:sz w:val="24"/>
              </w:rPr>
            </w:pPr>
            <w:r>
              <w:rPr>
                <w:sz w:val="24"/>
              </w:rPr>
              <w:t>0.924068</w:t>
            </w:r>
          </w:p>
        </w:tc>
        <w:tc>
          <w:tcPr>
            <w:tcW w:w="1710" w:type="dxa"/>
            <w:tcBorders/>
          </w:tcPr>
          <w:p>
            <w:pPr>
              <w:pStyle w:val="style4101"/>
              <w:spacing w:before="12" w:lineRule="exact" w:line="268"/>
              <w:ind w:left="108"/>
              <w:rPr>
                <w:sz w:val="24"/>
              </w:rPr>
            </w:pPr>
            <w:r>
              <w:rPr>
                <w:sz w:val="24"/>
              </w:rPr>
              <w:t>1</w:t>
            </w:r>
          </w:p>
        </w:tc>
        <w:tc>
          <w:tcPr>
            <w:tcW w:w="1620" w:type="dxa"/>
            <w:tcBorders/>
          </w:tcPr>
          <w:p>
            <w:pPr>
              <w:pStyle w:val="style4101"/>
              <w:ind w:left="0"/>
              <w:rPr>
                <w:rFonts w:ascii="Times New Roman"/>
              </w:rPr>
            </w:pPr>
          </w:p>
        </w:tc>
        <w:tc>
          <w:tcPr>
            <w:tcW w:w="1260" w:type="dxa"/>
            <w:tcBorders/>
          </w:tcPr>
          <w:p>
            <w:pPr>
              <w:pStyle w:val="style4101"/>
              <w:ind w:left="0"/>
              <w:rPr>
                <w:rFonts w:ascii="Times New Roman"/>
              </w:rPr>
            </w:pPr>
          </w:p>
        </w:tc>
        <w:tc>
          <w:tcPr>
            <w:tcW w:w="1260" w:type="dxa"/>
            <w:tcBorders/>
          </w:tcPr>
          <w:p>
            <w:pPr>
              <w:pStyle w:val="style4101"/>
              <w:ind w:left="0"/>
              <w:rPr>
                <w:rFonts w:ascii="Times New Roman"/>
              </w:rPr>
            </w:pPr>
          </w:p>
        </w:tc>
      </w:tr>
      <w:tr>
        <w:tblPrEx/>
        <w:trPr>
          <w:trHeight w:val="300" w:hRule="atLeast"/>
        </w:trPr>
        <w:tc>
          <w:tcPr>
            <w:tcW w:w="1784" w:type="dxa"/>
            <w:tcBorders/>
          </w:tcPr>
          <w:p>
            <w:pPr>
              <w:pStyle w:val="style4101"/>
              <w:spacing w:before="12" w:lineRule="exact" w:line="268"/>
              <w:ind w:left="110"/>
              <w:rPr>
                <w:sz w:val="24"/>
              </w:rPr>
            </w:pPr>
            <w:r>
              <w:rPr>
                <w:sz w:val="24"/>
              </w:rPr>
              <w:t>Unit Price</w:t>
            </w:r>
          </w:p>
        </w:tc>
        <w:tc>
          <w:tcPr>
            <w:tcW w:w="1721" w:type="dxa"/>
            <w:tcBorders/>
          </w:tcPr>
          <w:p>
            <w:pPr>
              <w:pStyle w:val="style4101"/>
              <w:spacing w:before="12" w:lineRule="exact" w:line="268"/>
              <w:ind w:left="215"/>
              <w:rPr>
                <w:sz w:val="24"/>
              </w:rPr>
            </w:pPr>
            <w:r>
              <w:rPr>
                <w:sz w:val="24"/>
              </w:rPr>
              <w:t>0.583725</w:t>
            </w:r>
          </w:p>
        </w:tc>
        <w:tc>
          <w:tcPr>
            <w:tcW w:w="1710" w:type="dxa"/>
            <w:tcBorders/>
          </w:tcPr>
          <w:p>
            <w:pPr>
              <w:pStyle w:val="style4101"/>
              <w:spacing w:before="12" w:lineRule="exact" w:line="268"/>
              <w:ind w:left="108"/>
              <w:rPr>
                <w:sz w:val="24"/>
              </w:rPr>
            </w:pPr>
            <w:r>
              <w:rPr>
                <w:sz w:val="24"/>
              </w:rPr>
              <w:t>0.229051</w:t>
            </w:r>
          </w:p>
        </w:tc>
        <w:tc>
          <w:tcPr>
            <w:tcW w:w="1620" w:type="dxa"/>
            <w:tcBorders/>
          </w:tcPr>
          <w:p>
            <w:pPr>
              <w:pStyle w:val="style4101"/>
              <w:spacing w:before="12" w:lineRule="exact" w:line="268"/>
              <w:ind w:left="107"/>
              <w:rPr>
                <w:sz w:val="24"/>
              </w:rPr>
            </w:pPr>
            <w:r>
              <w:rPr>
                <w:sz w:val="24"/>
              </w:rPr>
              <w:t>1</w:t>
            </w:r>
          </w:p>
        </w:tc>
        <w:tc>
          <w:tcPr>
            <w:tcW w:w="1260" w:type="dxa"/>
            <w:tcBorders/>
          </w:tcPr>
          <w:p>
            <w:pPr>
              <w:pStyle w:val="style4101"/>
              <w:ind w:left="0"/>
              <w:rPr>
                <w:rFonts w:ascii="Times New Roman"/>
              </w:rPr>
            </w:pPr>
          </w:p>
        </w:tc>
        <w:tc>
          <w:tcPr>
            <w:tcW w:w="1260" w:type="dxa"/>
            <w:tcBorders/>
          </w:tcPr>
          <w:p>
            <w:pPr>
              <w:pStyle w:val="style4101"/>
              <w:ind w:left="0"/>
              <w:rPr>
                <w:rFonts w:ascii="Times New Roman"/>
              </w:rPr>
            </w:pPr>
          </w:p>
        </w:tc>
      </w:tr>
      <w:tr>
        <w:tblPrEx/>
        <w:trPr>
          <w:trHeight w:val="307" w:hRule="atLeast"/>
        </w:trPr>
        <w:tc>
          <w:tcPr>
            <w:tcW w:w="1784" w:type="dxa"/>
            <w:tcBorders/>
          </w:tcPr>
          <w:p>
            <w:pPr>
              <w:pStyle w:val="style4101"/>
              <w:spacing w:before="12"/>
              <w:ind w:left="110"/>
              <w:rPr>
                <w:sz w:val="24"/>
              </w:rPr>
            </w:pPr>
            <w:r>
              <w:rPr>
                <w:sz w:val="24"/>
              </w:rPr>
              <w:t>Shipping Cost</w:t>
            </w:r>
          </w:p>
        </w:tc>
        <w:tc>
          <w:tcPr>
            <w:tcW w:w="1721" w:type="dxa"/>
            <w:tcBorders/>
          </w:tcPr>
          <w:p>
            <w:pPr>
              <w:pStyle w:val="style4101"/>
              <w:spacing w:before="12"/>
              <w:ind w:left="215"/>
              <w:rPr>
                <w:sz w:val="24"/>
              </w:rPr>
            </w:pPr>
            <w:r>
              <w:rPr>
                <w:sz w:val="24"/>
              </w:rPr>
              <w:t>0.989813</w:t>
            </w:r>
          </w:p>
        </w:tc>
        <w:tc>
          <w:tcPr>
            <w:tcW w:w="1710" w:type="dxa"/>
            <w:tcBorders/>
          </w:tcPr>
          <w:p>
            <w:pPr>
              <w:pStyle w:val="style4101"/>
              <w:spacing w:before="12"/>
              <w:ind w:left="108"/>
              <w:rPr>
                <w:sz w:val="24"/>
              </w:rPr>
            </w:pPr>
            <w:r>
              <w:rPr>
                <w:sz w:val="24"/>
              </w:rPr>
              <w:t>0.969073</w:t>
            </w:r>
          </w:p>
        </w:tc>
        <w:tc>
          <w:tcPr>
            <w:tcW w:w="1620" w:type="dxa"/>
            <w:tcBorders/>
          </w:tcPr>
          <w:p>
            <w:pPr>
              <w:pStyle w:val="style4101"/>
              <w:spacing w:before="12"/>
              <w:ind w:left="107"/>
              <w:rPr>
                <w:sz w:val="24"/>
              </w:rPr>
            </w:pPr>
            <w:r>
              <w:rPr>
                <w:sz w:val="24"/>
              </w:rPr>
              <w:t>0.462179</w:t>
            </w:r>
          </w:p>
        </w:tc>
        <w:tc>
          <w:tcPr>
            <w:tcW w:w="1260" w:type="dxa"/>
            <w:tcBorders/>
          </w:tcPr>
          <w:p>
            <w:pPr>
              <w:pStyle w:val="style4101"/>
              <w:spacing w:before="12"/>
              <w:ind w:left="107"/>
              <w:rPr>
                <w:sz w:val="24"/>
              </w:rPr>
            </w:pPr>
            <w:r>
              <w:rPr>
                <w:sz w:val="24"/>
              </w:rPr>
              <w:t>1</w:t>
            </w:r>
          </w:p>
        </w:tc>
        <w:tc>
          <w:tcPr>
            <w:tcW w:w="1260" w:type="dxa"/>
            <w:tcBorders/>
          </w:tcPr>
          <w:p>
            <w:pPr>
              <w:pStyle w:val="style4101"/>
              <w:ind w:left="0"/>
              <w:rPr>
                <w:rFonts w:ascii="Times New Roman"/>
              </w:rPr>
            </w:pPr>
          </w:p>
        </w:tc>
      </w:tr>
      <w:tr>
        <w:tblPrEx/>
        <w:trPr>
          <w:trHeight w:val="286" w:hRule="atLeast"/>
        </w:trPr>
        <w:tc>
          <w:tcPr>
            <w:tcW w:w="1784" w:type="dxa"/>
            <w:tcBorders/>
          </w:tcPr>
          <w:p>
            <w:pPr>
              <w:pStyle w:val="style4101"/>
              <w:spacing w:before="20" w:lineRule="exact" w:line="247"/>
              <w:ind w:left="110"/>
              <w:rPr>
                <w:b/>
                <w:sz w:val="24"/>
              </w:rPr>
            </w:pPr>
            <w:r>
              <w:rPr>
                <w:b/>
                <w:sz w:val="24"/>
              </w:rPr>
              <w:t>Sales</w:t>
            </w:r>
          </w:p>
        </w:tc>
        <w:tc>
          <w:tcPr>
            <w:tcW w:w="1721" w:type="dxa"/>
            <w:tcBorders/>
          </w:tcPr>
          <w:p>
            <w:pPr>
              <w:pStyle w:val="style4101"/>
              <w:spacing w:before="20" w:lineRule="exact" w:line="247"/>
              <w:ind w:left="215"/>
              <w:rPr>
                <w:b/>
                <w:sz w:val="24"/>
              </w:rPr>
            </w:pPr>
            <w:r>
              <w:rPr>
                <w:b/>
                <w:sz w:val="24"/>
              </w:rPr>
              <w:t>0.854621</w:t>
            </w:r>
          </w:p>
        </w:tc>
        <w:tc>
          <w:tcPr>
            <w:tcW w:w="1710" w:type="dxa"/>
            <w:tcBorders/>
          </w:tcPr>
          <w:p>
            <w:pPr>
              <w:pStyle w:val="style4101"/>
              <w:spacing w:before="20" w:lineRule="exact" w:line="247"/>
              <w:ind w:left="108"/>
              <w:rPr>
                <w:b/>
                <w:sz w:val="24"/>
              </w:rPr>
            </w:pPr>
            <w:r>
              <w:rPr>
                <w:b/>
                <w:sz w:val="24"/>
              </w:rPr>
              <w:t>0.591255</w:t>
            </w:r>
          </w:p>
        </w:tc>
        <w:tc>
          <w:tcPr>
            <w:tcW w:w="1620" w:type="dxa"/>
            <w:tcBorders/>
          </w:tcPr>
          <w:p>
            <w:pPr>
              <w:pStyle w:val="style4101"/>
              <w:spacing w:before="20" w:lineRule="exact" w:line="247"/>
              <w:ind w:left="107"/>
              <w:rPr>
                <w:b/>
                <w:sz w:val="24"/>
              </w:rPr>
            </w:pPr>
            <w:r>
              <w:rPr>
                <w:b/>
                <w:sz w:val="24"/>
              </w:rPr>
              <w:t>0.920471</w:t>
            </w:r>
          </w:p>
        </w:tc>
        <w:tc>
          <w:tcPr>
            <w:tcW w:w="1260" w:type="dxa"/>
            <w:tcBorders/>
          </w:tcPr>
          <w:p>
            <w:pPr>
              <w:pStyle w:val="style4101"/>
              <w:spacing w:before="20" w:lineRule="exact" w:line="247"/>
              <w:ind w:left="107"/>
              <w:rPr>
                <w:b/>
                <w:sz w:val="24"/>
              </w:rPr>
            </w:pPr>
            <w:r>
              <w:rPr>
                <w:b/>
                <w:sz w:val="24"/>
              </w:rPr>
              <w:t>0.771988</w:t>
            </w:r>
          </w:p>
        </w:tc>
        <w:tc>
          <w:tcPr>
            <w:tcW w:w="1260" w:type="dxa"/>
            <w:tcBorders/>
          </w:tcPr>
          <w:p>
            <w:pPr>
              <w:pStyle w:val="style4101"/>
              <w:spacing w:before="20" w:lineRule="exact" w:line="247"/>
              <w:ind w:left="107"/>
              <w:rPr>
                <w:b/>
                <w:sz w:val="24"/>
              </w:rPr>
            </w:pPr>
            <w:r>
              <w:rPr>
                <w:b/>
                <w:sz w:val="24"/>
              </w:rPr>
              <w:t>1</w:t>
            </w:r>
          </w:p>
        </w:tc>
      </w:tr>
    </w:tbl>
    <w:p>
      <w:pPr>
        <w:pStyle w:val="style0"/>
        <w:rPr/>
      </w:pPr>
    </w:p>
    <w:p>
      <w:pPr>
        <w:pStyle w:val="style0"/>
        <w:rPr/>
      </w:pPr>
      <w:r>
        <w:t>According to the aforementioned table, there is a correlation between order quality (05), discount (0.59), unit price (0.92), and delivery cost (0.77). This indicates a close connection between these four and sales. Unit pricing has the largest influence, while discount has less. This demonstrates that the unit price is the cause of the decline in Superstore sales.</w:t>
      </w:r>
    </w:p>
    <w:p>
      <w:pPr>
        <w:pStyle w:val="style0"/>
        <w:rPr/>
      </w:pPr>
      <w:r>
        <w:t>Excel is one of the best tools for pre-processing, visualising, and analysing data, which can be understood by using it. The examination of the data might not have been possible without the use of that technology. This leads to the conclusion that raising the unit price is necessary to increase sales.</w:t>
      </w:r>
    </w:p>
    <w:p>
      <w:pPr>
        <w:pStyle w:val="style0"/>
        <w:rPr/>
      </w:pPr>
    </w:p>
    <w:p>
      <w:pPr>
        <w:pStyle w:val="style0"/>
        <w:rPr/>
      </w:pPr>
    </w:p>
    <w:bookmarkStart w:id="6" w:name="_Toc109382460"/>
    <w:p>
      <w:pPr>
        <w:pStyle w:val="style1"/>
        <w:rPr/>
      </w:pPr>
      <w:r>
        <w:t>Part 2</w:t>
      </w:r>
      <w:bookmarkEnd w:id="6"/>
    </w:p>
    <w:bookmarkStart w:id="7" w:name="_Toc109382461"/>
    <w:p>
      <w:pPr>
        <w:pStyle w:val="style2"/>
        <w:rPr/>
      </w:pPr>
      <w:r>
        <w:t xml:space="preserve">2.1 Student likes </w:t>
      </w:r>
      <w:r>
        <w:t xml:space="preserve">the </w:t>
      </w:r>
      <w:r>
        <w:t>vanilla flavour</w:t>
      </w:r>
      <w:bookmarkEnd w:id="7"/>
    </w:p>
    <w:p>
      <w:pPr>
        <w:pStyle w:val="style0"/>
        <w:rPr/>
      </w:pPr>
      <w:r>
        <w:t xml:space="preserve">The most prevalent sort of occurrence is referred to as the mode type (or percentage). The rate of recurrence itself isn't the problem. Students should respond vanilla rather than I when they inquire about the latent variable shown below. One, both, or all of these may be involved depending on the operation. One of the most popular categorizations of this organisational structure feature is a multimodal distribution, often known as a bimodal distribution (if more than two modes). </w:t>
      </w:r>
      <w:r>
        <w:t>The l</w:t>
      </w:r>
      <w:r>
        <w:t>ack of a definite approach is what distinguishes a uniform distribution. The most popular ice cream flavour among the school's kids is seen in this picture. Additionally, only 1% of respondents preferred Vanilla ice cream over other flavours.</w:t>
      </w:r>
    </w:p>
    <w:p>
      <w:pPr>
        <w:pStyle w:val="style0"/>
        <w:rPr/>
      </w:pPr>
      <w:r>
        <w:t xml:space="preserve">Favourite ice-cream flavour </w:t>
      </w:r>
    </w:p>
    <w:p>
      <w:pPr>
        <w:pStyle w:val="style0"/>
        <w:rPr/>
      </w:pPr>
      <w:r>
        <w:t xml:space="preserve">Vanilla:  </w:t>
      </w:r>
      <w:r>
        <w:t>1</w:t>
      </w:r>
      <w:r>
        <w:t xml:space="preserve"> </w:t>
      </w:r>
    </w:p>
    <w:p>
      <w:pPr>
        <w:pStyle w:val="style0"/>
        <w:rPr/>
      </w:pPr>
      <w:r>
        <w:t>Chocolate:   2</w:t>
      </w:r>
    </w:p>
    <w:p>
      <w:pPr>
        <w:pStyle w:val="style0"/>
        <w:rPr/>
      </w:pPr>
      <w:r>
        <w:t>Strawberry: 3</w:t>
      </w:r>
    </w:p>
    <w:p>
      <w:pPr>
        <w:pStyle w:val="style0"/>
        <w:rPr/>
      </w:pPr>
    </w:p>
    <w:p>
      <w:pPr>
        <w:pStyle w:val="style0"/>
        <w:rPr/>
      </w:pPr>
      <w:r>
        <w:t>Number of male</w:t>
      </w:r>
      <w:r>
        <w:t xml:space="preserve">: 0 </w:t>
      </w:r>
    </w:p>
    <w:p>
      <w:pPr>
        <w:pStyle w:val="style0"/>
        <w:rPr/>
      </w:pPr>
      <w:r>
        <w:t>Number of female=</w:t>
      </w:r>
      <w:r>
        <w:t xml:space="preserve"> </w:t>
      </w:r>
      <w:r>
        <w:t xml:space="preserve">l </w:t>
      </w:r>
    </w:p>
    <w:p>
      <w:pPr>
        <w:pStyle w:val="style0"/>
        <w:rPr/>
      </w:pPr>
      <w:r>
        <w:t>Then total=</w:t>
      </w:r>
      <w:r>
        <w:t xml:space="preserve"> </w:t>
      </w:r>
      <w:r>
        <w:t>O+</w:t>
      </w:r>
      <w:r>
        <w:t>1</w:t>
      </w:r>
      <w:r>
        <w:t>=</w:t>
      </w:r>
      <w:r>
        <w:t xml:space="preserve"> 1</w:t>
      </w:r>
    </w:p>
    <w:bookmarkStart w:id="8" w:name="_Toc109382462"/>
    <w:p>
      <w:pPr>
        <w:pStyle w:val="style2"/>
        <w:rPr/>
      </w:pPr>
      <w:r>
        <w:t xml:space="preserve">2.2 </w:t>
      </w:r>
      <w:r>
        <w:t>M</w:t>
      </w:r>
      <w:r>
        <w:t>ale and female students</w:t>
      </w:r>
      <w:bookmarkEnd w:id="8"/>
      <w:r>
        <w:t xml:space="preserve"> </w:t>
      </w:r>
    </w:p>
    <w:tbl>
      <w:tblPr>
        <w:tblStyle w:val="style4105"/>
        <w:tblW w:w="0" w:type="auto"/>
        <w:tblLook w:val="04A0" w:firstRow="1" w:lastRow="0" w:firstColumn="1" w:lastColumn="0" w:noHBand="0" w:noVBand="1"/>
      </w:tblPr>
      <w:tblGrid>
        <w:gridCol w:w="4675"/>
        <w:gridCol w:w="4675"/>
      </w:tblGrid>
      <w:tr>
        <w:trPr/>
        <w:tc>
          <w:tcPr>
            <w:tcW w:w="4675" w:type="dxa"/>
            <w:tcBorders/>
          </w:tcPr>
          <w:p>
            <w:pPr>
              <w:pStyle w:val="style0"/>
              <w:jc w:val="center"/>
              <w:rPr/>
            </w:pPr>
            <w:r>
              <w:t>Row Labels</w:t>
            </w:r>
          </w:p>
        </w:tc>
        <w:tc>
          <w:tcPr>
            <w:tcW w:w="4675" w:type="dxa"/>
            <w:tcBorders/>
          </w:tcPr>
          <w:p>
            <w:pPr>
              <w:pStyle w:val="style0"/>
              <w:jc w:val="center"/>
              <w:rPr/>
            </w:pPr>
            <w:r>
              <w:t>Sum of female</w:t>
            </w:r>
          </w:p>
        </w:tc>
      </w:tr>
      <w:tr>
        <w:tblPrEx/>
        <w:trPr/>
        <w:tc>
          <w:tcPr>
            <w:tcW w:w="4675" w:type="dxa"/>
            <w:tcBorders/>
          </w:tcPr>
          <w:p>
            <w:pPr>
              <w:pStyle w:val="style0"/>
              <w:jc w:val="center"/>
              <w:rPr/>
            </w:pPr>
            <w:r>
              <w:t>0</w:t>
            </w:r>
          </w:p>
          <w:p>
            <w:pPr>
              <w:pStyle w:val="style0"/>
              <w:jc w:val="center"/>
              <w:rPr/>
            </w:pPr>
            <w:r>
              <w:t>1</w:t>
            </w:r>
          </w:p>
        </w:tc>
        <w:tc>
          <w:tcPr>
            <w:tcW w:w="4675" w:type="dxa"/>
            <w:tcBorders/>
          </w:tcPr>
          <w:p>
            <w:pPr>
              <w:pStyle w:val="style0"/>
              <w:jc w:val="center"/>
              <w:rPr/>
            </w:pPr>
            <w:r>
              <w:t>0</w:t>
            </w:r>
          </w:p>
          <w:p>
            <w:pPr>
              <w:pStyle w:val="style0"/>
              <w:jc w:val="center"/>
              <w:rPr/>
            </w:pPr>
            <w:r>
              <w:t>109</w:t>
            </w:r>
          </w:p>
        </w:tc>
      </w:tr>
      <w:tr>
        <w:tblPrEx/>
        <w:trPr/>
        <w:tc>
          <w:tcPr>
            <w:tcW w:w="4675" w:type="dxa"/>
            <w:tcBorders/>
          </w:tcPr>
          <w:p>
            <w:pPr>
              <w:pStyle w:val="style0"/>
              <w:jc w:val="center"/>
              <w:rPr/>
            </w:pPr>
            <w:r>
              <w:t>Grand total</w:t>
            </w:r>
          </w:p>
        </w:tc>
        <w:tc>
          <w:tcPr>
            <w:tcW w:w="4675" w:type="dxa"/>
            <w:tcBorders/>
          </w:tcPr>
          <w:p>
            <w:pPr>
              <w:pStyle w:val="style0"/>
              <w:jc w:val="center"/>
              <w:rPr/>
            </w:pPr>
            <w:r>
              <w:t>109</w:t>
            </w:r>
          </w:p>
        </w:tc>
      </w:tr>
    </w:tbl>
    <w:p>
      <w:pPr>
        <w:pStyle w:val="style0"/>
        <w:rPr/>
      </w:pPr>
    </w:p>
    <w:bookmarkStart w:id="9" w:name="_Toc109382463"/>
    <w:p>
      <w:pPr>
        <w:pStyle w:val="style2"/>
        <w:rPr>
          <w:rFonts w:eastAsia="Arial"/>
        </w:rPr>
      </w:pPr>
      <w:r>
        <w:rPr>
          <w:rFonts w:eastAsia="Arial"/>
        </w:rPr>
        <w:t>2.3 Mean and median</w:t>
      </w:r>
      <w:bookmarkEnd w:id="9"/>
      <w:r>
        <w:rPr>
          <w:rFonts w:eastAsia="Arial"/>
        </w:rPr>
        <w:t xml:space="preserve"> </w:t>
      </w:r>
    </w:p>
    <w:p>
      <w:pPr>
        <w:pStyle w:val="style0"/>
        <w:rPr>
          <w:rFonts w:eastAsia="Arial"/>
        </w:rPr>
      </w:pPr>
      <w:r>
        <w:rPr>
          <w:rFonts w:eastAsia="Arial"/>
        </w:rPr>
        <w:t>The word "average" is frequently used when referring to the mean. The highest central tendency is present. To determine the mean, only ratio or interval variables may be employed. Since the mean can take into consideration the value of each individual observation, it is where most data comes from. The mean reacts to outliers quicker than th</w:t>
      </w:r>
      <w:r>
        <w:rPr>
          <w:rFonts w:eastAsia="Arial"/>
        </w:rPr>
        <w:t>e median (</w:t>
      </w:r>
      <w:r>
        <w:rPr>
          <w:rFonts w:eastAsia="Arial"/>
        </w:rPr>
        <w:t>Venkatesh</w:t>
      </w:r>
      <w:r>
        <w:rPr>
          <w:rFonts w:eastAsia="Arial"/>
        </w:rPr>
        <w:t xml:space="preserve"> et al., 202</w:t>
      </w:r>
      <w:r>
        <w:rPr>
          <w:rFonts w:eastAsia="Arial"/>
        </w:rPr>
        <w:t xml:space="preserve">1). Unusually, there is </w:t>
      </w:r>
      <w:r>
        <w:rPr>
          <w:rFonts w:eastAsia="Arial"/>
        </w:rPr>
        <w:t xml:space="preserve">a single mean </w:t>
      </w:r>
      <w:r>
        <w:rPr>
          <w:rFonts w:eastAsia="Arial"/>
        </w:rPr>
        <w:t xml:space="preserve">that has any bearing on the mean of the data. The </w:t>
      </w:r>
      <w:r>
        <w:rPr>
          <w:rFonts w:eastAsia="Arial"/>
        </w:rPr>
        <w:t xml:space="preserve">mean </w:t>
      </w:r>
      <w:r>
        <w:rPr>
          <w:rFonts w:eastAsia="Arial"/>
        </w:rPr>
        <w:t xml:space="preserve">is </w:t>
      </w:r>
      <w:r>
        <w:rPr>
          <w:rFonts w:eastAsia="Arial"/>
        </w:rPr>
        <w:t xml:space="preserve">frequently portrayed as a vessel with a line drowning, as is the case in this image. The average score is determined by the </w:t>
      </w:r>
      <w:r>
        <w:rPr>
          <w:rFonts w:eastAsia="Arial"/>
        </w:rPr>
        <w:t>number</w:t>
      </w:r>
      <w:r>
        <w:rPr>
          <w:rFonts w:eastAsia="Arial"/>
        </w:rPr>
        <w:t xml:space="preserve"> of points.</w:t>
      </w:r>
    </w:p>
    <w:p>
      <w:pPr>
        <w:pStyle w:val="style0"/>
        <w:jc w:val="center"/>
        <w:rPr>
          <w:rFonts w:eastAsia="Arial"/>
        </w:rPr>
      </w:pPr>
      <w:r>
        <w:rPr>
          <w:noProof/>
          <w:lang w:eastAsia="en-GB"/>
        </w:rPr>
        <w:object>
          <v:shape id="1035" type="#_x0000_t75" filled="f" stroked="f" style="margin-left:0.0pt;margin-top:0.0pt;width:105.6pt;height:109.2pt;mso-wrap-distance-left:0.0pt;mso-wrap-distance-right:0.0pt;visibility:visible;">
            <w10:anchorlock/>
            <v:imagedata r:id="rId7" croptop="21658f" cropleft="31339f" cropbottom="16692f" cropright="19409f" embosscolor="white" o:title=""/>
            <v:stroke on="f"/>
            <v:fill rotate="true"/>
          </v:shape>
          <o:OLEObject Type="EMBED" ProgID="Excel.Chart.8" ShapeID="1035" DrawAspect="Content" ObjectID="0" r:id="rId8"/>
        </w:object>
      </w:r>
    </w:p>
    <w:p>
      <w:pPr>
        <w:pStyle w:val="style0"/>
        <w:rPr>
          <w:rFonts w:eastAsia="Arial"/>
        </w:rPr>
      </w:pPr>
      <w:r>
        <w:rPr>
          <w:rFonts w:eastAsia="Arial"/>
        </w:rPr>
        <w:t>According to</w:t>
      </w:r>
      <w:r>
        <w:rPr>
          <w:rFonts w:eastAsia="Arial"/>
        </w:rPr>
        <w:t xml:space="preserve"> the examples in the quotations, e</w:t>
      </w:r>
      <w:r>
        <w:rPr>
          <w:rFonts w:eastAsia="Arial"/>
        </w:rPr>
        <w:t xml:space="preserve">ach of X. and N. represents the qualitative significance "or a case of panic. Summarizing, add the results together using </w:t>
      </w:r>
      <w:r>
        <w:rPr>
          <w:rFonts w:eastAsia="Arial"/>
        </w:rPr>
        <w:t>sigmas</w:t>
      </w:r>
      <w:r>
        <w:rPr>
          <w:rFonts w:eastAsia="Arial"/>
        </w:rPr>
        <w:t>. The only</w:t>
      </w:r>
      <w:r>
        <w:rPr>
          <w:rFonts w:eastAsia="Arial"/>
        </w:rPr>
        <w:t xml:space="preserve"> way to determine a mean value </w:t>
      </w:r>
      <w:r>
        <w:rPr>
          <w:rFonts w:eastAsia="Arial"/>
        </w:rPr>
        <w:t xml:space="preserve">is by addition and division. In a precise way, nominal and ordinal variables </w:t>
      </w:r>
      <w:r>
        <w:rPr>
          <w:rFonts w:eastAsia="Arial"/>
        </w:rPr>
        <w:t>cann</w:t>
      </w:r>
      <w:r>
        <w:rPr>
          <w:rFonts w:eastAsia="Arial"/>
        </w:rPr>
        <w:t>ot be combined.</w:t>
      </w:r>
    </w:p>
    <w:tbl>
      <w:tblPr>
        <w:tblStyle w:val="style4105"/>
        <w:tblW w:w="0" w:type="auto"/>
        <w:tblLook w:val="04A0" w:firstRow="1" w:lastRow="0" w:firstColumn="1" w:lastColumn="0" w:noHBand="0" w:noVBand="1"/>
      </w:tblPr>
      <w:tblGrid>
        <w:gridCol w:w="4675"/>
        <w:gridCol w:w="4675"/>
      </w:tblGrid>
      <w:tr>
        <w:trPr/>
        <w:tc>
          <w:tcPr>
            <w:tcW w:w="9350" w:type="dxa"/>
            <w:gridSpan w:val="2"/>
            <w:tcBorders/>
          </w:tcPr>
          <w:p>
            <w:pPr>
              <w:pStyle w:val="style0"/>
              <w:jc w:val="center"/>
              <w:rPr/>
            </w:pPr>
            <w:r>
              <w:t>Ice Cream</w:t>
            </w:r>
          </w:p>
        </w:tc>
      </w:tr>
      <w:tr>
        <w:tblPrEx/>
        <w:trPr/>
        <w:tc>
          <w:tcPr>
            <w:tcW w:w="4675" w:type="dxa"/>
            <w:tcBorders/>
          </w:tcPr>
          <w:p>
            <w:pPr>
              <w:pStyle w:val="style0"/>
              <w:jc w:val="center"/>
              <w:rPr/>
            </w:pPr>
            <w:r>
              <w:t>Mean</w:t>
            </w:r>
          </w:p>
        </w:tc>
        <w:tc>
          <w:tcPr>
            <w:tcW w:w="4675" w:type="dxa"/>
            <w:tcBorders/>
          </w:tcPr>
          <w:p>
            <w:pPr>
              <w:pStyle w:val="style0"/>
              <w:jc w:val="center"/>
              <w:rPr/>
            </w:pPr>
            <w:r>
              <w:t>1.816</w:t>
            </w:r>
          </w:p>
        </w:tc>
      </w:tr>
      <w:tr>
        <w:tblPrEx/>
        <w:trPr/>
        <w:tc>
          <w:tcPr>
            <w:tcW w:w="4675" w:type="dxa"/>
            <w:tcBorders/>
          </w:tcPr>
          <w:p>
            <w:pPr>
              <w:pStyle w:val="style0"/>
              <w:jc w:val="center"/>
              <w:rPr/>
            </w:pPr>
            <w:r>
              <w:t>Standard Error</w:t>
            </w:r>
          </w:p>
        </w:tc>
        <w:tc>
          <w:tcPr>
            <w:tcW w:w="4675" w:type="dxa"/>
            <w:tcBorders/>
          </w:tcPr>
          <w:p>
            <w:pPr>
              <w:pStyle w:val="style0"/>
              <w:jc w:val="center"/>
              <w:rPr/>
            </w:pPr>
            <w:r>
              <w:t>0.060598978</w:t>
            </w:r>
          </w:p>
        </w:tc>
      </w:tr>
      <w:tr>
        <w:tblPrEx/>
        <w:trPr/>
        <w:tc>
          <w:tcPr>
            <w:tcW w:w="4675" w:type="dxa"/>
            <w:tcBorders/>
          </w:tcPr>
          <w:p>
            <w:pPr>
              <w:pStyle w:val="style0"/>
              <w:jc w:val="center"/>
              <w:rPr/>
            </w:pPr>
            <w:r>
              <w:t>Median</w:t>
            </w:r>
          </w:p>
        </w:tc>
        <w:tc>
          <w:tcPr>
            <w:tcW w:w="4675" w:type="dxa"/>
            <w:tcBorders/>
          </w:tcPr>
          <w:p>
            <w:pPr>
              <w:pStyle w:val="style0"/>
              <w:jc w:val="center"/>
              <w:rPr/>
            </w:pPr>
            <w:r>
              <w:t>2</w:t>
            </w:r>
          </w:p>
        </w:tc>
      </w:tr>
      <w:tr>
        <w:tblPrEx/>
        <w:trPr/>
        <w:tc>
          <w:tcPr>
            <w:tcW w:w="4675" w:type="dxa"/>
            <w:tcBorders/>
          </w:tcPr>
          <w:p>
            <w:pPr>
              <w:pStyle w:val="style0"/>
              <w:jc w:val="center"/>
              <w:rPr/>
            </w:pPr>
            <w:r>
              <w:t>Mode</w:t>
            </w:r>
          </w:p>
        </w:tc>
        <w:tc>
          <w:tcPr>
            <w:tcW w:w="4675" w:type="dxa"/>
            <w:tcBorders/>
          </w:tcPr>
          <w:p>
            <w:pPr>
              <w:pStyle w:val="style0"/>
              <w:jc w:val="center"/>
              <w:rPr/>
            </w:pPr>
            <w:r>
              <w:t>1</w:t>
            </w:r>
          </w:p>
        </w:tc>
      </w:tr>
      <w:tr>
        <w:tblPrEx/>
        <w:trPr/>
        <w:tc>
          <w:tcPr>
            <w:tcW w:w="4675" w:type="dxa"/>
            <w:tcBorders/>
          </w:tcPr>
          <w:p>
            <w:pPr>
              <w:pStyle w:val="style0"/>
              <w:jc w:val="center"/>
              <w:rPr/>
            </w:pPr>
            <w:r>
              <w:t>Standard Deviation</w:t>
            </w:r>
          </w:p>
        </w:tc>
        <w:tc>
          <w:tcPr>
            <w:tcW w:w="4675" w:type="dxa"/>
            <w:tcBorders/>
          </w:tcPr>
          <w:p>
            <w:pPr>
              <w:pStyle w:val="style0"/>
              <w:jc w:val="center"/>
              <w:rPr/>
            </w:pPr>
            <w:r>
              <w:t>0.85699892</w:t>
            </w:r>
          </w:p>
        </w:tc>
      </w:tr>
      <w:tr>
        <w:tblPrEx/>
        <w:trPr/>
        <w:tc>
          <w:tcPr>
            <w:tcW w:w="4675" w:type="dxa"/>
            <w:tcBorders/>
          </w:tcPr>
          <w:p>
            <w:pPr>
              <w:pStyle w:val="style0"/>
              <w:jc w:val="center"/>
              <w:rPr/>
            </w:pPr>
            <w:r>
              <w:t>Sample variance</w:t>
            </w:r>
          </w:p>
        </w:tc>
        <w:tc>
          <w:tcPr>
            <w:tcW w:w="4675" w:type="dxa"/>
            <w:tcBorders/>
          </w:tcPr>
          <w:p>
            <w:pPr>
              <w:pStyle w:val="style0"/>
              <w:jc w:val="center"/>
              <w:rPr/>
            </w:pPr>
            <w:r>
              <w:t>0.734447237</w:t>
            </w:r>
          </w:p>
        </w:tc>
      </w:tr>
      <w:tr>
        <w:tblPrEx/>
        <w:trPr/>
        <w:tc>
          <w:tcPr>
            <w:tcW w:w="4675" w:type="dxa"/>
            <w:tcBorders/>
          </w:tcPr>
          <w:p>
            <w:pPr>
              <w:pStyle w:val="style0"/>
              <w:jc w:val="center"/>
              <w:rPr/>
            </w:pPr>
            <w:r>
              <w:t>Kurtosis</w:t>
            </w:r>
          </w:p>
        </w:tc>
        <w:tc>
          <w:tcPr>
            <w:tcW w:w="4675" w:type="dxa"/>
            <w:tcBorders/>
          </w:tcPr>
          <w:p>
            <w:pPr>
              <w:pStyle w:val="style0"/>
              <w:jc w:val="center"/>
              <w:rPr/>
            </w:pPr>
            <w:r>
              <w:t>1.544769314</w:t>
            </w:r>
          </w:p>
        </w:tc>
      </w:tr>
      <w:tr>
        <w:tblPrEx/>
        <w:trPr/>
        <w:tc>
          <w:tcPr>
            <w:tcW w:w="4675" w:type="dxa"/>
            <w:tcBorders/>
          </w:tcPr>
          <w:p>
            <w:pPr>
              <w:pStyle w:val="style0"/>
              <w:jc w:val="center"/>
              <w:rPr/>
            </w:pPr>
            <w:r>
              <w:t>Skewness</w:t>
            </w:r>
          </w:p>
        </w:tc>
        <w:tc>
          <w:tcPr>
            <w:tcW w:w="4675" w:type="dxa"/>
            <w:tcBorders/>
          </w:tcPr>
          <w:p>
            <w:pPr>
              <w:pStyle w:val="style0"/>
              <w:jc w:val="center"/>
              <w:rPr/>
            </w:pPr>
            <w:r>
              <w:t>0.365980384</w:t>
            </w:r>
          </w:p>
        </w:tc>
      </w:tr>
      <w:tr>
        <w:tblPrEx/>
        <w:trPr/>
        <w:tc>
          <w:tcPr>
            <w:tcW w:w="4675" w:type="dxa"/>
            <w:tcBorders/>
          </w:tcPr>
          <w:p>
            <w:pPr>
              <w:pStyle w:val="style0"/>
              <w:jc w:val="center"/>
              <w:rPr/>
            </w:pPr>
            <w:r>
              <w:t>Range</w:t>
            </w:r>
          </w:p>
        </w:tc>
        <w:tc>
          <w:tcPr>
            <w:tcW w:w="4675" w:type="dxa"/>
            <w:tcBorders/>
          </w:tcPr>
          <w:p>
            <w:pPr>
              <w:pStyle w:val="style0"/>
              <w:jc w:val="center"/>
              <w:rPr/>
            </w:pPr>
            <w:r>
              <w:t>2</w:t>
            </w:r>
          </w:p>
        </w:tc>
      </w:tr>
      <w:tr>
        <w:tblPrEx/>
        <w:trPr/>
        <w:tc>
          <w:tcPr>
            <w:tcW w:w="4675" w:type="dxa"/>
            <w:tcBorders/>
          </w:tcPr>
          <w:p>
            <w:pPr>
              <w:pStyle w:val="style0"/>
              <w:jc w:val="center"/>
              <w:rPr/>
            </w:pPr>
            <w:r>
              <w:t>Minimum</w:t>
            </w:r>
          </w:p>
        </w:tc>
        <w:tc>
          <w:tcPr>
            <w:tcW w:w="4675" w:type="dxa"/>
            <w:tcBorders/>
          </w:tcPr>
          <w:p>
            <w:pPr>
              <w:pStyle w:val="style0"/>
              <w:jc w:val="center"/>
              <w:rPr/>
            </w:pPr>
            <w:r>
              <w:t>1</w:t>
            </w:r>
          </w:p>
        </w:tc>
      </w:tr>
      <w:tr>
        <w:tblPrEx/>
        <w:trPr/>
        <w:tc>
          <w:tcPr>
            <w:tcW w:w="4675" w:type="dxa"/>
            <w:tcBorders/>
          </w:tcPr>
          <w:p>
            <w:pPr>
              <w:pStyle w:val="style0"/>
              <w:jc w:val="center"/>
              <w:rPr/>
            </w:pPr>
            <w:r>
              <w:t>Maxim</w:t>
            </w:r>
          </w:p>
        </w:tc>
        <w:tc>
          <w:tcPr>
            <w:tcW w:w="4675" w:type="dxa"/>
            <w:tcBorders/>
          </w:tcPr>
          <w:p>
            <w:pPr>
              <w:pStyle w:val="style0"/>
              <w:jc w:val="center"/>
              <w:rPr/>
            </w:pPr>
            <w:r>
              <w:t>3</w:t>
            </w:r>
          </w:p>
        </w:tc>
      </w:tr>
      <w:tr>
        <w:tblPrEx/>
        <w:trPr/>
        <w:tc>
          <w:tcPr>
            <w:tcW w:w="4675" w:type="dxa"/>
            <w:tcBorders/>
          </w:tcPr>
          <w:p>
            <w:pPr>
              <w:pStyle w:val="style0"/>
              <w:jc w:val="center"/>
              <w:rPr/>
            </w:pPr>
            <w:r>
              <w:t>Sum</w:t>
            </w:r>
          </w:p>
        </w:tc>
        <w:tc>
          <w:tcPr>
            <w:tcW w:w="4675" w:type="dxa"/>
            <w:tcBorders/>
          </w:tcPr>
          <w:p>
            <w:pPr>
              <w:pStyle w:val="style0"/>
              <w:jc w:val="center"/>
              <w:rPr/>
            </w:pPr>
            <w:r>
              <w:t>363</w:t>
            </w:r>
          </w:p>
        </w:tc>
      </w:tr>
      <w:tr>
        <w:tblPrEx/>
        <w:trPr/>
        <w:tc>
          <w:tcPr>
            <w:tcW w:w="4675" w:type="dxa"/>
            <w:tcBorders/>
          </w:tcPr>
          <w:p>
            <w:pPr>
              <w:pStyle w:val="style0"/>
              <w:jc w:val="center"/>
              <w:rPr/>
            </w:pPr>
            <w:r>
              <w:t>Count</w:t>
            </w:r>
          </w:p>
        </w:tc>
        <w:tc>
          <w:tcPr>
            <w:tcW w:w="4675" w:type="dxa"/>
            <w:tcBorders/>
          </w:tcPr>
          <w:p>
            <w:pPr>
              <w:pStyle w:val="style0"/>
              <w:jc w:val="center"/>
              <w:rPr/>
            </w:pPr>
            <w:r>
              <w:t>200</w:t>
            </w:r>
          </w:p>
        </w:tc>
      </w:tr>
    </w:tbl>
    <w:p>
      <w:pPr>
        <w:pStyle w:val="style0"/>
        <w:rPr/>
      </w:pPr>
    </w:p>
    <w:bookmarkStart w:id="10" w:name="_Toc109382464"/>
    <w:p>
      <w:pPr>
        <w:pStyle w:val="style2"/>
        <w:rPr/>
      </w:pPr>
      <w:r>
        <w:t>2.5</w:t>
      </w:r>
      <w:r>
        <w:t xml:space="preserve"> Data mining and text mining methods</w:t>
      </w:r>
      <w:bookmarkEnd w:id="10"/>
      <w:r>
        <w:t xml:space="preserve"> </w:t>
      </w:r>
    </w:p>
    <w:p>
      <w:pPr>
        <w:pStyle w:val="style0"/>
        <w:rPr/>
      </w:pPr>
      <w:r>
        <w:t>Since a very long time ago, the</w:t>
      </w:r>
      <w:r>
        <w:t>r</w:t>
      </w:r>
      <w:r>
        <w:t>e</w:t>
      </w:r>
      <w:r>
        <w:t xml:space="preserve"> has been a lot of data mining throughout the world. UK corporations grew more and more dental-dependent as society progressed. In the 1990s, "Big Data" became a problem since businesses were</w:t>
      </w:r>
      <w:r>
        <w:t xml:space="preserve"> unable to keep up with it (</w:t>
      </w:r>
      <w:r>
        <w:t>Gola</w:t>
      </w:r>
      <w:r>
        <w:t xml:space="preserve"> e</w:t>
      </w:r>
      <w:r>
        <w:t>t</w:t>
      </w:r>
      <w:r>
        <w:t xml:space="preserve"> al.</w:t>
      </w:r>
      <w:r>
        <w:t>,</w:t>
      </w:r>
      <w:r>
        <w:t xml:space="preserve"> 2018). The Bureau </w:t>
      </w:r>
      <w:r>
        <w:t xml:space="preserve">of </w:t>
      </w:r>
      <w:r>
        <w:t>Labour</w:t>
      </w:r>
      <w:r>
        <w:t xml:space="preserve"> Statistics predicts that by 2029, employment in the fields of computer science and information research will have increased by 15%.</w:t>
      </w:r>
    </w:p>
    <w:p>
      <w:pPr>
        <w:pStyle w:val="style0"/>
        <w:rPr/>
      </w:pPr>
      <w:r>
        <w:rPr>
          <w:b/>
        </w:rPr>
        <w:t>Clustering:</w:t>
      </w:r>
      <w:r>
        <w:t xml:space="preserve"> </w:t>
      </w:r>
      <w:r>
        <w:t xml:space="preserve">Clustering is the process of creating groups based on the similarities and differences among the given points. By precisely dividing the text into a group, </w:t>
      </w:r>
      <w:r>
        <w:t>it can be calculated.</w:t>
      </w:r>
      <w:r>
        <w:t xml:space="preserve"> Researchers can now create accurate images of enormous populations of particles with greater ease and</w:t>
      </w:r>
      <w:r>
        <w:t xml:space="preserve"> speed than ever before (Rani and </w:t>
      </w:r>
      <w:r>
        <w:t>Kautish</w:t>
      </w:r>
      <w:r>
        <w:t>, 2018</w:t>
      </w:r>
      <w:r>
        <w:t>). Businesses can determine what things to sell to increase their revenue. As a result, companies can more effectively target their goods and services at particular demographic groups or geographic regions.</w:t>
      </w:r>
    </w:p>
    <w:p>
      <w:pPr>
        <w:pStyle w:val="style0"/>
        <w:rPr/>
      </w:pPr>
      <w:r>
        <w:rPr>
          <w:b/>
        </w:rPr>
        <w:t>Data cleaning:</w:t>
      </w:r>
      <w:r>
        <w:t xml:space="preserve"> </w:t>
      </w:r>
      <w:r>
        <w:t>Data must be reorganised, damaged data must be removed, and any gaps must be filled. The most pertinent information can be gathered at the end of the procedure for additional analysis. 95 per</w:t>
      </w:r>
      <w:r>
        <w:t xml:space="preserve"> </w:t>
      </w:r>
      <w:r>
        <w:t>cent of the time, inaccurate data has hurt British businesses (Corrales et al.,</w:t>
      </w:r>
      <w:r>
        <w:t xml:space="preserve"> 20</w:t>
      </w:r>
      <w:r>
        <w:t xml:space="preserve">18). Inaccurate data analysis increases the likelihood of drawing false conclusions over accurate data analysis. No matter how </w:t>
      </w:r>
      <w:r>
        <w:t>ski</w:t>
      </w:r>
      <w:r>
        <w:t>l</w:t>
      </w:r>
      <w:r>
        <w:t>fully</w:t>
      </w:r>
      <w:r>
        <w:t xml:space="preserve"> a model or algorithm is built or implemented, if the data used by the organisation is inaccurate, deficient, or damaged, the organisation will suffer.</w:t>
      </w:r>
    </w:p>
    <w:p>
      <w:pPr>
        <w:pStyle w:val="style0"/>
        <w:rPr/>
      </w:pPr>
      <w:r>
        <w:rPr>
          <w:b/>
        </w:rPr>
        <w:t>Machine learning:</w:t>
      </w:r>
      <w:r>
        <w:t xml:space="preserve"> </w:t>
      </w:r>
      <w:r>
        <w:t>The ability of computers to learn on their own through the use of a variety of approaches is referred to as "machine learning." Machine learning is making computers "smarter," which is a growing trend</w:t>
      </w:r>
      <w:r>
        <w:t xml:space="preserve"> in modern technology (</w:t>
      </w:r>
      <w:r>
        <w:t>Carleo</w:t>
      </w:r>
      <w:r>
        <w:t xml:space="preserve"> et</w:t>
      </w:r>
      <w:r>
        <w:t xml:space="preserve"> al., 2019). For instance, firms can utilise computers to swiftly identify sales, product demand, and purchasing patterns. They can then use machine learning to create business plans based on these insights. This is a significant issue for many different sectors.</w:t>
      </w:r>
    </w:p>
    <w:p>
      <w:pPr>
        <w:pStyle w:val="style0"/>
        <w:rPr>
          <w:b/>
        </w:rPr>
      </w:pPr>
      <w:r>
        <w:rPr>
          <w:b/>
        </w:rPr>
        <w:t xml:space="preserve">Text mining methods </w:t>
      </w:r>
    </w:p>
    <w:p>
      <w:pPr>
        <w:pStyle w:val="style0"/>
        <w:rPr/>
      </w:pPr>
      <w:r>
        <w:t xml:space="preserve">In computer science, text mining is cutting-edge technology. Unstructured data has become more and more popular as a result of the massive growth in the amount of pertinent and worthwhile data. </w:t>
      </w:r>
      <w:r>
        <w:t>Several different text mining techniques</w:t>
      </w:r>
      <w:r>
        <w:t xml:space="preserve"> can be used to extract valuable information from massive amounts of text. Examples include sentiment analysis, classification, and </w:t>
      </w:r>
      <w:r>
        <w:t>entity extraction (</w:t>
      </w:r>
      <w:r>
        <w:t>Antons</w:t>
      </w:r>
      <w:r>
        <w:t xml:space="preserve"> et al</w:t>
      </w:r>
      <w:r>
        <w:t>., 2020). Despite the abundance of unstructured data, patterns, trends, and insights can still be discovered. Due to its rising popularity, this approach is increasingly being eliminated from huge organisations in favour of relevant data.</w:t>
      </w:r>
    </w:p>
    <w:p>
      <w:pPr>
        <w:pStyle w:val="style0"/>
        <w:rPr/>
      </w:pPr>
      <w:r>
        <w:rPr>
          <w:b/>
        </w:rPr>
        <w:t>Risk management:</w:t>
      </w:r>
      <w:r>
        <w:t xml:space="preserve"> </w:t>
      </w:r>
      <w:r>
        <w:t xml:space="preserve">Project failure is primarily due to poor risk management. Using text mining-based risk management software, full control over the content of thousands of petabytes of data is achievable (Shah et al., 2021). This system offers the capacity to link data as well as get accurate </w:t>
      </w:r>
      <w:r>
        <w:t>info at the appropriate time.</w:t>
      </w:r>
    </w:p>
    <w:p>
      <w:pPr>
        <w:pStyle w:val="style0"/>
        <w:rPr/>
      </w:pPr>
      <w:r>
        <w:rPr>
          <w:b/>
        </w:rPr>
        <w:t>Cybercrime prevention:</w:t>
      </w:r>
      <w:r>
        <w:t xml:space="preserve"> </w:t>
      </w:r>
      <w:r>
        <w:t xml:space="preserve">Because of the anonymity offered by the internet and the abundance of communication options, criminals </w:t>
      </w:r>
      <w:r>
        <w:t>can</w:t>
      </w:r>
      <w:r>
        <w:t xml:space="preserve"> carry out their crimes online (Brewer et al., 2019). To counteract cybercrime, businesses and law enforcement organisations can use text mining and anti-crime intelligence tools.</w:t>
      </w:r>
    </w:p>
    <w:p>
      <w:pPr>
        <w:pStyle w:val="style0"/>
        <w:rPr/>
      </w:pPr>
      <w:r>
        <w:rPr>
          <w:b/>
        </w:rPr>
        <w:t>Business Intelligence:</w:t>
      </w:r>
      <w:r>
        <w:t xml:space="preserve"> </w:t>
      </w:r>
      <w:r>
        <w:t>Because of this approach, many multinational organisations have their decision-making processes in place. But text mining can assist a business in quickly interpreting petabytes of internal and open-source data (Ain e</w:t>
      </w:r>
      <w:r>
        <w:t>t</w:t>
      </w:r>
      <w:r>
        <w:t xml:space="preserve"> al., 2019). The Intelligence Platform application from Expert.ai can monitor numerous sources and analyse vast amounts of data.</w:t>
      </w:r>
    </w:p>
    <w:bookmarkStart w:id="11" w:name="_Toc109382465"/>
    <w:p>
      <w:pPr>
        <w:pStyle w:val="style2"/>
        <w:rPr/>
      </w:pPr>
      <w:r>
        <w:t>2.6 Advantages and disadvantages of SPSS and Excel</w:t>
      </w:r>
      <w:bookmarkEnd w:id="11"/>
    </w:p>
    <w:bookmarkStart w:id="12" w:name="_Toc109382466"/>
    <w:p>
      <w:pPr>
        <w:pStyle w:val="style3"/>
        <w:rPr/>
      </w:pPr>
      <w:r>
        <w:t>Advantages and disadvantages of SPSS</w:t>
      </w:r>
      <w:bookmarkEnd w:id="12"/>
    </w:p>
    <w:p>
      <w:pPr>
        <w:pStyle w:val="style0"/>
        <w:rPr>
          <w:b/>
        </w:rPr>
      </w:pPr>
      <w:r>
        <w:rPr>
          <w:b/>
        </w:rPr>
        <w:t xml:space="preserve">Advantages </w:t>
      </w:r>
    </w:p>
    <w:p>
      <w:pPr>
        <w:pStyle w:val="style179"/>
        <w:numPr>
          <w:ilvl w:val="0"/>
          <w:numId w:val="5"/>
        </w:numPr>
        <w:rPr/>
      </w:pPr>
      <w:r>
        <w:t>The Social Sciences Statistical Package (SPSS) SPSS is too pricey for students to afford.</w:t>
      </w:r>
    </w:p>
    <w:p>
      <w:pPr>
        <w:pStyle w:val="style179"/>
        <w:numPr>
          <w:ilvl w:val="0"/>
          <w:numId w:val="5"/>
        </w:numPr>
        <w:rPr/>
      </w:pPr>
      <w:r>
        <w:t>The results' interpre</w:t>
      </w:r>
      <w:r>
        <w:t>tation is simple to understand.</w:t>
      </w:r>
    </w:p>
    <w:p>
      <w:pPr>
        <w:pStyle w:val="style179"/>
        <w:numPr>
          <w:ilvl w:val="0"/>
          <w:numId w:val="5"/>
        </w:numPr>
        <w:rPr/>
      </w:pPr>
      <w:r>
        <w:t>A task that needs to be completed fast looks to take a very long time for a simple table of data.</w:t>
      </w:r>
    </w:p>
    <w:p>
      <w:pPr>
        <w:pStyle w:val="style179"/>
        <w:numPr>
          <w:ilvl w:val="0"/>
          <w:numId w:val="5"/>
        </w:numPr>
        <w:rPr/>
      </w:pPr>
      <w:r>
        <w:t>Expandable</w:t>
      </w:r>
    </w:p>
    <w:p>
      <w:pPr>
        <w:pStyle w:val="style0"/>
        <w:rPr>
          <w:b/>
        </w:rPr>
      </w:pPr>
      <w:r>
        <w:rPr>
          <w:b/>
        </w:rPr>
        <w:t xml:space="preserve">Disadvantages </w:t>
      </w:r>
    </w:p>
    <w:p>
      <w:pPr>
        <w:pStyle w:val="style179"/>
        <w:numPr>
          <w:ilvl w:val="0"/>
          <w:numId w:val="6"/>
        </w:numPr>
        <w:rPr/>
      </w:pPr>
      <w:r>
        <w:t>It might not always be extendable.</w:t>
      </w:r>
    </w:p>
    <w:p>
      <w:pPr>
        <w:pStyle w:val="style179"/>
        <w:numPr>
          <w:ilvl w:val="0"/>
          <w:numId w:val="6"/>
        </w:numPr>
        <w:rPr/>
      </w:pPr>
      <w:r>
        <w:t>Various statistical studies with different levels of complexity are available.</w:t>
      </w:r>
    </w:p>
    <w:p>
      <w:pPr>
        <w:pStyle w:val="style179"/>
        <w:numPr>
          <w:ilvl w:val="0"/>
          <w:numId w:val="6"/>
        </w:numPr>
        <w:rPr/>
      </w:pPr>
      <w:r>
        <w:t>You will require more training to use the feature that is now available.</w:t>
      </w:r>
    </w:p>
    <w:p>
      <w:pPr>
        <w:pStyle w:val="style179"/>
        <w:numPr>
          <w:ilvl w:val="0"/>
          <w:numId w:val="6"/>
        </w:numPr>
        <w:rPr/>
      </w:pPr>
      <w:r>
        <w:t>The functionality is more sophisticated here, similar to Excel.</w:t>
      </w:r>
    </w:p>
    <w:bookmarkStart w:id="13" w:name="_Toc109382467"/>
    <w:p>
      <w:pPr>
        <w:pStyle w:val="style3"/>
        <w:rPr/>
      </w:pPr>
      <w:r>
        <w:t xml:space="preserve">Advantages and disadvantages of </w:t>
      </w:r>
      <w:r>
        <w:t>Excel</w:t>
      </w:r>
      <w:bookmarkEnd w:id="13"/>
      <w:r>
        <w:t xml:space="preserve"> </w:t>
      </w:r>
    </w:p>
    <w:p>
      <w:pPr>
        <w:pStyle w:val="style0"/>
        <w:rPr>
          <w:b/>
        </w:rPr>
      </w:pPr>
      <w:r>
        <w:rPr>
          <w:b/>
        </w:rPr>
        <w:t xml:space="preserve">Advantages </w:t>
      </w:r>
    </w:p>
    <w:p>
      <w:pPr>
        <w:pStyle w:val="style179"/>
        <w:numPr>
          <w:ilvl w:val="0"/>
          <w:numId w:val="7"/>
        </w:numPr>
        <w:rPr/>
      </w:pPr>
      <w:r>
        <w:t>The cloud is used to store data.</w:t>
      </w:r>
    </w:p>
    <w:p>
      <w:pPr>
        <w:pStyle w:val="style179"/>
        <w:numPr>
          <w:ilvl w:val="0"/>
          <w:numId w:val="7"/>
        </w:numPr>
        <w:rPr/>
      </w:pPr>
      <w:r>
        <w:t>perform mathematical operations</w:t>
      </w:r>
    </w:p>
    <w:p>
      <w:pPr>
        <w:pStyle w:val="style179"/>
        <w:numPr>
          <w:ilvl w:val="0"/>
          <w:numId w:val="7"/>
        </w:numPr>
        <w:rPr/>
      </w:pPr>
      <w:r>
        <w:t>Analytical techniques are available.</w:t>
      </w:r>
    </w:p>
    <w:p>
      <w:pPr>
        <w:pStyle w:val="style179"/>
        <w:numPr>
          <w:ilvl w:val="0"/>
          <w:numId w:val="7"/>
        </w:numPr>
        <w:rPr/>
      </w:pPr>
      <w:r>
        <w:t>easy to understand</w:t>
      </w:r>
    </w:p>
    <w:p>
      <w:pPr>
        <w:pStyle w:val="style179"/>
        <w:numPr>
          <w:ilvl w:val="0"/>
          <w:numId w:val="7"/>
        </w:numPr>
        <w:rPr/>
      </w:pPr>
      <w:r>
        <w:t>Downloadable templates are available for no cost.</w:t>
      </w:r>
    </w:p>
    <w:p>
      <w:pPr>
        <w:pStyle w:val="style179"/>
        <w:numPr>
          <w:ilvl w:val="0"/>
          <w:numId w:val="7"/>
        </w:numPr>
        <w:rPr/>
      </w:pPr>
      <w:r>
        <w:t>Computerised</w:t>
      </w:r>
      <w:r>
        <w:t xml:space="preserve"> coding.</w:t>
      </w:r>
    </w:p>
    <w:p>
      <w:pPr>
        <w:pStyle w:val="style179"/>
        <w:numPr>
          <w:ilvl w:val="0"/>
          <w:numId w:val="7"/>
        </w:numPr>
        <w:rPr/>
      </w:pPr>
      <w:r>
        <w:t>Data that is free from mistakes and errors</w:t>
      </w:r>
    </w:p>
    <w:p>
      <w:pPr>
        <w:pStyle w:val="style0"/>
        <w:rPr>
          <w:b/>
        </w:rPr>
      </w:pPr>
      <w:r>
        <w:rPr>
          <w:b/>
        </w:rPr>
        <w:t xml:space="preserve">Disadvantages </w:t>
      </w:r>
    </w:p>
    <w:p>
      <w:pPr>
        <w:pStyle w:val="style179"/>
        <w:numPr>
          <w:ilvl w:val="0"/>
          <w:numId w:val="7"/>
        </w:numPr>
        <w:rPr/>
      </w:pPr>
      <w:r>
        <w:t>I</w:t>
      </w:r>
      <w:r>
        <w:t>nsecurity and a lack of self-control</w:t>
      </w:r>
    </w:p>
    <w:p>
      <w:pPr>
        <w:pStyle w:val="style179"/>
        <w:numPr>
          <w:ilvl w:val="0"/>
          <w:numId w:val="7"/>
        </w:numPr>
        <w:rPr/>
      </w:pPr>
      <w:r>
        <w:t>N</w:t>
      </w:r>
      <w:r>
        <w:t>ot immune to errors caused by humans</w:t>
      </w:r>
    </w:p>
    <w:p>
      <w:pPr>
        <w:pStyle w:val="style179"/>
        <w:numPr>
          <w:ilvl w:val="0"/>
          <w:numId w:val="7"/>
        </w:numPr>
        <w:rPr/>
      </w:pPr>
      <w:r>
        <w:t>It is challenging to obtain security.</w:t>
      </w:r>
    </w:p>
    <w:p>
      <w:pPr>
        <w:pStyle w:val="style179"/>
        <w:numPr>
          <w:ilvl w:val="0"/>
          <w:numId w:val="7"/>
        </w:numPr>
        <w:rPr/>
      </w:pPr>
      <w:r>
        <w:t>Practices of agile business that are inappropriate for your organisation</w:t>
      </w:r>
    </w:p>
    <w:p>
      <w:pPr>
        <w:pStyle w:val="style179"/>
        <w:numPr>
          <w:ilvl w:val="0"/>
          <w:numId w:val="7"/>
        </w:numPr>
        <w:rPr/>
      </w:pPr>
      <w:r>
        <w:t>not possible in a short amount of time</w:t>
      </w:r>
    </w:p>
    <w:p>
      <w:pPr>
        <w:pStyle w:val="style179"/>
        <w:numPr>
          <w:ilvl w:val="0"/>
          <w:numId w:val="7"/>
        </w:numPr>
        <w:rPr/>
      </w:pPr>
      <w:r>
        <w:t>Collaboration on projects is not encouraged.</w:t>
      </w:r>
    </w:p>
    <w:p>
      <w:pPr>
        <w:pStyle w:val="style179"/>
        <w:numPr>
          <w:ilvl w:val="0"/>
          <w:numId w:val="7"/>
        </w:numPr>
        <w:rPr/>
      </w:pPr>
      <w:r>
        <w:t>difficult to put to the test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4" w:name="_Toc109382468"/>
    <w:p>
      <w:pPr>
        <w:pStyle w:val="style1"/>
        <w:rPr/>
      </w:pPr>
      <w:r>
        <w:t>Conclusion</w:t>
      </w:r>
      <w:bookmarkEnd w:id="14"/>
      <w:r>
        <w:t xml:space="preserve"> </w:t>
      </w:r>
    </w:p>
    <w:p>
      <w:pPr>
        <w:pStyle w:val="style0"/>
        <w:rPr/>
      </w:pPr>
      <w:r>
        <w:t xml:space="preserve">The aforementioned information leads to the conclusion that Microsoft Excel is very important since it aids businesses in their operations </w:t>
      </w:r>
      <w:r>
        <w:t>methodically and accuratel</w:t>
      </w:r>
      <w:r>
        <w:t>y, which helps the company grow and improve its market worth in the sector in which it works. Although it has certain drawbacks as well, overall, they are vastly outweighed by its benefits.</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bookmarkStart w:id="15" w:name="_Toc109382469"/>
    <w:p>
      <w:pPr>
        <w:pStyle w:val="style1"/>
        <w:rPr/>
      </w:pPr>
      <w:r>
        <w:t>References</w:t>
      </w:r>
      <w:bookmarkEnd w:id="15"/>
      <w:r>
        <w:t xml:space="preserve"> </w:t>
      </w:r>
    </w:p>
    <w:p>
      <w:pPr>
        <w:pStyle w:val="style0"/>
        <w:rPr/>
      </w:pPr>
      <w:r>
        <w:t xml:space="preserve">Ain, N., </w:t>
      </w:r>
      <w:r>
        <w:t>Vaia</w:t>
      </w:r>
      <w:r>
        <w:t xml:space="preserve">, G., </w:t>
      </w:r>
      <w:r>
        <w:t>DeLone</w:t>
      </w:r>
      <w:r>
        <w:t xml:space="preserve">, W H. and </w:t>
      </w:r>
      <w:r>
        <w:t>Waheed</w:t>
      </w:r>
      <w:r>
        <w:t>, M., 2019. Two decades of research on business intelligence system adoption, utilization and success-A systematic literature review. Decision Support Systems, 125</w:t>
      </w:r>
      <w:r>
        <w:t>,p.113U</w:t>
      </w:r>
      <w:r>
        <w:t xml:space="preserve"> 3.</w:t>
      </w:r>
    </w:p>
    <w:p>
      <w:pPr>
        <w:pStyle w:val="style0"/>
        <w:rPr/>
      </w:pPr>
      <w:r>
        <w:t>Antons</w:t>
      </w:r>
      <w:r>
        <w:t xml:space="preserve">, D., </w:t>
      </w:r>
      <w:r>
        <w:t>Grunwald</w:t>
      </w:r>
      <w:r>
        <w:t xml:space="preserve">, E., </w:t>
      </w:r>
      <w:r>
        <w:t>Cichy</w:t>
      </w:r>
      <w:r>
        <w:t xml:space="preserve">, P. and </w:t>
      </w:r>
      <w:r>
        <w:t>Salge</w:t>
      </w:r>
      <w:r>
        <w:t xml:space="preserve">, T.O., 2020. The application of text mining methods in innovation research: current state, evolution patterns, and development </w:t>
      </w:r>
      <w:r>
        <w:t>priorities.R&amp;D</w:t>
      </w:r>
      <w:r>
        <w:t xml:space="preserve"> Management, 50(3), pp.329-351.</w:t>
      </w:r>
    </w:p>
    <w:p>
      <w:pPr>
        <w:pStyle w:val="style0"/>
        <w:rPr/>
      </w:pPr>
      <w:r>
        <w:t xml:space="preserve">Boyles, M., 2019. The Affect and Limitations of Business Intelligence in the Fast-Food Restaurant Industry (Doctoral dissertation, </w:t>
      </w:r>
      <w:r>
        <w:t>Capella</w:t>
      </w:r>
      <w:r>
        <w:t xml:space="preserve"> University).</w:t>
      </w:r>
    </w:p>
    <w:p>
      <w:pPr>
        <w:pStyle w:val="style0"/>
        <w:rPr/>
      </w:pPr>
      <w:r>
        <w:t xml:space="preserve">Brewer, </w:t>
      </w:r>
      <w:r>
        <w:t>R .</w:t>
      </w:r>
      <w:r>
        <w:t xml:space="preserve">, de </w:t>
      </w:r>
      <w:r>
        <w:t>Vel</w:t>
      </w:r>
      <w:r>
        <w:t xml:space="preserve">-Palumbo, M., Hutchings, A ., Holt, T., Goldsmith, A. and </w:t>
      </w:r>
      <w:r>
        <w:t>Maimon</w:t>
      </w:r>
      <w:r>
        <w:t>, D.,</w:t>
      </w:r>
      <w:r>
        <w:t xml:space="preserve"> </w:t>
      </w:r>
      <w:r>
        <w:t>2019. Cybercrime prevention: Theory and applications. Springer Nature.</w:t>
      </w:r>
    </w:p>
    <w:p>
      <w:pPr>
        <w:pStyle w:val="style0"/>
        <w:rPr/>
      </w:pPr>
      <w:r>
        <w:t>Carleo</w:t>
      </w:r>
      <w:r>
        <w:t xml:space="preserve">, G., </w:t>
      </w:r>
      <w:r>
        <w:t>Cirac</w:t>
      </w:r>
      <w:r>
        <w:t xml:space="preserve">, I., Cranmer, K., Daudet, L., </w:t>
      </w:r>
      <w:r>
        <w:t>Schuld</w:t>
      </w:r>
      <w:r>
        <w:t xml:space="preserve">, </w:t>
      </w:r>
      <w:r>
        <w:t>M .</w:t>
      </w:r>
      <w:r>
        <w:t xml:space="preserve">, </w:t>
      </w:r>
      <w:r>
        <w:t>Tis.hby</w:t>
      </w:r>
      <w:r>
        <w:t>, N ., Vogt-</w:t>
      </w:r>
      <w:r>
        <w:t>Maranto</w:t>
      </w:r>
      <w:r>
        <w:t xml:space="preserve">, L. and </w:t>
      </w:r>
      <w:r>
        <w:t>Zdeborova</w:t>
      </w:r>
      <w:r>
        <w:t xml:space="preserve"> , L., 2019. Machine learning and the physical sciences. Reviews of Modem Physics, 91(4), p.045002.</w:t>
      </w:r>
    </w:p>
    <w:p>
      <w:pPr>
        <w:pStyle w:val="style0"/>
        <w:rPr/>
      </w:pPr>
      <w:r>
        <w:t xml:space="preserve">Corrales, D.C., Corrales, J.C. and </w:t>
      </w:r>
      <w:r>
        <w:t>Ledezma</w:t>
      </w:r>
      <w:r>
        <w:t>, A., 2018. How to address the data quality issues in regression models: a guided process for data cleaning. Symmetry, 10(4)</w:t>
      </w:r>
      <w:r>
        <w:t>,p.99</w:t>
      </w:r>
      <w:r>
        <w:t>.</w:t>
      </w:r>
    </w:p>
    <w:p>
      <w:pPr>
        <w:pStyle w:val="style0"/>
        <w:rPr/>
      </w:pPr>
      <w:r>
        <w:t xml:space="preserve">Fatima, A. and </w:t>
      </w:r>
      <w:r>
        <w:t>Linnes</w:t>
      </w:r>
      <w:r>
        <w:t>, C., 2019. The Current Status of Business Intelligence: A Systematic Literature Review.</w:t>
      </w:r>
    </w:p>
    <w:p>
      <w:pPr>
        <w:pStyle w:val="style0"/>
        <w:rPr/>
      </w:pPr>
      <w:r>
        <w:t>Fernández-Manzano</w:t>
      </w:r>
      <w:r>
        <w:t xml:space="preserve">, E. P., </w:t>
      </w:r>
      <w:r>
        <w:t>Neira</w:t>
      </w:r>
      <w:r>
        <w:t xml:space="preserve">, E. and </w:t>
      </w:r>
      <w:r>
        <w:t>Clares-Gavilán</w:t>
      </w:r>
      <w:r>
        <w:t xml:space="preserve">, J., 2016. Data management in </w:t>
      </w:r>
      <w:r>
        <w:t>audiovi</w:t>
      </w:r>
      <w:r>
        <w:t xml:space="preserve">- </w:t>
      </w:r>
      <w:r>
        <w:t>sual</w:t>
      </w:r>
      <w:r>
        <w:t xml:space="preserve"> business: Netflix as a case study. El </w:t>
      </w:r>
      <w:r>
        <w:t>profesional</w:t>
      </w:r>
      <w:r>
        <w:t xml:space="preserve"> de la </w:t>
      </w:r>
      <w:r>
        <w:t>información</w:t>
      </w:r>
      <w:r>
        <w:t xml:space="preserve"> (EPI). 25(4). </w:t>
      </w:r>
      <w:r>
        <w:t>pp.568-576</w:t>
      </w:r>
      <w:r>
        <w:t>.</w:t>
      </w:r>
    </w:p>
    <w:p>
      <w:pPr>
        <w:pStyle w:val="style0"/>
        <w:rPr/>
      </w:pPr>
      <w:r>
        <w:t>Gola</w:t>
      </w:r>
      <w:r>
        <w:t xml:space="preserve">, J., </w:t>
      </w:r>
      <w:r>
        <w:t>Britz</w:t>
      </w:r>
      <w:r>
        <w:t xml:space="preserve">, D., </w:t>
      </w:r>
      <w:r>
        <w:t>Staudt</w:t>
      </w:r>
      <w:r>
        <w:t xml:space="preserve">, T., </w:t>
      </w:r>
      <w:r>
        <w:t>Winter</w:t>
      </w:r>
      <w:r>
        <w:t xml:space="preserve">, M., Schneider, A.S., </w:t>
      </w:r>
      <w:r>
        <w:t>Ludovici</w:t>
      </w:r>
      <w:r>
        <w:t xml:space="preserve">, M. and </w:t>
      </w:r>
      <w:r>
        <w:t>Miicklich</w:t>
      </w:r>
      <w:r>
        <w:t xml:space="preserve">, F., 2018. Advanced microstructure classification by data mining methods. Computational Materials </w:t>
      </w:r>
      <w:r>
        <w:t>Science ,</w:t>
      </w:r>
      <w:r>
        <w:t xml:space="preserve"> 148,pp-324-335.</w:t>
      </w:r>
    </w:p>
    <w:p>
      <w:pPr>
        <w:pStyle w:val="style0"/>
        <w:rPr/>
      </w:pPr>
      <w:r>
        <w:t xml:space="preserve">Kumar, A., 2018. Implementation of core Business Intelligence System using modern IT Development Practices (Agile &amp; </w:t>
      </w:r>
      <w:r>
        <w:t>DevOps</w:t>
      </w:r>
      <w:r>
        <w:t>). International Journal of Management, IT and Engineering. 8(9). Pp.444-464.</w:t>
      </w:r>
    </w:p>
    <w:p>
      <w:pPr>
        <w:pStyle w:val="style0"/>
        <w:rPr/>
      </w:pPr>
      <w:r>
        <w:t xml:space="preserve">L.G. and </w:t>
      </w:r>
      <w:r>
        <w:t>Bobescu</w:t>
      </w:r>
      <w:r>
        <w:t>, E., 2021. Risk management strategies and therapeutic modalities to tackle COVID-19/SARS-CoV-2. Journal of Infection and Public Health, 14</w:t>
      </w:r>
      <w:r>
        <w:t>( 3</w:t>
      </w:r>
      <w:r>
        <w:t>), pp.331-346.</w:t>
      </w:r>
    </w:p>
    <w:p>
      <w:pPr>
        <w:pStyle w:val="style0"/>
        <w:rPr/>
      </w:pPr>
      <w:r>
        <w:t>Moyo</w:t>
      </w:r>
      <w:r>
        <w:t xml:space="preserve">, M. and </w:t>
      </w:r>
      <w:r>
        <w:t>Loock</w:t>
      </w:r>
      <w:r>
        <w:t>, M., 2018, August. Small and Medium-Sized Enterprises’ Understanding of Security Evaluation of Cloud-Based Business Intelligence Systems and Its Challenges. In International Information Security Conference (pp. 133-148). Springer, Cham.</w:t>
      </w:r>
    </w:p>
    <w:p>
      <w:pPr>
        <w:pStyle w:val="style0"/>
        <w:rPr>
          <w:i/>
          <w:sz w:val="22"/>
        </w:rPr>
      </w:pPr>
      <w:r>
        <w:t>Mumtaz</w:t>
      </w:r>
      <w:r>
        <w:t xml:space="preserve">, I. and Ashraf, A., 2017. A SURVEY-BASED RESEARCH FOR BUSINESS INTELLIGENCE INTEGRATION WITH KNOWLEDGE MANAGEMENT. Science International. 29(2). </w:t>
      </w:r>
      <w:r>
        <w:t>pp.351-351</w:t>
      </w:r>
      <w:r>
        <w:t>.</w:t>
      </w:r>
    </w:p>
    <w:p>
      <w:pPr>
        <w:pStyle w:val="style0"/>
        <w:rPr/>
      </w:pPr>
      <w:r>
        <w:t xml:space="preserve">Rani, S. and </w:t>
      </w:r>
      <w:r>
        <w:t>Kautish</w:t>
      </w:r>
      <w:r>
        <w:t>, S., 2018, June. Association clustering and time series-based data mining in continuous data for diabetes prediction. In 2018 second international conference on intelligent computing and control systems (ICICCS) (pp. 1209-1214). IEEE.</w:t>
      </w:r>
    </w:p>
    <w:p>
      <w:pPr>
        <w:pStyle w:val="style0"/>
        <w:rPr/>
      </w:pPr>
      <w:r>
        <w:t xml:space="preserve">Shah, </w:t>
      </w:r>
      <w:r>
        <w:t>SM.A.,</w:t>
      </w:r>
      <w:r>
        <w:t xml:space="preserve"> Rasheed ,T.,</w:t>
      </w:r>
      <w:r>
        <w:t>Rizwan</w:t>
      </w:r>
      <w:r>
        <w:t xml:space="preserve">, K., </w:t>
      </w:r>
      <w:r>
        <w:t>Bilal,M</w:t>
      </w:r>
      <w:r>
        <w:t>., Iqbal, HM.,</w:t>
      </w:r>
      <w:r>
        <w:t>Rasool</w:t>
      </w:r>
      <w:r>
        <w:t>, N.,</w:t>
      </w:r>
      <w:r>
        <w:t>Toma</w:t>
      </w:r>
      <w:r>
        <w:t xml:space="preserve">, S., </w:t>
      </w:r>
      <w:r>
        <w:t>Marceanu</w:t>
      </w:r>
      <w:r>
        <w:t>,</w:t>
      </w:r>
    </w:p>
    <w:p>
      <w:pPr>
        <w:pStyle w:val="style0"/>
        <w:rPr/>
      </w:pPr>
      <w:r>
        <w:t>Venkatesh</w:t>
      </w:r>
      <w:r>
        <w:t xml:space="preserve">, R., Mittal, V. and </w:t>
      </w:r>
      <w:r>
        <w:t>Tammana</w:t>
      </w:r>
      <w:r>
        <w:t>, H., 2021, June. Indoor Localization in BLE Using Mean and Median Filtered RSSI Values. In 2021 5th international Conference on Trends in Electronics and Informatics (JCOEI) (pp. 227-234). IEEE.</w:t>
      </w:r>
    </w:p>
    <w:p>
      <w:pPr>
        <w:pStyle w:val="style0"/>
        <w:rPr/>
      </w:pPr>
    </w:p>
    <w:sectPr>
      <w:footerReference w:type="default" r:id="rId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Vrinda">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D54A79A"/>
    <w:lvl w:ilvl="0" w:tplc="B8D0A3A8">
      <w:start w:val="1"/>
      <w:numFmt w:val="bullet"/>
      <w:lvlText w:val="•"/>
      <w:lvlJc w:val="left"/>
      <w:pPr>
        <w:ind w:left="720" w:hanging="360"/>
      </w:pPr>
      <w:rPr>
        <w:rFonts w:ascii="Times New Roman" w:cs="Times New Roman" w:eastAsia="Times New Roman" w:hAnsi="Times New Roman"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4706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4C8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304C5A86"/>
    <w:lvl w:ilvl="0" w:tplc="B8D0A3A8">
      <w:start w:val="1"/>
      <w:numFmt w:val="bullet"/>
      <w:lvlText w:val="•"/>
      <w:lvlJc w:val="left"/>
      <w:pPr>
        <w:ind w:left="720" w:hanging="360"/>
      </w:pPr>
      <w:rPr>
        <w:rFonts w:ascii="Times New Roman" w:cs="Times New Roman" w:eastAsia="Times New Roman" w:hAnsi="Times New Roman"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A2EA5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A6221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A2B44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 w:numId="6">
    <w:abstractNumId w:val="5"/>
  </w:num>
  <w:num w:numId="7">
    <w:abstractNumId w:val="6"/>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Vrinda" w:eastAsia="Times New Roman" w:hAnsi="Calibri"/>
        <w:sz w:val="22"/>
        <w:szCs w:val="22"/>
        <w:lang w:val="en-US" w:bidi="ar-SA" w:eastAsia="en-US"/>
      </w:rPr>
    </w:rPrDefault>
    <w:pPrDefault>
      <w:pPr>
        <w:spacing w:after="160" w:lineRule="auto" w:line="259"/>
      </w:pPr>
    </w:pPrDefault>
  </w:docDefaults>
  <w:style w:type="paragraph" w:default="1" w:styleId="style0">
    <w:name w:val="Normal"/>
    <w:next w:val="style0"/>
    <w:qFormat/>
    <w:uiPriority w:val="1"/>
    <w:pPr>
      <w:widowControl w:val="false"/>
      <w:autoSpaceDE w:val="false"/>
      <w:autoSpaceDN w:val="false"/>
      <w:spacing w:after="0" w:lineRule="auto" w:line="360"/>
      <w:jc w:val="both"/>
    </w:pPr>
    <w:rPr>
      <w:rFonts w:ascii="Times New Roman" w:cs="Times New Roman" w:hAnsi="Times New Roman"/>
      <w:sz w:val="24"/>
      <w:lang w:val="en-GB"/>
    </w:rPr>
  </w:style>
  <w:style w:type="paragraph" w:styleId="style1">
    <w:name w:val="heading 1"/>
    <w:basedOn w:val="style0"/>
    <w:next w:val="style0"/>
    <w:link w:val="style4097"/>
    <w:qFormat/>
    <w:uiPriority w:val="9"/>
    <w:pPr>
      <w:keepNext/>
      <w:keepLines/>
      <w:spacing w:before="240"/>
      <w:outlineLvl w:val="0"/>
    </w:pPr>
    <w:rPr>
      <w:rFonts w:cs="Vrinda" w:eastAsia="宋体"/>
      <w:b/>
      <w:sz w:val="32"/>
      <w:szCs w:val="32"/>
    </w:rPr>
  </w:style>
  <w:style w:type="paragraph" w:styleId="style2">
    <w:name w:val="heading 2"/>
    <w:basedOn w:val="style0"/>
    <w:next w:val="style0"/>
    <w:link w:val="style4098"/>
    <w:qFormat/>
    <w:uiPriority w:val="9"/>
    <w:pPr>
      <w:keepNext/>
      <w:keepLines/>
      <w:spacing w:before="40"/>
      <w:outlineLvl w:val="1"/>
    </w:pPr>
    <w:rPr>
      <w:rFonts w:cs="Vrinda" w:eastAsia="宋体"/>
      <w:b/>
      <w:sz w:val="28"/>
      <w:szCs w:val="26"/>
    </w:rPr>
  </w:style>
  <w:style w:type="paragraph" w:styleId="style3">
    <w:name w:val="heading 3"/>
    <w:basedOn w:val="style0"/>
    <w:next w:val="style0"/>
    <w:link w:val="style4100"/>
    <w:qFormat/>
    <w:uiPriority w:val="9"/>
    <w:pPr>
      <w:keepNext/>
      <w:keepLines/>
      <w:spacing w:before="40"/>
      <w:outlineLvl w:val="2"/>
    </w:pPr>
    <w:rPr>
      <w:rFonts w:cs="Vrinda" w:eastAsia="宋体"/>
      <w:b/>
      <w:szCs w:val="24"/>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074fd0d-408f-4081-9bae-daf3e362b9f4"/>
    <w:basedOn w:val="style65"/>
    <w:next w:val="style4097"/>
    <w:link w:val="style1"/>
    <w:uiPriority w:val="9"/>
    <w:rPr>
      <w:rFonts w:ascii="Times New Roman" w:cs="Vrinda" w:eastAsia="宋体" w:hAnsi="Times New Roman"/>
      <w:b/>
      <w:sz w:val="32"/>
      <w:szCs w:val="32"/>
      <w:lang w:val="en-GB"/>
    </w:rPr>
  </w:style>
  <w:style w:type="character" w:customStyle="1" w:styleId="style4098">
    <w:name w:val="Heading 2 Char_60e171a0-c1fd-4f18-84c1-930e7f6b9f89"/>
    <w:basedOn w:val="style65"/>
    <w:next w:val="style4098"/>
    <w:link w:val="style2"/>
    <w:uiPriority w:val="9"/>
    <w:rPr>
      <w:rFonts w:ascii="Times New Roman" w:cs="Vrinda" w:eastAsia="宋体" w:hAnsi="Times New Roman"/>
      <w:b/>
      <w:sz w:val="28"/>
      <w:szCs w:val="26"/>
      <w:lang w:val="en-GB"/>
    </w:rPr>
  </w:style>
  <w:style w:type="paragraph" w:styleId="style62">
    <w:name w:val="Title"/>
    <w:basedOn w:val="style0"/>
    <w:next w:val="style0"/>
    <w:link w:val="style4099"/>
    <w:qFormat/>
    <w:uiPriority w:val="10"/>
    <w:pPr>
      <w:jc w:val="center"/>
      <w:contextualSpacing/>
    </w:pPr>
    <w:rPr>
      <w:rFonts w:cs="Vrinda" w:eastAsia="宋体"/>
      <w:b/>
      <w:spacing w:val="-10"/>
      <w:kern w:val="28"/>
      <w:sz w:val="48"/>
      <w:szCs w:val="56"/>
    </w:rPr>
  </w:style>
  <w:style w:type="character" w:customStyle="1" w:styleId="style4099">
    <w:name w:val="Title Char_5d296c8f-9862-4dfe-bbe2-81dccd0914a0"/>
    <w:basedOn w:val="style65"/>
    <w:next w:val="style4099"/>
    <w:link w:val="style62"/>
    <w:uiPriority w:val="10"/>
    <w:rPr>
      <w:rFonts w:ascii="Times New Roman" w:cs="Vrinda" w:eastAsia="宋体" w:hAnsi="Times New Roman"/>
      <w:b/>
      <w:spacing w:val="-10"/>
      <w:kern w:val="28"/>
      <w:sz w:val="48"/>
      <w:szCs w:val="56"/>
      <w:lang w:val="en-GB"/>
    </w:rPr>
  </w:style>
  <w:style w:type="character" w:customStyle="1" w:styleId="style4100">
    <w:name w:val="Heading 3 Char_3ff719f9-5049-462b-ba7b-1b0f823ff644"/>
    <w:basedOn w:val="style65"/>
    <w:next w:val="style4100"/>
    <w:link w:val="style3"/>
    <w:uiPriority w:val="9"/>
    <w:rPr>
      <w:rFonts w:ascii="Times New Roman" w:cs="Vrinda" w:eastAsia="宋体" w:hAnsi="Times New Roman"/>
      <w:b/>
      <w:sz w:val="24"/>
      <w:szCs w:val="24"/>
      <w:lang w:val="en-GB"/>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Rule="auto" w:line="240"/>
    </w:pPr>
    <w:rPr>
      <w:rFonts w:eastAsia="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 w:type="paragraph" w:customStyle="1" w:styleId="style4101">
    <w:name w:val="Table Paragraph"/>
    <w:basedOn w:val="style0"/>
    <w:next w:val="style4101"/>
    <w:qFormat/>
    <w:uiPriority w:val="1"/>
    <w:pPr>
      <w:spacing w:lineRule="auto" w:line="240"/>
      <w:ind w:left="82"/>
      <w:jc w:val="left"/>
    </w:pPr>
    <w:rPr>
      <w:rFonts w:ascii="Liberation Serif" w:cs="Liberation Serif" w:eastAsia="Liberation Serif" w:hAnsi="Liberation Serif"/>
      <w:sz w:val="22"/>
      <w:lang w:val="en-US"/>
    </w:rPr>
  </w:style>
  <w:style w:type="paragraph" w:styleId="style66">
    <w:name w:val="Body Text"/>
    <w:basedOn w:val="style0"/>
    <w:next w:val="style66"/>
    <w:link w:val="style4102"/>
    <w:qFormat/>
    <w:uiPriority w:val="1"/>
    <w:pPr>
      <w:autoSpaceDE/>
      <w:autoSpaceDN/>
      <w:spacing w:lineRule="auto" w:line="240"/>
      <w:ind w:left="108"/>
      <w:jc w:val="left"/>
    </w:pPr>
    <w:rPr>
      <w:rFonts w:cs="Vrinda"/>
      <w:sz w:val="22"/>
      <w:lang w:val="en-US"/>
    </w:rPr>
  </w:style>
  <w:style w:type="character" w:customStyle="1" w:styleId="style4102">
    <w:name w:val="Body Text Char"/>
    <w:basedOn w:val="style65"/>
    <w:next w:val="style4102"/>
    <w:link w:val="style66"/>
    <w:uiPriority w:val="1"/>
    <w:rPr>
      <w:rFonts w:ascii="Times New Roman" w:hAnsi="Times New Roman"/>
    </w:rPr>
  </w:style>
  <w:style w:type="paragraph" w:styleId="style31">
    <w:name w:val="header"/>
    <w:basedOn w:val="style0"/>
    <w:next w:val="style31"/>
    <w:link w:val="style4103"/>
    <w:uiPriority w:val="99"/>
    <w:pPr>
      <w:tabs>
        <w:tab w:val="center" w:leader="none" w:pos="4513"/>
        <w:tab w:val="right" w:leader="none" w:pos="9026"/>
      </w:tabs>
      <w:spacing w:lineRule="auto" w:line="240"/>
    </w:pPr>
    <w:rPr/>
  </w:style>
  <w:style w:type="character" w:customStyle="1" w:styleId="style4103">
    <w:name w:val="Header Char_e01221a7-6d02-4b64-86a8-25e60ca0c473"/>
    <w:basedOn w:val="style65"/>
    <w:next w:val="style4103"/>
    <w:link w:val="style31"/>
    <w:uiPriority w:val="99"/>
    <w:rPr>
      <w:rFonts w:ascii="Times New Roman" w:cs="Times New Roman" w:hAnsi="Times New Roman"/>
      <w:sz w:val="24"/>
      <w:lang w:val="en-GB"/>
    </w:rPr>
  </w:style>
  <w:style w:type="paragraph" w:styleId="style32">
    <w:name w:val="footer"/>
    <w:basedOn w:val="style0"/>
    <w:next w:val="style32"/>
    <w:link w:val="style4104"/>
    <w:uiPriority w:val="99"/>
    <w:pPr>
      <w:tabs>
        <w:tab w:val="center" w:leader="none" w:pos="4513"/>
        <w:tab w:val="right" w:leader="none" w:pos="9026"/>
      </w:tabs>
      <w:spacing w:lineRule="auto" w:line="240"/>
    </w:pPr>
    <w:rPr/>
  </w:style>
  <w:style w:type="character" w:customStyle="1" w:styleId="style4104">
    <w:name w:val="Footer Char_1e628430-c348-4146-b5ef-8a43d14fa528"/>
    <w:basedOn w:val="style65"/>
    <w:next w:val="style4104"/>
    <w:link w:val="style32"/>
    <w:uiPriority w:val="99"/>
    <w:rPr>
      <w:rFonts w:ascii="Times New Roman" w:cs="Times New Roman" w:hAnsi="Times New Roman"/>
      <w:sz w:val="24"/>
      <w:lang w:val="en-GB"/>
    </w:rPr>
  </w:style>
  <w:style w:type="table" w:customStyle="1" w:styleId="style4105">
    <w:name w:val="Grid Table 4 Accent 6"/>
    <w:basedOn w:val="style105"/>
    <w:next w:val="style4105"/>
    <w:uiPriority w:val="49"/>
    <w:pPr>
      <w:spacing w:after="0" w:lineRule="auto" w:line="240"/>
    </w:pPr>
    <w:rPr/>
    <w:tblPr>
      <w:tblStyleRowBandSize w:val="1"/>
      <w:tblStyleColBandSize w:val="1"/>
      <w:tblInd w:w="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CellMar>
        <w:top w:w="0" w:type="dxa"/>
        <w:left w:w="108" w:type="dxa"/>
        <w:bottom w:w="0" w:type="dxa"/>
        <w:right w:w="108" w:type="dxa"/>
      </w:tblCellMar>
    </w:tblPr>
    <w:tblStylePr w:type="firstRow">
      <w:pPr/>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pPr/>
      <w:rPr>
        <w:b/>
        <w:bCs/>
      </w:rPr>
      <w:tblPr/>
      <w:tcPr>
        <w:tcBorders>
          <w:top w:val="double" w:sz="4" w:space="0" w:color="70ad47"/>
        </w:tcBorders>
      </w:tcPr>
    </w:tblStylePr>
    <w:tblStylePr w:type="band1Horz">
      <w:pPr/>
      <w:tblPr/>
      <w:tcPr>
        <w:tcBorders/>
        <w:shd w:val="clear" w:color="auto" w:fill="e2efd9"/>
      </w:tcPr>
    </w:tblStylePr>
    <w:tblStylePr w:type="firstCol">
      <w:pPr/>
      <w:rPr>
        <w:b/>
        <w:bCs/>
      </w:rPr>
      <w:tcPr>
        <w:tcBorders/>
      </w:tcPr>
    </w:tblStylePr>
    <w:tblStylePr w:type="lastCol">
      <w:pPr/>
      <w:rPr>
        <w:b/>
        <w:bCs/>
      </w:rPr>
      <w:tcPr>
        <w:tcBorders/>
      </w:tcPr>
    </w:tblStylePr>
    <w:tblStylePr w:type="band1Vert">
      <w:pPr/>
      <w:tblPr/>
      <w:tcPr>
        <w:tcBorders/>
        <w:shd w:val="clear" w:color="auto" w:fill="e2efd9"/>
      </w:tcPr>
    </w:tblStylePr>
    <w:tcPr>
      <w:tcBorders/>
    </w:tcPr>
  </w:style>
  <w:style w:type="paragraph" w:styleId="style266">
    <w:name w:val="TOC Heading"/>
    <w:basedOn w:val="style1"/>
    <w:next w:val="style0"/>
    <w:qFormat/>
    <w:uiPriority w:val="39"/>
    <w:pPr>
      <w:widowControl/>
      <w:autoSpaceDE/>
      <w:autoSpaceDN/>
      <w:spacing w:lineRule="auto" w:line="259"/>
      <w:jc w:val="left"/>
      <w:outlineLvl w:val="9"/>
    </w:pPr>
    <w:rPr>
      <w:rFonts w:ascii="Calibri Light" w:hAnsi="Calibri Light"/>
      <w:b w:val="false"/>
      <w:color w:val="2e74b5"/>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chart" Target="charts/chart1.xml"/><Relationship Id="rId4" Type="http://schemas.openxmlformats.org/officeDocument/2006/relationships/chart" Target="charts/chart2.xml"/><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chart" Target="charts/chart3.xml"/><Relationship Id="rId6" Type="http://schemas.openxmlformats.org/officeDocument/2006/relationships/chart" Target="charts/chart4.xml"/><Relationship Id="rId7" Type="http://schemas.openxmlformats.org/officeDocument/2006/relationships/image" Target="media/image2.png"/><Relationship Id="rId8" Type="http://schemas.openxmlformats.org/officeDocument/2006/relationships/oleObject" Target="embeddings/oleObject1.bin"/></Relationships>
</file>

<file path=word/charts/_rels/chart1.xml.rels><?xml version="1.0" encoding="UTF-8"?>
<Relationships xmlns="http://schemas.openxmlformats.org/package/2006/relationships"><Relationship Id="rId1" Type="http://schemas.openxmlformats.org/officeDocument/2006/relationships/oleObject" TargetMode="External" Target="Book1"/><Relationship Id="rId2" Type="http://schemas.microsoft.com/office/2011/relationships/chartStyle" Target="style2.xml"/><Relationship Id="rId3" Type="http://schemas.microsoft.com/office/2011/relationships/chartColorStyle" Target="colors2.xml"/></Relationships>
</file>

<file path=word/charts/_rels/chart2.xml.rels><?xml version="1.0" encoding="UTF-8"?>
<Relationships xmlns="http://schemas.openxmlformats.org/package/2006/relationships"><Relationship Id="rId1" Type="http://schemas.openxmlformats.org/officeDocument/2006/relationships/oleObject" TargetMode="External" Target="Book1"/><Relationship Id="rId2" Type="http://schemas.microsoft.com/office/2011/relationships/chartStyle" Target="style1.xml"/><Relationship Id="rId3" Type="http://schemas.microsoft.com/office/2011/relationships/chartColorStyle" Target="colors1.xml"/></Relationships>
</file>

<file path=word/charts/_rels/chart3.xml.rels><?xml version="1.0" encoding="UTF-8"?>
<Relationships xmlns="http://schemas.openxmlformats.org/package/2006/relationships"><Relationship Id="rId1" Type="http://schemas.openxmlformats.org/officeDocument/2006/relationships/oleObject" TargetMode="External" Target="Book1"/><Relationship Id="rId2" Type="http://schemas.microsoft.com/office/2011/relationships/chartStyle" Target="style4.xml"/><Relationship Id="rId3" Type="http://schemas.microsoft.com/office/2011/relationships/chartColorStyle" Target="colors4.xml"/></Relationships>
</file>

<file path=word/charts/_rels/chart4.xml.rels><?xml version="1.0" encoding="UTF-8"?>
<Relationships xmlns="http://schemas.openxmlformats.org/package/2006/relationships"><Relationship Id="rId1" Type="http://schemas.openxmlformats.org/officeDocument/2006/relationships/oleObject" TargetMode="External" Target="file:/G:/2021/August/Daniel%20lupu/Data%20Intellignece/Book1.xlsx"/><Relationship Id="rId2" Type="http://schemas.microsoft.com/office/2011/relationships/chartStyle" Target="style3.xml"/><Relationship Id="rId3" Type="http://schemas.microsoft.com/office/2011/relationships/chartColorStyle" Target="colors3.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Sheet2!$E$16</c:f>
              <c:strCache>
                <c:ptCount val="1"/>
                <c:pt idx="0">
                  <c:v>Sum of order Quantity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Sheet2!$D$17:$D$21</c:f>
              <c:strCache>
                <c:ptCount val="5"/>
                <c:pt idx="0">
                  <c:v>2009</c:v>
                </c:pt>
                <c:pt idx="1">
                  <c:v>20 10</c:v>
                </c:pt>
                <c:pt idx="2">
                  <c:v>20 11</c:v>
                </c:pt>
                <c:pt idx="3">
                  <c:v>20 12</c:v>
                </c:pt>
                <c:pt idx="4">
                  <c:v>Grand Total</c:v>
                </c:pt>
              </c:strCache>
            </c:strRef>
          </c:cat>
          <c:val>
            <c:numRef>
              <c:f>Sheet2!$E$17:$E$21</c:f>
              <c:numCache>
                <c:formatCode>General</c:formatCode>
                <c:ptCount val="5"/>
                <c:pt idx="0">
                  <c:v>54508.0</c:v>
                </c:pt>
                <c:pt idx="1">
                  <c:v>54379.0</c:v>
                </c:pt>
                <c:pt idx="2">
                  <c:v>51413.0</c:v>
                </c:pt>
                <c:pt idx="3">
                  <c:v>54480.0</c:v>
                </c:pt>
                <c:pt idx="4">
                  <c:v>214780.0</c:v>
                </c:pt>
              </c:numCache>
            </c:numRef>
          </c:val>
        </c:ser>
        <c:ser>
          <c:idx val="1"/>
          <c:order val="1"/>
          <c:tx>
            <c:strRef>
              <c:f>Sheet2!$F$16</c:f>
              <c:strCache>
                <c:ptCount val="1"/>
                <c:pt idx="0">
                  <c:v>Sum   of   Unit Price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Sheet2!$D$17:$D$21</c:f>
              <c:strCache>
                <c:ptCount val="5"/>
                <c:pt idx="0">
                  <c:v>2009</c:v>
                </c:pt>
                <c:pt idx="1">
                  <c:v>20 10</c:v>
                </c:pt>
                <c:pt idx="2">
                  <c:v>20 11</c:v>
                </c:pt>
                <c:pt idx="3">
                  <c:v>20 12</c:v>
                </c:pt>
                <c:pt idx="4">
                  <c:v>Grand Total</c:v>
                </c:pt>
              </c:strCache>
            </c:strRef>
          </c:cat>
          <c:val>
            <c:numRef>
              <c:f>Sheet2!$F$17:$F$21</c:f>
              <c:numCache>
                <c:formatCode>General</c:formatCode>
                <c:ptCount val="5"/>
                <c:pt idx="0">
                  <c:v>232830.98</c:v>
                </c:pt>
                <c:pt idx="1">
                  <c:v>162467.59</c:v>
                </c:pt>
                <c:pt idx="2">
                  <c:v>159653.11</c:v>
                </c:pt>
                <c:pt idx="3">
                  <c:v>195467.55</c:v>
                </c:pt>
                <c:pt idx="4">
                  <c:v>750419.23</c:v>
                </c:pt>
              </c:numCache>
            </c:numRef>
          </c:val>
        </c:ser>
        <c:dLbls>
          <c:dLblPos val="outEnd"/>
          <c:showLegendKey val="0"/>
          <c:showVal val="1"/>
          <c:showCatName val="0"/>
          <c:showSerName val="0"/>
          <c:showPercent val="0"/>
          <c:showBubbleSize val="0"/>
        </c:dLbls>
        <c:gapWidth val="100"/>
        <c:overlap val="-24"/>
        <c:axId val="400579784"/>
        <c:axId val="400581352"/>
      </c:barChart>
      <c:catAx>
        <c:axId val="40057978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0581352"/>
        <c:crosses val="autoZero"/>
        <c:auto val="1"/>
        <c:lblAlgn val="ctr"/>
        <c:lblOffset val="100"/>
        <c:noMultiLvlLbl val="0"/>
      </c:catAx>
      <c:valAx>
        <c:axId val="4005813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0579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Sum  of Discount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Sheet2!$D$26</c:f>
              <c:strCache>
                <c:ptCount val="1"/>
                <c:pt idx="0">
                  <c:v>Sum  of Discount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Sheet2!$C$27:$C$30</c:f>
              <c:strCache>
                <c:ptCount val="4"/>
                <c:pt idx="0">
                  <c:v>2009</c:v>
                </c:pt>
                <c:pt idx="1">
                  <c:v>20 10</c:v>
                </c:pt>
                <c:pt idx="2">
                  <c:v>20 11</c:v>
                </c:pt>
                <c:pt idx="3">
                  <c:v>20 12</c:v>
                </c:pt>
              </c:strCache>
            </c:strRef>
          </c:cat>
          <c:val>
            <c:numRef>
              <c:f>Sheet2!$D$27:$D$30</c:f>
              <c:numCache>
                <c:formatCode>General</c:formatCode>
                <c:ptCount val="4"/>
                <c:pt idx="0">
                  <c:v>105.39</c:v>
                </c:pt>
                <c:pt idx="1">
                  <c:v>105.81</c:v>
                </c:pt>
                <c:pt idx="2">
                  <c:v>101.67</c:v>
                </c:pt>
                <c:pt idx="3">
                  <c:v>104.32</c:v>
                </c:pt>
              </c:numCache>
            </c:numRef>
          </c:val>
        </c:ser>
        <c:dLbls>
          <c:dLblPos val="inEnd"/>
          <c:showLegendKey val="0"/>
          <c:showVal val="1"/>
          <c:showCatName val="0"/>
          <c:showSerName val="0"/>
          <c:showPercent val="0"/>
          <c:showBubbleSize val="0"/>
        </c:dLbls>
        <c:gapWidth val="267"/>
        <c:overlap val="-43"/>
        <c:axId val="400579000"/>
        <c:axId val="400575472"/>
      </c:barChart>
      <c:catAx>
        <c:axId val="40057900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00575472"/>
        <c:crosses val="autoZero"/>
        <c:auto val="1"/>
        <c:lblAlgn val="ctr"/>
        <c:lblOffset val="100"/>
        <c:noMultiLvlLbl val="0"/>
      </c:catAx>
      <c:valAx>
        <c:axId val="40057547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0057900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atin typeface="Times New Roman" panose="02020603050405020304" pitchFamily="18" charset="0"/>
                <a:cs typeface="Times New Roman" panose="02020603050405020304" pitchFamily="18" charset="0"/>
              </a:rPr>
              <a:t>Sum   of   Unit Price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Sheet2!$O$44</c:f>
              <c:strCache>
                <c:ptCount val="1"/>
                <c:pt idx="0">
                  <c:v>Sum   of   Unit Price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Sheet2!$N$45:$N$48</c:f>
              <c:strCache>
                <c:ptCount val="4"/>
                <c:pt idx="0">
                  <c:v>2009</c:v>
                </c:pt>
                <c:pt idx="1">
                  <c:v>20 10</c:v>
                </c:pt>
                <c:pt idx="2">
                  <c:v>20 11</c:v>
                </c:pt>
                <c:pt idx="3">
                  <c:v>20 12</c:v>
                </c:pt>
              </c:strCache>
            </c:strRef>
          </c:cat>
          <c:val>
            <c:numRef>
              <c:f>Sheet2!$O$45:$O$48</c:f>
              <c:numCache>
                <c:formatCode>General</c:formatCode>
                <c:ptCount val="4"/>
                <c:pt idx="0">
                  <c:v>232830.98</c:v>
                </c:pt>
                <c:pt idx="1">
                  <c:v>162467.59</c:v>
                </c:pt>
                <c:pt idx="2">
                  <c:v>159653.11</c:v>
                </c:pt>
                <c:pt idx="3">
                  <c:v>195467.55</c:v>
                </c:pt>
              </c:numCache>
            </c:numRef>
          </c:val>
        </c:ser>
        <c:dLbls>
          <c:dLblPos val="inEnd"/>
          <c:showLegendKey val="0"/>
          <c:showVal val="1"/>
          <c:showCatName val="0"/>
          <c:showSerName val="0"/>
          <c:showPercent val="0"/>
          <c:showBubbleSize val="0"/>
        </c:dLbls>
        <c:gapWidth val="247"/>
        <c:axId val="400577040"/>
        <c:axId val="400580960"/>
      </c:barChart>
      <c:catAx>
        <c:axId val="40057704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00580960"/>
        <c:crosses val="autoZero"/>
        <c:auto val="1"/>
        <c:lblAlgn val="ctr"/>
        <c:lblOffset val="100"/>
        <c:noMultiLvlLbl val="0"/>
      </c:catAx>
      <c:valAx>
        <c:axId val="4005809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0057704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 of  Shipping Cost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Sheet2!$V$44</c:f>
              <c:strCache>
                <c:ptCount val="1"/>
                <c:pt idx="0">
                  <c:v>Sum of  Shipping Cost</c:v>
                </c:pt>
              </c:strCache>
            </c:strRef>
          </c:tx>
          <c:spPr>
            <a:solidFill>
              <a:schemeClr val="accent1"/>
            </a:solidFill>
            <a:ln>
              <a:noFill/>
            </a:ln>
            <a:effectLst/>
            <a:scene3d>
              <a:camera prst="orthographicFront"/>
              <a:lightRig dir="t" rig="brightRoom"/>
            </a:scene3d>
            <a:sp3d prstMaterial="flat">
              <a:bevelT w="50800" h="101600" prst="angle"/>
              <a:contourClr>
                <a:srgbClr val="000000"/>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Sheet2!$U$45:$U$48</c:f>
              <c:strCache>
                <c:ptCount val="4"/>
                <c:pt idx="0">
                  <c:v>2009</c:v>
                </c:pt>
                <c:pt idx="1">
                  <c:v>20 10</c:v>
                </c:pt>
                <c:pt idx="2">
                  <c:v>20 11</c:v>
                </c:pt>
                <c:pt idx="3">
                  <c:v>20 12</c:v>
                </c:pt>
              </c:strCache>
            </c:strRef>
          </c:cat>
          <c:val>
            <c:numRef>
              <c:f>Sheet2!$V$45:$V$48</c:f>
              <c:numCache>
                <c:formatCode>General</c:formatCode>
                <c:ptCount val="4"/>
                <c:pt idx="0">
                  <c:v>28481.76</c:v>
                </c:pt>
                <c:pt idx="1">
                  <c:v>27354.26</c:v>
                </c:pt>
                <c:pt idx="2">
                  <c:v>24939.85</c:v>
                </c:pt>
                <c:pt idx="3">
                  <c:v>27055.17</c:v>
                </c:pt>
              </c:numCache>
            </c:numRef>
          </c:val>
        </c:ser>
        <c:dLbls>
          <c:showLegendKey val="0"/>
          <c:showVal val="0"/>
          <c:showCatName val="0"/>
          <c:showSerName val="0"/>
          <c:showPercent val="0"/>
          <c:showBubbleSize val="0"/>
        </c:dLbls>
        <c:gapWidth val="100"/>
        <c:axId val="400580176"/>
        <c:axId val="400575864"/>
      </c:barChart>
      <c:valAx>
        <c:axId val="4005758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80176"/>
        <c:crosses val="autoZero"/>
        <c:crossBetween val="between"/>
      </c:valAx>
      <c:catAx>
        <c:axId val="400580176"/>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0575864"/>
        <c:crosses val="autoZero"/>
        <c:auto val="1"/>
        <c:lblAlgn val="ctr"/>
        <c:lblOffset val="100"/>
        <c:noMultiLvlLbl val="0"/>
      </c:cat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dir="t" rig="brightRoom"/>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3C413-EB7C-4C8D-9155-492BEB103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Words>3399</Words>
  <Pages>17</Pages>
  <Characters>17813</Characters>
  <Application>WPS Office</Application>
  <DocSecurity>0</DocSecurity>
  <Paragraphs>362</Paragraphs>
  <ScaleCrop>false</ScaleCrop>
  <LinksUpToDate>false</LinksUpToDate>
  <CharactersWithSpaces>21024</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2022-07-22T02:00:00Z</dcterms:created>
  <dc:creator>User</dc:creator>
  <lastModifiedBy>AGS3-W09</lastModifiedBy>
  <dcterms:modified xsi:type="dcterms:W3CDTF">2022-08-24T20:27:34Z</dcterms:modified>
  <revision>14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0c66614e201d4bdca9646bbff57ff821</vt:lpwstr>
  </property>
</Properties>
</file>