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15DDC" w14:textId="77777777" w:rsidR="00AE1F67" w:rsidRDefault="00AE1F67" w:rsidP="00AE1F67">
      <w:pPr>
        <w:spacing w:after="220"/>
        <w:ind w:right="1438"/>
        <w:jc w:val="right"/>
      </w:pPr>
      <w:r>
        <w:rPr>
          <w:noProof/>
        </w:rPr>
        <w:drawing>
          <wp:inline distT="0" distB="0" distL="0" distR="0" wp14:anchorId="1C88057D" wp14:editId="29474429">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4BAAAF11" w14:textId="77777777" w:rsidR="00AE1F67" w:rsidRDefault="00AE1F67" w:rsidP="00AE1F67">
      <w:pPr>
        <w:spacing w:after="273"/>
        <w:ind w:right="5"/>
        <w:jc w:val="center"/>
      </w:pPr>
      <w:r>
        <w:rPr>
          <w:rFonts w:ascii="Times New Roman" w:eastAsia="Times New Roman" w:hAnsi="Times New Roman" w:cs="Times New Roman"/>
          <w:b/>
        </w:rPr>
        <w:t xml:space="preserve"> </w:t>
      </w:r>
    </w:p>
    <w:p w14:paraId="6E0B07D9" w14:textId="77777777" w:rsidR="00AE1F67" w:rsidRDefault="00AE1F67" w:rsidP="00AE1F67">
      <w:pPr>
        <w:spacing w:after="274"/>
      </w:pPr>
      <w:r>
        <w:rPr>
          <w:rFonts w:ascii="Times New Roman" w:eastAsia="Times New Roman" w:hAnsi="Times New Roman" w:cs="Times New Roman"/>
          <w:b/>
        </w:rPr>
        <w:t xml:space="preserve"> </w:t>
      </w:r>
    </w:p>
    <w:p w14:paraId="38390685" w14:textId="77777777" w:rsidR="00AE1F67" w:rsidRPr="00D51540" w:rsidRDefault="00AE1F67" w:rsidP="00AE1F67">
      <w:pPr>
        <w:spacing w:after="276"/>
        <w:jc w:val="center"/>
        <w:rPr>
          <w:sz w:val="24"/>
          <w:szCs w:val="32"/>
        </w:rPr>
      </w:pPr>
    </w:p>
    <w:p w14:paraId="7EBBEB5D" w14:textId="77777777" w:rsidR="00AE1F67" w:rsidRPr="004509F7" w:rsidRDefault="00AE1F67" w:rsidP="00AE1F67">
      <w:pPr>
        <w:spacing w:after="274"/>
        <w:ind w:left="2716" w:firstLine="93"/>
        <w:rPr>
          <w:rFonts w:ascii="Arial" w:hAnsi="Arial" w:cs="Arial"/>
          <w:sz w:val="24"/>
          <w:szCs w:val="24"/>
        </w:rPr>
      </w:pPr>
      <w:r w:rsidRPr="004509F7">
        <w:rPr>
          <w:rFonts w:ascii="Arial" w:eastAsia="Times New Roman" w:hAnsi="Arial" w:cs="Arial"/>
          <w:b/>
          <w:sz w:val="24"/>
          <w:szCs w:val="24"/>
        </w:rPr>
        <w:t>Programme: Master of Business Administration</w:t>
      </w:r>
    </w:p>
    <w:p w14:paraId="0A4140D4" w14:textId="41BD0F41" w:rsidR="00AE1F67" w:rsidRPr="004509F7" w:rsidRDefault="00AE1F67" w:rsidP="00AE1F67">
      <w:pPr>
        <w:spacing w:after="274"/>
        <w:ind w:left="2809"/>
        <w:rPr>
          <w:rFonts w:ascii="Arial" w:hAnsi="Arial" w:cs="Arial"/>
          <w:sz w:val="24"/>
          <w:szCs w:val="24"/>
        </w:rPr>
      </w:pPr>
      <w:r w:rsidRPr="004509F7">
        <w:rPr>
          <w:rFonts w:ascii="Arial" w:eastAsia="Times New Roman" w:hAnsi="Arial" w:cs="Arial"/>
          <w:b/>
          <w:sz w:val="24"/>
          <w:szCs w:val="24"/>
        </w:rPr>
        <w:t>Module: Marketing Management</w:t>
      </w:r>
    </w:p>
    <w:p w14:paraId="0460CA2E" w14:textId="64C1E83D" w:rsidR="00AE1F67" w:rsidRPr="004509F7" w:rsidRDefault="00AE1F67" w:rsidP="00AE1F67">
      <w:pPr>
        <w:spacing w:after="274"/>
        <w:ind w:left="2099" w:right="66" w:firstLine="710"/>
        <w:rPr>
          <w:rFonts w:ascii="Arial" w:hAnsi="Arial" w:cs="Arial"/>
          <w:sz w:val="24"/>
          <w:szCs w:val="24"/>
        </w:rPr>
      </w:pPr>
      <w:r w:rsidRPr="004509F7">
        <w:rPr>
          <w:rFonts w:ascii="Arial" w:eastAsia="Times New Roman" w:hAnsi="Arial" w:cs="Arial"/>
          <w:b/>
          <w:sz w:val="24"/>
          <w:szCs w:val="24"/>
        </w:rPr>
        <w:t xml:space="preserve">Module code: </w:t>
      </w:r>
      <w:r w:rsidR="004509F7" w:rsidRPr="004509F7">
        <w:rPr>
          <w:rFonts w:ascii="Arial" w:hAnsi="Arial" w:cs="Arial"/>
          <w:b/>
          <w:bCs/>
          <w:sz w:val="24"/>
          <w:szCs w:val="24"/>
        </w:rPr>
        <w:t>LCMB7024</w:t>
      </w:r>
    </w:p>
    <w:p w14:paraId="1038ECED" w14:textId="09DE5C6B" w:rsidR="00AE1F67" w:rsidRPr="004509F7" w:rsidRDefault="00AE1F67" w:rsidP="004509F7">
      <w:pPr>
        <w:spacing w:before="120" w:after="120"/>
        <w:ind w:left="2089" w:firstLine="720"/>
        <w:rPr>
          <w:rFonts w:ascii="Arial" w:hAnsi="Arial" w:cs="Arial"/>
          <w:b/>
          <w:sz w:val="24"/>
          <w:szCs w:val="24"/>
        </w:rPr>
      </w:pPr>
      <w:r w:rsidRPr="004509F7">
        <w:rPr>
          <w:rFonts w:ascii="Arial" w:eastAsia="Times New Roman" w:hAnsi="Arial" w:cs="Arial"/>
          <w:b/>
          <w:sz w:val="24"/>
          <w:szCs w:val="24"/>
        </w:rPr>
        <w:t>Title:</w:t>
      </w:r>
      <w:r w:rsidR="004509F7" w:rsidRPr="004509F7">
        <w:rPr>
          <w:rFonts w:ascii="Arial" w:hAnsi="Arial" w:cs="Arial"/>
          <w:b/>
          <w:bCs/>
          <w:sz w:val="24"/>
          <w:szCs w:val="24"/>
        </w:rPr>
        <w:t xml:space="preserve"> Marketing Environment Analysis</w:t>
      </w:r>
    </w:p>
    <w:p w14:paraId="72E60BFF" w14:textId="020F488B" w:rsidR="00AE1F67" w:rsidRPr="004509F7" w:rsidRDefault="00AE1F67" w:rsidP="00AE1F67">
      <w:pPr>
        <w:spacing w:after="274"/>
        <w:ind w:left="2089" w:right="62" w:firstLine="720"/>
        <w:rPr>
          <w:rFonts w:ascii="Arial" w:hAnsi="Arial" w:cs="Arial"/>
          <w:sz w:val="24"/>
          <w:szCs w:val="24"/>
        </w:rPr>
      </w:pPr>
      <w:r w:rsidRPr="004509F7">
        <w:rPr>
          <w:rFonts w:ascii="Arial" w:eastAsia="Times New Roman" w:hAnsi="Arial" w:cs="Arial"/>
          <w:b/>
          <w:sz w:val="24"/>
          <w:szCs w:val="24"/>
        </w:rPr>
        <w:t>Word count:</w:t>
      </w:r>
      <w:r w:rsidR="00966266">
        <w:rPr>
          <w:rFonts w:ascii="Arial" w:eastAsia="Times New Roman" w:hAnsi="Arial" w:cs="Arial"/>
          <w:b/>
          <w:sz w:val="24"/>
          <w:szCs w:val="24"/>
        </w:rPr>
        <w:t xml:space="preserve"> 2384</w:t>
      </w:r>
    </w:p>
    <w:p w14:paraId="7E6735E9" w14:textId="5F906978" w:rsidR="00AE1F67" w:rsidRPr="004509F7" w:rsidRDefault="00AE1F67" w:rsidP="00AE1F67">
      <w:pPr>
        <w:spacing w:after="165" w:line="352" w:lineRule="auto"/>
        <w:ind w:left="2835" w:right="2836"/>
        <w:rPr>
          <w:rFonts w:ascii="Arial" w:eastAsia="Arial" w:hAnsi="Arial" w:cs="Arial"/>
          <w:b/>
          <w:sz w:val="24"/>
          <w:szCs w:val="24"/>
        </w:rPr>
      </w:pPr>
      <w:r w:rsidRPr="004509F7">
        <w:rPr>
          <w:rFonts w:ascii="Arial" w:eastAsia="Arial" w:hAnsi="Arial" w:cs="Arial"/>
          <w:b/>
          <w:sz w:val="24"/>
          <w:szCs w:val="24"/>
        </w:rPr>
        <w:t xml:space="preserve">Lecturer: </w:t>
      </w:r>
      <w:r w:rsidR="004509F7" w:rsidRPr="004509F7">
        <w:rPr>
          <w:rFonts w:ascii="Arial" w:hAnsi="Arial" w:cs="Arial"/>
          <w:b/>
          <w:sz w:val="24"/>
          <w:szCs w:val="24"/>
        </w:rPr>
        <w:t>Dian Mayasari (Birmingham)</w:t>
      </w:r>
    </w:p>
    <w:p w14:paraId="588C2AA6" w14:textId="12AF0646" w:rsidR="00AE1F67" w:rsidRPr="004509F7" w:rsidRDefault="00AE1F67" w:rsidP="00AE1F67">
      <w:pPr>
        <w:spacing w:after="165" w:line="352" w:lineRule="auto"/>
        <w:ind w:left="2835" w:right="2836"/>
        <w:rPr>
          <w:rFonts w:ascii="Arial" w:hAnsi="Arial" w:cs="Arial"/>
          <w:sz w:val="24"/>
          <w:szCs w:val="24"/>
        </w:rPr>
      </w:pPr>
      <w:r w:rsidRPr="004509F7">
        <w:rPr>
          <w:rFonts w:ascii="Arial" w:eastAsia="Times New Roman" w:hAnsi="Arial" w:cs="Arial"/>
          <w:b/>
          <w:sz w:val="24"/>
          <w:szCs w:val="24"/>
        </w:rPr>
        <w:t>Student Name:</w:t>
      </w:r>
      <w:r w:rsidR="004509F7">
        <w:rPr>
          <w:rFonts w:ascii="Arial" w:eastAsia="Times New Roman" w:hAnsi="Arial" w:cs="Arial"/>
          <w:b/>
          <w:sz w:val="24"/>
          <w:szCs w:val="24"/>
        </w:rPr>
        <w:t xml:space="preserve"> </w:t>
      </w:r>
      <w:r w:rsidRPr="004509F7">
        <w:rPr>
          <w:rFonts w:ascii="Arial" w:eastAsia="Times New Roman" w:hAnsi="Arial" w:cs="Arial"/>
          <w:b/>
          <w:sz w:val="24"/>
          <w:szCs w:val="24"/>
        </w:rPr>
        <w:t>Md Ashrafuzzaman</w:t>
      </w:r>
    </w:p>
    <w:p w14:paraId="144CF7A7" w14:textId="77777777" w:rsidR="00AE1F67" w:rsidRPr="004509F7" w:rsidRDefault="00AE1F67" w:rsidP="00AE1F67">
      <w:pPr>
        <w:spacing w:after="274"/>
        <w:ind w:left="2125" w:right="62" w:firstLine="710"/>
        <w:rPr>
          <w:rFonts w:ascii="Arial" w:hAnsi="Arial" w:cs="Arial"/>
          <w:sz w:val="24"/>
          <w:szCs w:val="24"/>
        </w:rPr>
      </w:pPr>
      <w:r w:rsidRPr="004509F7">
        <w:rPr>
          <w:rFonts w:ascii="Arial" w:eastAsia="Times New Roman" w:hAnsi="Arial" w:cs="Arial"/>
          <w:b/>
          <w:sz w:val="24"/>
          <w:szCs w:val="24"/>
        </w:rPr>
        <w:t>Student ID: 2504074</w:t>
      </w:r>
    </w:p>
    <w:p w14:paraId="67C570DF" w14:textId="4CCD0059" w:rsidR="00AE1F67" w:rsidRPr="004509F7" w:rsidRDefault="00AE1F67" w:rsidP="00AE1F67">
      <w:pPr>
        <w:spacing w:after="274"/>
        <w:ind w:left="2125" w:right="62" w:firstLine="710"/>
        <w:rPr>
          <w:rFonts w:ascii="Arial" w:hAnsi="Arial" w:cs="Arial"/>
          <w:sz w:val="24"/>
          <w:szCs w:val="24"/>
        </w:rPr>
      </w:pPr>
      <w:r w:rsidRPr="004509F7">
        <w:rPr>
          <w:rFonts w:ascii="Arial" w:eastAsia="Times New Roman" w:hAnsi="Arial" w:cs="Arial"/>
          <w:b/>
          <w:sz w:val="24"/>
          <w:szCs w:val="24"/>
        </w:rPr>
        <w:t>Submission Date-</w:t>
      </w:r>
      <w:r w:rsidR="004509F7">
        <w:rPr>
          <w:rFonts w:ascii="Arial" w:eastAsia="Times New Roman" w:hAnsi="Arial" w:cs="Arial"/>
          <w:b/>
          <w:sz w:val="24"/>
          <w:szCs w:val="24"/>
        </w:rPr>
        <w:t xml:space="preserve"> </w:t>
      </w:r>
      <w:r w:rsidR="004509F7" w:rsidRPr="004509F7">
        <w:rPr>
          <w:rFonts w:ascii="Arial" w:eastAsia="Times New Roman" w:hAnsi="Arial" w:cs="Arial"/>
          <w:b/>
          <w:sz w:val="24"/>
          <w:szCs w:val="24"/>
        </w:rPr>
        <w:t>24</w:t>
      </w:r>
      <w:r w:rsidRPr="004509F7">
        <w:rPr>
          <w:rFonts w:ascii="Arial" w:eastAsia="Times New Roman" w:hAnsi="Arial" w:cs="Arial"/>
          <w:b/>
          <w:sz w:val="24"/>
          <w:szCs w:val="24"/>
          <w:vertAlign w:val="superscript"/>
        </w:rPr>
        <w:t>th</w:t>
      </w:r>
      <w:r w:rsidRPr="004509F7">
        <w:rPr>
          <w:rFonts w:ascii="Arial" w:eastAsia="Times New Roman" w:hAnsi="Arial" w:cs="Arial"/>
          <w:b/>
          <w:sz w:val="24"/>
          <w:szCs w:val="24"/>
        </w:rPr>
        <w:t xml:space="preserve"> October 2025</w:t>
      </w:r>
    </w:p>
    <w:p w14:paraId="1300ECC8" w14:textId="77777777" w:rsidR="00AE1F67" w:rsidRDefault="00AE1F67">
      <w:pPr>
        <w:rPr>
          <w:rFonts w:ascii="Arial" w:hAnsi="Arial" w:cs="Arial"/>
          <w:b/>
          <w:bCs/>
          <w:sz w:val="24"/>
          <w:szCs w:val="24"/>
        </w:rPr>
      </w:pPr>
      <w:r>
        <w:rPr>
          <w:rFonts w:ascii="Arial" w:hAnsi="Arial" w:cs="Arial"/>
          <w:b/>
          <w:bCs/>
          <w:sz w:val="24"/>
          <w:szCs w:val="24"/>
        </w:rPr>
        <w:br w:type="page"/>
      </w:r>
    </w:p>
    <w:p w14:paraId="52AF6092" w14:textId="77777777" w:rsidR="00BA29A7" w:rsidRPr="00BA29A7" w:rsidRDefault="00BA29A7" w:rsidP="00BA29A7">
      <w:pPr>
        <w:jc w:val="center"/>
        <w:rPr>
          <w:rFonts w:ascii="Arial" w:hAnsi="Arial" w:cs="Arial"/>
          <w:b/>
          <w:bCs/>
          <w:sz w:val="24"/>
          <w:szCs w:val="24"/>
        </w:rPr>
      </w:pPr>
      <w:r w:rsidRPr="00BA29A7">
        <w:rPr>
          <w:rFonts w:ascii="Arial" w:hAnsi="Arial" w:cs="Arial"/>
          <w:b/>
          <w:bCs/>
          <w:sz w:val="24"/>
          <w:szCs w:val="24"/>
        </w:rPr>
        <w:lastRenderedPageBreak/>
        <w:t>Table of Contents</w:t>
      </w:r>
    </w:p>
    <w:p w14:paraId="2DC1D4DE" w14:textId="77777777" w:rsidR="00BA29A7" w:rsidRDefault="00BA29A7" w:rsidP="00BA29A7">
      <w:pPr>
        <w:rPr>
          <w:rFonts w:ascii="Arial" w:hAnsi="Arial" w:cs="Arial"/>
          <w:b/>
          <w:bCs/>
          <w:sz w:val="24"/>
          <w:szCs w:val="24"/>
        </w:rPr>
      </w:pPr>
    </w:p>
    <w:p w14:paraId="2D18A8D1" w14:textId="61D8ABCF" w:rsidR="00BA29A7" w:rsidRPr="00BA29A7" w:rsidRDefault="00BA29A7" w:rsidP="00BA29A7">
      <w:pPr>
        <w:spacing w:line="360" w:lineRule="auto"/>
        <w:rPr>
          <w:rFonts w:ascii="Arial" w:hAnsi="Arial" w:cs="Arial"/>
          <w:sz w:val="24"/>
          <w:szCs w:val="24"/>
        </w:rPr>
      </w:pPr>
      <w:r w:rsidRPr="00BA29A7">
        <w:rPr>
          <w:rFonts w:ascii="Arial" w:hAnsi="Arial" w:cs="Arial"/>
          <w:sz w:val="24"/>
          <w:szCs w:val="24"/>
        </w:rPr>
        <w:t xml:space="preserve">1.0 Introduction................................................................................ </w:t>
      </w:r>
      <w:r w:rsidR="00863F36">
        <w:rPr>
          <w:rFonts w:ascii="Arial" w:hAnsi="Arial" w:cs="Arial"/>
          <w:sz w:val="24"/>
          <w:szCs w:val="24"/>
        </w:rPr>
        <w:t>3-4</w:t>
      </w:r>
      <w:r w:rsidRPr="00BA29A7">
        <w:rPr>
          <w:rFonts w:ascii="Arial" w:hAnsi="Arial" w:cs="Arial"/>
          <w:sz w:val="24"/>
          <w:szCs w:val="24"/>
        </w:rPr>
        <w:br/>
      </w:r>
      <w:r w:rsidR="00863F36">
        <w:rPr>
          <w:rFonts w:ascii="Arial" w:hAnsi="Arial" w:cs="Arial"/>
          <w:sz w:val="24"/>
          <w:szCs w:val="24"/>
        </w:rPr>
        <w:t>2</w:t>
      </w:r>
      <w:r w:rsidRPr="00BA29A7">
        <w:rPr>
          <w:rFonts w:ascii="Arial" w:hAnsi="Arial" w:cs="Arial"/>
          <w:sz w:val="24"/>
          <w:szCs w:val="24"/>
        </w:rPr>
        <w:t>.0 Industry Landscape and Organisational Profiles................</w:t>
      </w:r>
      <w:r>
        <w:rPr>
          <w:rFonts w:ascii="Arial" w:hAnsi="Arial" w:cs="Arial"/>
          <w:sz w:val="24"/>
          <w:szCs w:val="24"/>
        </w:rPr>
        <w:t>.......</w:t>
      </w:r>
      <w:r w:rsidRPr="00BA29A7">
        <w:rPr>
          <w:rFonts w:ascii="Arial" w:hAnsi="Arial" w:cs="Arial"/>
          <w:sz w:val="24"/>
          <w:szCs w:val="24"/>
        </w:rPr>
        <w:t xml:space="preserve"> </w:t>
      </w:r>
      <w:r w:rsidR="00863F36">
        <w:rPr>
          <w:rFonts w:ascii="Arial" w:hAnsi="Arial" w:cs="Arial"/>
          <w:sz w:val="24"/>
          <w:szCs w:val="24"/>
        </w:rPr>
        <w:t>4</w:t>
      </w:r>
      <w:r w:rsidRPr="00BA29A7">
        <w:rPr>
          <w:rFonts w:ascii="Arial" w:hAnsi="Arial" w:cs="Arial"/>
          <w:sz w:val="24"/>
          <w:szCs w:val="24"/>
        </w:rPr>
        <w:br/>
      </w:r>
      <w:r w:rsidR="00863F36">
        <w:rPr>
          <w:rFonts w:ascii="Arial" w:hAnsi="Arial" w:cs="Arial"/>
          <w:sz w:val="24"/>
          <w:szCs w:val="24"/>
        </w:rPr>
        <w:t>3</w:t>
      </w:r>
      <w:r w:rsidRPr="00BA29A7">
        <w:rPr>
          <w:rFonts w:ascii="Arial" w:hAnsi="Arial" w:cs="Arial"/>
          <w:sz w:val="24"/>
          <w:szCs w:val="24"/>
        </w:rPr>
        <w:t>.0 Macro-Environmental Forces: Critical Analysis.......................</w:t>
      </w:r>
      <w:r>
        <w:rPr>
          <w:rFonts w:ascii="Arial" w:hAnsi="Arial" w:cs="Arial"/>
          <w:sz w:val="24"/>
          <w:szCs w:val="24"/>
        </w:rPr>
        <w:t>..</w:t>
      </w:r>
      <w:r w:rsidRPr="00BA29A7">
        <w:rPr>
          <w:rFonts w:ascii="Arial" w:hAnsi="Arial" w:cs="Arial"/>
          <w:sz w:val="24"/>
          <w:szCs w:val="24"/>
        </w:rPr>
        <w:t xml:space="preserve"> </w:t>
      </w:r>
      <w:r w:rsidR="00863F36">
        <w:rPr>
          <w:rFonts w:ascii="Arial" w:hAnsi="Arial" w:cs="Arial"/>
          <w:sz w:val="24"/>
          <w:szCs w:val="24"/>
        </w:rPr>
        <w:t>5-8</w:t>
      </w:r>
      <w:r w:rsidRPr="00BA29A7">
        <w:rPr>
          <w:rFonts w:ascii="Arial" w:hAnsi="Arial" w:cs="Arial"/>
          <w:sz w:val="24"/>
          <w:szCs w:val="24"/>
        </w:rPr>
        <w:br/>
      </w:r>
      <w:r w:rsidR="00863F36">
        <w:rPr>
          <w:rFonts w:ascii="Arial" w:hAnsi="Arial" w:cs="Arial"/>
          <w:sz w:val="24"/>
          <w:szCs w:val="24"/>
        </w:rPr>
        <w:t>4</w:t>
      </w:r>
      <w:r w:rsidRPr="00BA29A7">
        <w:rPr>
          <w:rFonts w:ascii="Arial" w:hAnsi="Arial" w:cs="Arial"/>
          <w:sz w:val="24"/>
          <w:szCs w:val="24"/>
        </w:rPr>
        <w:t>.0 Strategic Marketing Responses: Comparative Analysis............</w:t>
      </w:r>
      <w:r w:rsidR="00863F36">
        <w:rPr>
          <w:rFonts w:ascii="Arial" w:hAnsi="Arial" w:cs="Arial"/>
          <w:sz w:val="24"/>
          <w:szCs w:val="24"/>
        </w:rPr>
        <w:t>9-11</w:t>
      </w:r>
      <w:r w:rsidRPr="00BA29A7">
        <w:rPr>
          <w:rFonts w:ascii="Arial" w:hAnsi="Arial" w:cs="Arial"/>
          <w:sz w:val="24"/>
          <w:szCs w:val="24"/>
        </w:rPr>
        <w:br/>
      </w:r>
      <w:r w:rsidR="00863F36">
        <w:rPr>
          <w:rFonts w:ascii="Arial" w:hAnsi="Arial" w:cs="Arial"/>
          <w:sz w:val="24"/>
          <w:szCs w:val="24"/>
        </w:rPr>
        <w:t>5</w:t>
      </w:r>
      <w:r w:rsidRPr="00BA29A7">
        <w:rPr>
          <w:rFonts w:ascii="Arial" w:hAnsi="Arial" w:cs="Arial"/>
          <w:sz w:val="24"/>
          <w:szCs w:val="24"/>
        </w:rPr>
        <w:t>.0 Competitive Positioning Synthesis.............................................</w:t>
      </w:r>
      <w:r w:rsidR="00863F36">
        <w:rPr>
          <w:rFonts w:ascii="Arial" w:hAnsi="Arial" w:cs="Arial"/>
          <w:sz w:val="24"/>
          <w:szCs w:val="24"/>
        </w:rPr>
        <w:t>11-12</w:t>
      </w:r>
      <w:r w:rsidRPr="00BA29A7">
        <w:rPr>
          <w:rFonts w:ascii="Arial" w:hAnsi="Arial" w:cs="Arial"/>
          <w:sz w:val="24"/>
          <w:szCs w:val="24"/>
        </w:rPr>
        <w:br/>
      </w:r>
      <w:r w:rsidR="00863F36">
        <w:rPr>
          <w:rFonts w:ascii="Arial" w:hAnsi="Arial" w:cs="Arial"/>
          <w:sz w:val="24"/>
          <w:szCs w:val="24"/>
        </w:rPr>
        <w:t>6</w:t>
      </w:r>
      <w:r w:rsidRPr="00BA29A7">
        <w:rPr>
          <w:rFonts w:ascii="Arial" w:hAnsi="Arial" w:cs="Arial"/>
          <w:sz w:val="24"/>
          <w:szCs w:val="24"/>
        </w:rPr>
        <w:t>.0 Conclusions.........................................................................</w:t>
      </w:r>
      <w:r>
        <w:rPr>
          <w:rFonts w:ascii="Arial" w:hAnsi="Arial" w:cs="Arial"/>
          <w:sz w:val="24"/>
          <w:szCs w:val="24"/>
        </w:rPr>
        <w:t>.......</w:t>
      </w:r>
      <w:r w:rsidR="00863F36">
        <w:rPr>
          <w:rFonts w:ascii="Arial" w:hAnsi="Arial" w:cs="Arial"/>
          <w:sz w:val="24"/>
          <w:szCs w:val="24"/>
        </w:rPr>
        <w:t>12</w:t>
      </w:r>
      <w:r w:rsidRPr="00BA29A7">
        <w:rPr>
          <w:rFonts w:ascii="Arial" w:hAnsi="Arial" w:cs="Arial"/>
          <w:sz w:val="24"/>
          <w:szCs w:val="24"/>
        </w:rPr>
        <w:br/>
        <w:t>References............................................................................</w:t>
      </w:r>
      <w:r>
        <w:rPr>
          <w:rFonts w:ascii="Arial" w:hAnsi="Arial" w:cs="Arial"/>
          <w:sz w:val="24"/>
          <w:szCs w:val="24"/>
        </w:rPr>
        <w:t>...........</w:t>
      </w:r>
      <w:r w:rsidR="00863F36">
        <w:rPr>
          <w:rFonts w:ascii="Arial" w:hAnsi="Arial" w:cs="Arial"/>
          <w:sz w:val="24"/>
          <w:szCs w:val="24"/>
        </w:rPr>
        <w:t>13-14</w:t>
      </w:r>
    </w:p>
    <w:p w14:paraId="6CDDE88E" w14:textId="1FA4DD6A" w:rsidR="00F33424" w:rsidRPr="00F33424" w:rsidRDefault="00AE1F67" w:rsidP="00D320DE">
      <w:pPr>
        <w:rPr>
          <w:rFonts w:ascii="Arial" w:hAnsi="Arial" w:cs="Arial"/>
          <w:b/>
          <w:bCs/>
          <w:sz w:val="24"/>
          <w:szCs w:val="24"/>
        </w:rPr>
      </w:pPr>
      <w:r>
        <w:rPr>
          <w:rFonts w:ascii="Arial" w:hAnsi="Arial" w:cs="Arial"/>
          <w:b/>
          <w:bCs/>
          <w:sz w:val="24"/>
          <w:szCs w:val="24"/>
        </w:rPr>
        <w:br w:type="page"/>
      </w:r>
    </w:p>
    <w:p w14:paraId="291BE17C" w14:textId="2DA61FC0" w:rsidR="00584FD5" w:rsidRPr="00863F36" w:rsidRDefault="00D320DE" w:rsidP="00863F36">
      <w:pPr>
        <w:pStyle w:val="ListParagraph"/>
        <w:numPr>
          <w:ilvl w:val="0"/>
          <w:numId w:val="8"/>
        </w:numPr>
        <w:spacing w:line="360" w:lineRule="auto"/>
        <w:rPr>
          <w:rFonts w:ascii="Arial" w:hAnsi="Arial" w:cs="Arial"/>
          <w:sz w:val="24"/>
          <w:szCs w:val="24"/>
        </w:rPr>
      </w:pPr>
      <w:r w:rsidRPr="00863F36">
        <w:rPr>
          <w:rFonts w:ascii="Arial" w:hAnsi="Arial" w:cs="Arial"/>
          <w:b/>
          <w:bCs/>
          <w:sz w:val="24"/>
          <w:szCs w:val="24"/>
        </w:rPr>
        <w:lastRenderedPageBreak/>
        <w:t>Introduction</w:t>
      </w:r>
      <w:r w:rsidRPr="00863F36">
        <w:rPr>
          <w:rFonts w:ascii="Arial" w:hAnsi="Arial" w:cs="Arial"/>
          <w:sz w:val="24"/>
          <w:szCs w:val="24"/>
        </w:rPr>
        <w:br/>
      </w:r>
      <w:r w:rsidR="00224438" w:rsidRPr="00863F36">
        <w:rPr>
          <w:rFonts w:ascii="Arial" w:hAnsi="Arial" w:cs="Arial"/>
          <w:sz w:val="24"/>
          <w:szCs w:val="24"/>
        </w:rPr>
        <w:t xml:space="preserve">UK aviation produces PS22 billion and transports 150 million passengers, but is experiencing multidimensional disruptions, which undermine competition today (Civil Aviation Authority, 2023). </w:t>
      </w:r>
    </w:p>
    <w:p w14:paraId="24F3562F" w14:textId="1E235B8F" w:rsidR="00584FD5" w:rsidRPr="00863F36" w:rsidRDefault="00584FD5" w:rsidP="00863F36">
      <w:pPr>
        <w:pStyle w:val="ListParagraph"/>
        <w:spacing w:line="360" w:lineRule="auto"/>
        <w:ind w:left="396"/>
        <w:rPr>
          <w:rFonts w:ascii="Arial" w:hAnsi="Arial" w:cs="Arial"/>
          <w:sz w:val="24"/>
          <w:szCs w:val="24"/>
        </w:rPr>
      </w:pPr>
      <w:r w:rsidRPr="00863F36">
        <w:rPr>
          <w:rFonts w:ascii="Arial" w:hAnsi="Arial" w:cs="Arial"/>
          <w:noProof/>
          <w:sz w:val="24"/>
          <w:szCs w:val="24"/>
        </w:rPr>
        <w:drawing>
          <wp:anchor distT="0" distB="0" distL="114300" distR="114300" simplePos="0" relativeHeight="251658240" behindDoc="1" locked="0" layoutInCell="1" allowOverlap="1" wp14:anchorId="08EA8025" wp14:editId="576D9374">
            <wp:simplePos x="0" y="0"/>
            <wp:positionH relativeFrom="margin">
              <wp:posOffset>259080</wp:posOffset>
            </wp:positionH>
            <wp:positionV relativeFrom="paragraph">
              <wp:posOffset>342900</wp:posOffset>
            </wp:positionV>
            <wp:extent cx="5379720" cy="5326380"/>
            <wp:effectExtent l="0" t="0" r="0" b="7620"/>
            <wp:wrapTight wrapText="bothSides">
              <wp:wrapPolygon edited="0">
                <wp:start x="0" y="0"/>
                <wp:lineTo x="0" y="21554"/>
                <wp:lineTo x="21493" y="21554"/>
                <wp:lineTo x="21493" y="0"/>
                <wp:lineTo x="0" y="0"/>
              </wp:wrapPolygon>
            </wp:wrapTight>
            <wp:docPr id="543218501"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18501" name="Picture 1" descr="A graph of blue rectangular bar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79720" cy="5326380"/>
                    </a:xfrm>
                    <a:prstGeom prst="rect">
                      <a:avLst/>
                    </a:prstGeom>
                  </pic:spPr>
                </pic:pic>
              </a:graphicData>
            </a:graphic>
            <wp14:sizeRelH relativeFrom="margin">
              <wp14:pctWidth>0</wp14:pctWidth>
            </wp14:sizeRelH>
            <wp14:sizeRelV relativeFrom="margin">
              <wp14:pctHeight>0</wp14:pctHeight>
            </wp14:sizeRelV>
          </wp:anchor>
        </w:drawing>
      </w:r>
    </w:p>
    <w:p w14:paraId="00AF14DE" w14:textId="51DC7978" w:rsidR="00584FD5" w:rsidRPr="00863F36" w:rsidRDefault="00584FD5" w:rsidP="00863F36">
      <w:pPr>
        <w:pStyle w:val="ListParagraph"/>
        <w:spacing w:line="360" w:lineRule="auto"/>
        <w:ind w:left="396"/>
        <w:rPr>
          <w:rFonts w:ascii="Arial" w:hAnsi="Arial" w:cs="Arial"/>
          <w:sz w:val="24"/>
          <w:szCs w:val="24"/>
        </w:rPr>
      </w:pPr>
    </w:p>
    <w:p w14:paraId="76FEDEAF" w14:textId="6BAF9614" w:rsidR="00D320DE" w:rsidRPr="00863F36" w:rsidRDefault="00224438" w:rsidP="00863F36">
      <w:pPr>
        <w:pStyle w:val="ListParagraph"/>
        <w:spacing w:line="360" w:lineRule="auto"/>
        <w:ind w:left="396"/>
        <w:rPr>
          <w:rFonts w:ascii="Arial" w:hAnsi="Arial" w:cs="Arial"/>
          <w:sz w:val="24"/>
          <w:szCs w:val="24"/>
        </w:rPr>
      </w:pPr>
      <w:r w:rsidRPr="00863F36">
        <w:rPr>
          <w:rFonts w:ascii="Arial" w:hAnsi="Arial" w:cs="Arial"/>
          <w:sz w:val="24"/>
          <w:szCs w:val="24"/>
        </w:rPr>
        <w:t xml:space="preserve">The low-cost carriers are under a challenge to the full-service models, which are based on the hub-and-spoke networks, premium cabins, and loyalty schemes (Doganis, 2019). In the meantime, the carbon regulation, eco-consciousness, and post COVID volatility increase the complexity (Department for Transport, 2023). This paper compares easyJet, a low-cost company based at Luton, and the pioneer of the low-cost market, with British Airways, the hub-and-spoke dominating firm in the context of IAG (easyJet, 2023a; British Airways, 2023a). </w:t>
      </w:r>
      <w:r w:rsidRPr="00863F36">
        <w:rPr>
          <w:rFonts w:ascii="Arial" w:hAnsi="Arial" w:cs="Arial"/>
          <w:sz w:val="24"/>
          <w:szCs w:val="24"/>
        </w:rPr>
        <w:lastRenderedPageBreak/>
        <w:t>Their pioneer-follower relationship demonstrates the standardisation of easy Jet compared to BA LCC forays and securing premium positioning (Christensen, 1997). The questions in the research include how sustainability and digital transformation uniquely create strategies, which marketing levers can be used to differentiate, and how heritage and dynamic capabilities precondition change. We believe that advantage lies on strategic coherence, which is a fit between economics, value propositions, and capabilities (Porter, 1996) using value innovation (Kim and Mauborgne, 2015), institutional theory (DiMaggio and Powell, 1983), and dynamic capabilities (Teece, 2009).</w:t>
      </w:r>
    </w:p>
    <w:p w14:paraId="44B0B9E8" w14:textId="77777777" w:rsidR="00224438" w:rsidRPr="00863F36" w:rsidRDefault="00D320DE" w:rsidP="00863F36">
      <w:pPr>
        <w:spacing w:line="360" w:lineRule="auto"/>
        <w:rPr>
          <w:rFonts w:ascii="Arial" w:hAnsi="Arial" w:cs="Arial"/>
          <w:sz w:val="24"/>
          <w:szCs w:val="24"/>
        </w:rPr>
      </w:pPr>
      <w:r w:rsidRPr="00863F36">
        <w:rPr>
          <w:rFonts w:ascii="Arial" w:hAnsi="Arial" w:cs="Arial"/>
          <w:b/>
          <w:bCs/>
          <w:sz w:val="24"/>
          <w:szCs w:val="24"/>
        </w:rPr>
        <w:t>2.0 Industry Landscape and Organisational Profiles</w:t>
      </w:r>
      <w:r w:rsidRPr="00863F36">
        <w:rPr>
          <w:rFonts w:ascii="Arial" w:hAnsi="Arial" w:cs="Arial"/>
          <w:b/>
          <w:bCs/>
          <w:sz w:val="24"/>
          <w:szCs w:val="24"/>
        </w:rPr>
        <w:br/>
      </w:r>
      <w:r w:rsidR="00224438" w:rsidRPr="00863F36">
        <w:rPr>
          <w:rFonts w:ascii="Arial" w:hAnsi="Arial" w:cs="Arial"/>
          <w:sz w:val="24"/>
          <w:szCs w:val="24"/>
        </w:rPr>
        <w:t xml:space="preserve">Low-cost carriers were triggered by the deregulation of the EU in 1997, which abolished national protection and opened the borders to entry. Ryanair, easy EasyJet, and Wizz Air dominate the short-haul local airlines share, increasing 2per cent in 1995 up to 52per cent in 2023. The legacy airlines found it difficult to copy, with their basic-economy ticketing and a premium shift to long-haul. </w:t>
      </w:r>
    </w:p>
    <w:p w14:paraId="79FD2B61" w14:textId="698151F5" w:rsidR="00224438" w:rsidRPr="00863F36" w:rsidRDefault="00224438" w:rsidP="00863F36">
      <w:pPr>
        <w:spacing w:line="360" w:lineRule="auto"/>
        <w:rPr>
          <w:rFonts w:ascii="Arial" w:hAnsi="Arial" w:cs="Arial"/>
          <w:sz w:val="24"/>
          <w:szCs w:val="24"/>
        </w:rPr>
      </w:pPr>
      <w:r w:rsidRPr="00863F36">
        <w:rPr>
          <w:rFonts w:ascii="Arial" w:hAnsi="Arial" w:cs="Arial"/>
          <w:sz w:val="24"/>
          <w:szCs w:val="24"/>
        </w:rPr>
        <w:t xml:space="preserve">COVID-19 killed demand: UK passenger plummeted 73% in 2020, bailing out, laying off, and grounding. </w:t>
      </w:r>
      <w:r w:rsidR="00E60181" w:rsidRPr="00863F36">
        <w:rPr>
          <w:rFonts w:ascii="Arial" w:hAnsi="Arial" w:cs="Arial"/>
          <w:sz w:val="24"/>
          <w:szCs w:val="24"/>
        </w:rPr>
        <w:t>The recovery is not uniform, leisure recovered faster, so did LCC and business travel is about 30% below 2019 and raising concerns on the profit margins. staffing bottlenecks damage reliability</w:t>
      </w:r>
      <w:r w:rsidRPr="00863F36">
        <w:rPr>
          <w:rFonts w:ascii="Arial" w:hAnsi="Arial" w:cs="Arial"/>
          <w:sz w:val="24"/>
          <w:szCs w:val="24"/>
        </w:rPr>
        <w:t xml:space="preserve">. easy Jet was established in 1995 and led the way in no-frills, point-to-point flying on PS29 fares, single-A320 family fleet, high utilization, secondary airports, and direct sales. It subsequently climbed to the major airports (Gatwick, CDG, Amsterdam), introduced business-oriented services, and went net-zero in 2050. It transported 95m passengers in 2023, with PS8.2bn revenue and has returned to profit although Ryanair has lower unit costs, Wizz dominates on routes, imitation and fuel or regulatory shocks. </w:t>
      </w:r>
    </w:p>
    <w:p w14:paraId="00D7D59A" w14:textId="4AD8CB54" w:rsidR="00D320DE" w:rsidRPr="00863F36" w:rsidRDefault="00224438" w:rsidP="00863F36">
      <w:pPr>
        <w:spacing w:line="360" w:lineRule="auto"/>
        <w:rPr>
          <w:rFonts w:ascii="Arial" w:hAnsi="Arial" w:cs="Arial"/>
          <w:sz w:val="24"/>
          <w:szCs w:val="24"/>
        </w:rPr>
      </w:pPr>
      <w:r w:rsidRPr="00863F36">
        <w:rPr>
          <w:rFonts w:ascii="Arial" w:hAnsi="Arial" w:cs="Arial"/>
          <w:sz w:val="24"/>
          <w:szCs w:val="24"/>
        </w:rPr>
        <w:t>British Airways, which was established in 1974, still has a high brand, approximately 55 percent of the slots in Heathrow, and approximately 170 destinations. Within the framework of IAG, it values premium long-haul, utilizes Avios and oneworld, and provides basic economy on the short-haul, but short-haul competitiveness and subdued corporate demand are headwinds in the environment of regulatory and macro uncertainty.</w:t>
      </w:r>
    </w:p>
    <w:p w14:paraId="0639D757" w14:textId="77777777" w:rsidR="00224438" w:rsidRPr="00863F36" w:rsidRDefault="00224438" w:rsidP="00863F36">
      <w:pPr>
        <w:spacing w:line="360" w:lineRule="auto"/>
        <w:rPr>
          <w:rFonts w:ascii="Arial" w:hAnsi="Arial" w:cs="Arial"/>
          <w:sz w:val="24"/>
          <w:szCs w:val="24"/>
        </w:rPr>
      </w:pPr>
    </w:p>
    <w:p w14:paraId="73D6D724" w14:textId="39CA5ADE" w:rsidR="0086677B" w:rsidRPr="00863F36" w:rsidRDefault="00863F36" w:rsidP="00863F36">
      <w:pPr>
        <w:spacing w:line="360" w:lineRule="auto"/>
        <w:rPr>
          <w:rFonts w:ascii="Arial" w:hAnsi="Arial" w:cs="Arial"/>
          <w:b/>
          <w:bCs/>
          <w:sz w:val="24"/>
          <w:szCs w:val="24"/>
        </w:rPr>
      </w:pPr>
      <w:r w:rsidRPr="00863F36">
        <w:rPr>
          <w:rFonts w:ascii="Arial" w:hAnsi="Arial" w:cs="Arial"/>
          <w:b/>
          <w:bCs/>
          <w:sz w:val="24"/>
          <w:szCs w:val="24"/>
        </w:rPr>
        <w:br w:type="page"/>
      </w:r>
      <w:r w:rsidR="00D320DE" w:rsidRPr="00863F36">
        <w:rPr>
          <w:rFonts w:ascii="Arial" w:hAnsi="Arial" w:cs="Arial"/>
          <w:b/>
          <w:bCs/>
          <w:sz w:val="24"/>
          <w:szCs w:val="24"/>
        </w:rPr>
        <w:lastRenderedPageBreak/>
        <w:t>3.0 Macro-Environmental Forces: Critical Analysis</w:t>
      </w:r>
      <w:r w:rsidR="00D320DE" w:rsidRPr="00863F36">
        <w:rPr>
          <w:rFonts w:ascii="Arial" w:hAnsi="Arial" w:cs="Arial"/>
          <w:sz w:val="24"/>
          <w:szCs w:val="24"/>
        </w:rPr>
        <w:br/>
      </w:r>
      <w:r w:rsidR="0086677B" w:rsidRPr="00863F36">
        <w:rPr>
          <w:rFonts w:ascii="Arial" w:hAnsi="Arial" w:cs="Arial"/>
          <w:sz w:val="24"/>
          <w:szCs w:val="24"/>
        </w:rPr>
        <w:t xml:space="preserve">3.1 Environment Pressure and Sustainability Regulation. </w:t>
      </w:r>
    </w:p>
    <w:p w14:paraId="23CC8BBD"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Approximately 2.5 percent of UK CO 2 is produced by aviation. With no effective abatement, the proportion of aviation may skyrocket to 2050 as power and road transport decarbonise. Airline economics is undergoing a change: unit costs are on the increase, the pricing power is challenged by demand elasticity, and decisions in fleet and networks and brand position are becoming more limited by carbon. </w:t>
      </w:r>
    </w:p>
    <w:p w14:paraId="39E02F8F" w14:textId="45619115" w:rsidR="00584FD5" w:rsidRPr="00863F36" w:rsidRDefault="001A0951" w:rsidP="00863F36">
      <w:pPr>
        <w:spacing w:line="360" w:lineRule="auto"/>
        <w:rPr>
          <w:rFonts w:ascii="Arial" w:hAnsi="Arial" w:cs="Arial"/>
          <w:sz w:val="24"/>
          <w:szCs w:val="24"/>
        </w:rPr>
      </w:pPr>
      <w:r w:rsidRPr="00863F36">
        <w:rPr>
          <w:rFonts w:ascii="Arial" w:hAnsi="Arial" w:cs="Arial"/>
          <w:noProof/>
          <w:sz w:val="24"/>
          <w:szCs w:val="24"/>
        </w:rPr>
        <w:drawing>
          <wp:anchor distT="0" distB="0" distL="114300" distR="114300" simplePos="0" relativeHeight="251659264" behindDoc="1" locked="0" layoutInCell="1" allowOverlap="1" wp14:anchorId="4ED5861B" wp14:editId="7A32CEAD">
            <wp:simplePos x="0" y="0"/>
            <wp:positionH relativeFrom="margin">
              <wp:posOffset>-220980</wp:posOffset>
            </wp:positionH>
            <wp:positionV relativeFrom="paragraph">
              <wp:posOffset>222250</wp:posOffset>
            </wp:positionV>
            <wp:extent cx="5920740" cy="3526790"/>
            <wp:effectExtent l="0" t="0" r="3810" b="0"/>
            <wp:wrapTight wrapText="bothSides">
              <wp:wrapPolygon edited="0">
                <wp:start x="0" y="0"/>
                <wp:lineTo x="0" y="21468"/>
                <wp:lineTo x="21544" y="21468"/>
                <wp:lineTo x="21544" y="0"/>
                <wp:lineTo x="0" y="0"/>
              </wp:wrapPolygon>
            </wp:wrapTight>
            <wp:docPr id="936049504"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049504" name="Picture 2" descr="A screen shot of a computer&#10;&#10;AI-generated content may be incorrect."/>
                    <pic:cNvPicPr/>
                  </pic:nvPicPr>
                  <pic:blipFill rotWithShape="1">
                    <a:blip r:embed="rId9">
                      <a:extLst>
                        <a:ext uri="{28A0092B-C50C-407E-A947-70E740481C1C}">
                          <a14:useLocalDpi xmlns:a14="http://schemas.microsoft.com/office/drawing/2010/main" val="0"/>
                        </a:ext>
                      </a:extLst>
                    </a:blip>
                    <a:srcRect l="15289" t="21272" r="15312" b="9088"/>
                    <a:stretch>
                      <a:fillRect/>
                    </a:stretch>
                  </pic:blipFill>
                  <pic:spPr bwMode="auto">
                    <a:xfrm>
                      <a:off x="0" y="0"/>
                      <a:ext cx="5920740" cy="3526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E09D8C" w14:textId="42E03886" w:rsidR="00584FD5" w:rsidRPr="00863F36" w:rsidRDefault="001A0951" w:rsidP="00863F36">
      <w:pPr>
        <w:spacing w:line="360" w:lineRule="auto"/>
        <w:ind w:left="720" w:firstLine="720"/>
        <w:rPr>
          <w:rFonts w:ascii="Arial" w:hAnsi="Arial" w:cs="Arial"/>
          <w:sz w:val="24"/>
          <w:szCs w:val="24"/>
        </w:rPr>
      </w:pPr>
      <w:r w:rsidRPr="00863F36">
        <w:rPr>
          <w:rFonts w:ascii="Arial" w:hAnsi="Arial" w:cs="Arial"/>
          <w:sz w:val="24"/>
          <w:szCs w:val="24"/>
        </w:rPr>
        <w:t xml:space="preserve">Source: </w:t>
      </w:r>
      <w:r w:rsidRPr="00863F36">
        <w:rPr>
          <w:rFonts w:ascii="Arial" w:hAnsi="Arial" w:cs="Arial"/>
          <w:sz w:val="24"/>
          <w:szCs w:val="24"/>
        </w:rPr>
        <w:t>Environmental Audit Committee (2023)</w:t>
      </w:r>
    </w:p>
    <w:p w14:paraId="2B763D82" w14:textId="77777777" w:rsidR="001A0951" w:rsidRPr="00863F36" w:rsidRDefault="001A0951" w:rsidP="00863F36">
      <w:pPr>
        <w:spacing w:line="360" w:lineRule="auto"/>
        <w:rPr>
          <w:rFonts w:ascii="Arial" w:hAnsi="Arial" w:cs="Arial"/>
          <w:sz w:val="24"/>
          <w:szCs w:val="24"/>
        </w:rPr>
      </w:pPr>
    </w:p>
    <w:p w14:paraId="643D7410" w14:textId="2EE53D8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The UK ETS imposes a cost on companies which fly within UK airspace as they are made to purchase allowances in relation to the emissions. Carbon trade between PS40-90/t makes this a significant P&amp;L category: the bill on carbon of easy Jet in 2022 was in the range of PS180m (around 2.2% of revenue). Jet Zero has a goal of net-zero domestic by 2040 and international by 2050 with a 10% SAF requirement by 2030. SAF is 3-5 times more expensive than kerosene, and supply is limited, putting the unit costs under strain unless subsidised or obtained through long term offtakes. </w:t>
      </w:r>
    </w:p>
    <w:p w14:paraId="5740520A"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lastRenderedPageBreak/>
        <w:t xml:space="preserve">EU Fit for 55 is further pressurizing: the tax exemption on kerosene could be phased out, the SAF ramp would have to be steep (2% by 2025 and 63% by 2050), and short-haul restrictions where rail had an advantage could be imposed. Divergence UK-EU makes compliance and policy hedging difficult. Demand On the demand side, flight shame and corporate carbon regulations are influencing some travellers to rail or fewer trips, however, there is still a wide intention-action gap with price and convenience continuing to dominate. </w:t>
      </w:r>
    </w:p>
    <w:p w14:paraId="3CFD25F9" w14:textId="5201BB40"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Asymmetric impacts. easyJet enjoys a young fleet (~7.2 years), large load factors, point-to-point routing and a published net-zero pathway (SAF offtakes, renewal, removals), which it can use to make credible and third-party-verified efficiency claims. The long-haul, premium-heavy mix, and older fleet (~9.8 years) of BA increase its per-passenger emissions, whereas its higher pricing capabilities with corporates through fares and green packages favor pass-through through fares and green packages. </w:t>
      </w:r>
      <w:r w:rsidR="00E60181" w:rsidRPr="00863F36">
        <w:rPr>
          <w:rFonts w:ascii="Arial" w:hAnsi="Arial" w:cs="Arial"/>
          <w:sz w:val="24"/>
          <w:szCs w:val="24"/>
        </w:rPr>
        <w:t>The paradox: to comply with ETS/SAF means massive investment and smaller margins: yet genuine decarbonisation would imply slower growth: a tough call without the step changes in scalable SAF, electric or hydrogen propulsion.</w:t>
      </w:r>
    </w:p>
    <w:p w14:paraId="5152BC43"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easyJet - threats: ETS/SAF has low pass-through costs; SAF shortage and rail replacement could have an impact on utilisation; perceived greenwashing reputational risk. easyJet - strengths: High loads and high scores on single-type fleet: The basis of per-seat efficiency leadership; SAF early and wins fast: Costs are lowered and risks are required. </w:t>
      </w:r>
    </w:p>
    <w:p w14:paraId="2AD5BCEA" w14:textId="77777777" w:rsidR="00E60181" w:rsidRPr="00E60181" w:rsidRDefault="00E60181" w:rsidP="00863F36">
      <w:pPr>
        <w:spacing w:line="360" w:lineRule="auto"/>
        <w:rPr>
          <w:rFonts w:ascii="Arial" w:hAnsi="Arial" w:cs="Arial"/>
          <w:sz w:val="24"/>
          <w:szCs w:val="24"/>
        </w:rPr>
      </w:pPr>
      <w:r w:rsidRPr="00E60181">
        <w:rPr>
          <w:rFonts w:ascii="Arial" w:hAnsi="Arial" w:cs="Arial"/>
          <w:sz w:val="24"/>
          <w:szCs w:val="24"/>
        </w:rPr>
        <w:t>BA – Key threats: Long/short haul weight based structures exposes carbon liability; fragmented jurisdictions (UK/EU ETS, CORSIA, SAF) and more stringent compliance (inc. contrails) add to the risk of non-compliance and spread.</w:t>
      </w:r>
    </w:p>
    <w:p w14:paraId="52177E4E"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BA major opportunities: Pricing power allows greater pass-through and corporate green fare/SAF packages; scale of alliances SAF acquisition and A350/787 renewal compound gain and loyalty have an effect. Definition: market leader = easy Jet in the European short-haul LCC; follower = BA implementing LCC aspects whilst maintaining a premium model. </w:t>
      </w:r>
    </w:p>
    <w:p w14:paraId="65EBE047"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3.2 Customer Experience and Digital Transformation. </w:t>
      </w:r>
    </w:p>
    <w:p w14:paraId="3AF95413"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lastRenderedPageBreak/>
        <w:t xml:space="preserve">Digitalisation is transforming distribution, operations and service. Direct to digital (web/app) has already overtaken 60%+ of bookings, by-passing the 1990s agency business, although OTAs/metasearch continue to take 25-30% via convenience and price comparison - re-intermediating at a commission fee. NDC is much more promising in the form of richer and more controllable offers and bundles, although it also complicates the workflow with corporate buyers and TMCs. Channel mix will continue to be competitive, given the shift in values to first-party data due to privacy changes. </w:t>
      </w:r>
    </w:p>
    <w:p w14:paraId="7BA1C981" w14:textId="7F6609F0" w:rsidR="000C2830" w:rsidRPr="00863F36" w:rsidRDefault="000C2830" w:rsidP="00863F36">
      <w:pPr>
        <w:spacing w:line="360" w:lineRule="auto"/>
        <w:rPr>
          <w:rFonts w:ascii="Arial" w:hAnsi="Arial" w:cs="Arial"/>
          <w:sz w:val="24"/>
          <w:szCs w:val="24"/>
        </w:rPr>
      </w:pPr>
      <w:r w:rsidRPr="00863F36">
        <w:rPr>
          <w:rFonts w:ascii="Arial" w:hAnsi="Arial" w:cs="Arial"/>
          <w:noProof/>
          <w:sz w:val="24"/>
          <w:szCs w:val="24"/>
        </w:rPr>
        <w:drawing>
          <wp:anchor distT="0" distB="0" distL="114300" distR="114300" simplePos="0" relativeHeight="251660288" behindDoc="1" locked="0" layoutInCell="1" allowOverlap="1" wp14:anchorId="7EA33584" wp14:editId="089841A3">
            <wp:simplePos x="0" y="0"/>
            <wp:positionH relativeFrom="margin">
              <wp:align>left</wp:align>
            </wp:positionH>
            <wp:positionV relativeFrom="paragraph">
              <wp:posOffset>367030</wp:posOffset>
            </wp:positionV>
            <wp:extent cx="5731510" cy="3291840"/>
            <wp:effectExtent l="0" t="0" r="2540" b="3810"/>
            <wp:wrapTight wrapText="bothSides">
              <wp:wrapPolygon edited="0">
                <wp:start x="0" y="0"/>
                <wp:lineTo x="0" y="21500"/>
                <wp:lineTo x="21538" y="21500"/>
                <wp:lineTo x="21538" y="0"/>
                <wp:lineTo x="0" y="0"/>
              </wp:wrapPolygon>
            </wp:wrapTight>
            <wp:docPr id="994642382" name="Picture 3"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42382" name="Picture 3" descr="A graph of a bar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14:sizeRelV relativeFrom="margin">
              <wp14:pctHeight>0</wp14:pctHeight>
            </wp14:sizeRelV>
          </wp:anchor>
        </w:drawing>
      </w:r>
    </w:p>
    <w:p w14:paraId="3ADE26AF" w14:textId="3C4D066A" w:rsidR="000C2830" w:rsidRPr="00863F36" w:rsidRDefault="000C2830" w:rsidP="00863F36">
      <w:pPr>
        <w:spacing w:line="360" w:lineRule="auto"/>
        <w:rPr>
          <w:rFonts w:ascii="Arial" w:hAnsi="Arial" w:cs="Arial"/>
          <w:sz w:val="24"/>
          <w:szCs w:val="24"/>
        </w:rPr>
      </w:pPr>
      <w:r w:rsidRPr="00863F36">
        <w:rPr>
          <w:rFonts w:ascii="Arial" w:hAnsi="Arial" w:cs="Arial"/>
          <w:sz w:val="24"/>
          <w:szCs w:val="24"/>
        </w:rPr>
        <w:tab/>
      </w:r>
      <w:r w:rsidRPr="00863F36">
        <w:rPr>
          <w:rFonts w:ascii="Arial" w:hAnsi="Arial" w:cs="Arial"/>
          <w:sz w:val="24"/>
          <w:szCs w:val="24"/>
        </w:rPr>
        <w:tab/>
      </w:r>
      <w:r w:rsidRPr="00863F36">
        <w:rPr>
          <w:rFonts w:ascii="Arial" w:hAnsi="Arial" w:cs="Arial"/>
          <w:sz w:val="24"/>
          <w:szCs w:val="24"/>
        </w:rPr>
        <w:t xml:space="preserve">Source: </w:t>
      </w:r>
      <w:r w:rsidRPr="00863F36">
        <w:rPr>
          <w:rFonts w:ascii="Arial" w:hAnsi="Arial" w:cs="Arial"/>
          <w:sz w:val="24"/>
          <w:szCs w:val="24"/>
        </w:rPr>
        <w:t>Phocuswright’s UK Travel Market Report 2023-2027</w:t>
      </w:r>
    </w:p>
    <w:p w14:paraId="5A0A8C22" w14:textId="77777777" w:rsidR="000C2830" w:rsidRPr="00863F36" w:rsidRDefault="000C2830" w:rsidP="00863F36">
      <w:pPr>
        <w:spacing w:line="360" w:lineRule="auto"/>
        <w:rPr>
          <w:rFonts w:ascii="Arial" w:hAnsi="Arial" w:cs="Arial"/>
          <w:sz w:val="24"/>
          <w:szCs w:val="24"/>
        </w:rPr>
      </w:pPr>
    </w:p>
    <w:p w14:paraId="5001B4DA"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Being a digital native, easyJet operates a low stack, modular stack, and a high-utilization application of search, booking, check-in, mobile boarding, disruption care and alerts. The application represents a key front office in the realm of mobile intensive short-haul leisure travel. Dynamic Pricing consumes demand and competitive data; personalisation is driven by unified first party data. Ancillary merchandising (seats, legroom, speedy boarding, bags, flexibility) stands out as prominent and dynamic; in 2023 ancillaries are about 22 percent of revenue which is optimised via constant A/B tests. The decades-old legacy stack at BA limited its </w:t>
      </w:r>
      <w:r w:rsidRPr="00863F36">
        <w:rPr>
          <w:rFonts w:ascii="Arial" w:hAnsi="Arial" w:cs="Arial"/>
          <w:sz w:val="24"/>
          <w:szCs w:val="24"/>
        </w:rPr>
        <w:lastRenderedPageBreak/>
        <w:t>agility and single view of customers to a point of causing outages (e.g., 2017). Parity is the new focus of the programmes: a re-engineered web/app, NDC rollout, a customer data platform, biometrics and RFID baggage, supported by c. PS6.5bn IAG capex (2020-25). Value is material and mostly incremental instead of differentiating.</w:t>
      </w:r>
    </w:p>
    <w:p w14:paraId="6B435D47"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Hyper-personalisation is driven by analytics: the easy-to-use behavioural segments (families, solos, and midweek frequent fliers) in easyJet raise the relevance and response; the Executive Club (~16m members) in BA is an excellent asset of data, but the communication is reshaped to be less generic blasts and more offers. Operational technology crew/roster optimisation, predictive maintenance, disruption recovery, fuel analytics - easy upgrades punctuality and costs, and BA upgrades complexity at the hub, whilst scale maintains sophisticated revenue management. Conclusion: models are amplified by digital - easyJet minimises service inputs and monetises choice: BA investments protect the premium promise and risk reduction but seldom provide step-change benefit. Headroom is in credible biometrics at scale, next-gen loyalty and more autonomous ramp operations. Both airlines are testing AI-generated care and agent help. </w:t>
      </w:r>
    </w:p>
    <w:p w14:paraId="489A0636"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easyJet - major threats: acquisition cost increases through OTA re-intermediation/NDC fragmentation; differentiation and trust are destroyed due to feature convergence and cyber risk. easyJet - opportunities: First-party data, test and learn and AI to disrupt/maintain enhance OTP, NPS and ancillary attach, maturing NDC puts tighter control. </w:t>
      </w:r>
    </w:p>
    <w:p w14:paraId="4118A371"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xml:space="preserve">BA -- threats: Technical debt increases the outage risk, and NDC conflicts with TMCs can interfere with corporate sales; legacy processes will slow down automation. </w:t>
      </w:r>
    </w:p>
    <w:p w14:paraId="37EA9001" w14:textId="57ED2E5E"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BA - opportunities: Executive Club scope enables high-margin personalisation and corporate-grade NDC; biometrics/RFID and rebuilding upgrade reliability of premium proactive reaccommodation. In general, the winners will incorporate plausible decarbonisation with rigorous digital delivery: invest before regulation, be smart with prices, own the customer relationship, harden reliability - and remain nimble as policy and demand change, and have the capacity to switch capacity and offers on the fly.</w:t>
      </w:r>
    </w:p>
    <w:p w14:paraId="420F4273" w14:textId="77777777" w:rsidR="00863F36" w:rsidRPr="00863F36" w:rsidRDefault="00863F36" w:rsidP="00863F36">
      <w:pPr>
        <w:spacing w:line="360" w:lineRule="auto"/>
        <w:rPr>
          <w:rFonts w:ascii="Arial" w:hAnsi="Arial" w:cs="Arial"/>
          <w:b/>
          <w:bCs/>
          <w:sz w:val="24"/>
          <w:szCs w:val="24"/>
        </w:rPr>
      </w:pPr>
      <w:r w:rsidRPr="00863F36">
        <w:rPr>
          <w:rFonts w:ascii="Arial" w:hAnsi="Arial" w:cs="Arial"/>
          <w:b/>
          <w:bCs/>
          <w:sz w:val="24"/>
          <w:szCs w:val="24"/>
        </w:rPr>
        <w:br w:type="page"/>
      </w:r>
    </w:p>
    <w:p w14:paraId="48E5594E" w14:textId="4BBF93C0" w:rsidR="00224438" w:rsidRPr="00863F36" w:rsidRDefault="00863F36" w:rsidP="00863F36">
      <w:pPr>
        <w:spacing w:line="360" w:lineRule="auto"/>
        <w:rPr>
          <w:rFonts w:ascii="Arial" w:hAnsi="Arial" w:cs="Arial"/>
          <w:b/>
          <w:bCs/>
          <w:sz w:val="24"/>
          <w:szCs w:val="24"/>
        </w:rPr>
      </w:pPr>
      <w:r w:rsidRPr="00863F36">
        <w:rPr>
          <w:rFonts w:ascii="Arial" w:hAnsi="Arial" w:cs="Arial"/>
          <w:b/>
          <w:bCs/>
          <w:sz w:val="24"/>
          <w:szCs w:val="24"/>
        </w:rPr>
        <w:lastRenderedPageBreak/>
        <w:t>4</w:t>
      </w:r>
      <w:r w:rsidR="00224438" w:rsidRPr="00863F36">
        <w:rPr>
          <w:rFonts w:ascii="Arial" w:hAnsi="Arial" w:cs="Arial"/>
          <w:b/>
          <w:bCs/>
          <w:sz w:val="24"/>
          <w:szCs w:val="24"/>
        </w:rPr>
        <w:t>.0 Strategic Marketing Responses: Comparative Analysis.</w:t>
      </w:r>
    </w:p>
    <w:p w14:paraId="20FE52CF" w14:textId="3F03E70D" w:rsidR="003471E1" w:rsidRPr="00863F36" w:rsidRDefault="00863F36" w:rsidP="00863F36">
      <w:pPr>
        <w:spacing w:line="360" w:lineRule="auto"/>
        <w:rPr>
          <w:rFonts w:ascii="Arial" w:hAnsi="Arial" w:cs="Arial"/>
          <w:b/>
          <w:bCs/>
          <w:sz w:val="24"/>
          <w:szCs w:val="24"/>
        </w:rPr>
      </w:pPr>
      <w:r w:rsidRPr="00863F36">
        <w:rPr>
          <w:rFonts w:ascii="Arial" w:hAnsi="Arial" w:cs="Arial"/>
          <w:b/>
          <w:bCs/>
          <w:sz w:val="24"/>
          <w:szCs w:val="24"/>
        </w:rPr>
        <w:t>4</w:t>
      </w:r>
      <w:r w:rsidR="00224438" w:rsidRPr="00863F36">
        <w:rPr>
          <w:rFonts w:ascii="Arial" w:hAnsi="Arial" w:cs="Arial"/>
          <w:b/>
          <w:bCs/>
          <w:sz w:val="24"/>
          <w:szCs w:val="24"/>
        </w:rPr>
        <w:t>.1 Low-Cost Innovation Model of easyJet.</w:t>
      </w:r>
    </w:p>
    <w:p w14:paraId="714A2783" w14:textId="77777777" w:rsidR="003471E1" w:rsidRPr="00863F36" w:rsidRDefault="003471E1" w:rsidP="00863F36">
      <w:pPr>
        <w:spacing w:line="360" w:lineRule="auto"/>
        <w:rPr>
          <w:rFonts w:ascii="Arial" w:hAnsi="Arial" w:cs="Arial"/>
          <w:sz w:val="24"/>
          <w:szCs w:val="24"/>
        </w:rPr>
      </w:pPr>
      <w:r w:rsidRPr="00863F36">
        <w:rPr>
          <w:rFonts w:ascii="Arial" w:hAnsi="Arial" w:cs="Arial"/>
          <w:sz w:val="24"/>
          <w:szCs w:val="24"/>
        </w:rPr>
        <w:t>E</w:t>
      </w:r>
      <w:r w:rsidR="00224438" w:rsidRPr="00863F36">
        <w:rPr>
          <w:rFonts w:ascii="Arial" w:hAnsi="Arial" w:cs="Arial"/>
          <w:sz w:val="24"/>
          <w:szCs w:val="24"/>
        </w:rPr>
        <w:t xml:space="preserve">asyJet uses value innovation, which is a combination of selective differentiation and structural cost leadership in order to break the traditional cost-quality trade-offs (Kim and Mauborgne, 2015). Segmentation, targeting, positioning (STP). </w:t>
      </w:r>
    </w:p>
    <w:p w14:paraId="1790A946"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Segmentation: </w:t>
      </w:r>
      <w:r w:rsidRPr="00863F36">
        <w:rPr>
          <w:rFonts w:ascii="Arial" w:hAnsi="Arial" w:cs="Arial"/>
          <w:sz w:val="24"/>
          <w:szCs w:val="24"/>
        </w:rPr>
        <w:t>price-sensitive leisure; cost-conscious business; VFR; city-break tourists; younger and digital and eco-conscious skew of travelers. Targeting: mass-European short-haul focusing on price and convenience over the UK, France, Germany, Italy and Switzerland.</w:t>
      </w:r>
      <w:r w:rsidRPr="00863F36">
        <w:rPr>
          <w:rFonts w:ascii="Arial" w:hAnsi="Arial" w:cs="Arial"/>
          <w:b/>
          <w:bCs/>
          <w:sz w:val="24"/>
          <w:szCs w:val="24"/>
        </w:rPr>
        <w:t xml:space="preserve"> </w:t>
      </w:r>
    </w:p>
    <w:p w14:paraId="49AB04B8"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Positioning: </w:t>
      </w:r>
      <w:r w:rsidRPr="00863F36">
        <w:rPr>
          <w:rFonts w:ascii="Arial" w:hAnsi="Arial" w:cs="Arial"/>
          <w:sz w:val="24"/>
          <w:szCs w:val="24"/>
        </w:rPr>
        <w:t>as the leading airline in Europe, a focus on value, punctuality, safety, and sustainability - a premium-within-LC position versus ultra-cost competitors (easyBudget, 2023a).</w:t>
      </w:r>
    </w:p>
    <w:p w14:paraId="507E6541"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Marketing mix (7Ps)</w:t>
      </w:r>
    </w:p>
    <w:p w14:paraId="758FA821" w14:textId="1BFF4B9A"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Product: </w:t>
      </w:r>
      <w:r w:rsidRPr="00863F36">
        <w:rPr>
          <w:rFonts w:ascii="Arial" w:hAnsi="Arial" w:cs="Arial"/>
          <w:sz w:val="24"/>
          <w:szCs w:val="24"/>
        </w:rPr>
        <w:t>basic core and unbundled ancillaries (allocated seating, extra legroom, speedy boarding, baggage, buy-on-board); add-ons are easyEasy holidays, business-friendly (flex tickets, frequency, primary airports), and hands-free cabin bag (easy, 2023b).</w:t>
      </w:r>
      <w:r w:rsidRPr="00863F36">
        <w:rPr>
          <w:rFonts w:ascii="Arial" w:hAnsi="Arial" w:cs="Arial"/>
          <w:b/>
          <w:bCs/>
          <w:sz w:val="24"/>
          <w:szCs w:val="24"/>
        </w:rPr>
        <w:t xml:space="preserve"> </w:t>
      </w:r>
    </w:p>
    <w:p w14:paraId="4ECE01C1"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Price: </w:t>
      </w:r>
      <w:r w:rsidRPr="00863F36">
        <w:rPr>
          <w:rFonts w:ascii="Arial" w:hAnsi="Arial" w:cs="Arial"/>
          <w:sz w:val="24"/>
          <w:szCs w:val="24"/>
        </w:rPr>
        <w:t>dynamic, clearly seen fares with behavioural controls: early-booking and late-purchase prices (Talluri and Van Ryzin, 2006).</w:t>
      </w:r>
      <w:r w:rsidRPr="00863F36">
        <w:rPr>
          <w:rFonts w:ascii="Arial" w:hAnsi="Arial" w:cs="Arial"/>
          <w:b/>
          <w:bCs/>
          <w:sz w:val="24"/>
          <w:szCs w:val="24"/>
        </w:rPr>
        <w:t xml:space="preserve"> </w:t>
      </w:r>
    </w:p>
    <w:p w14:paraId="63F7C6B7"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Place: </w:t>
      </w:r>
      <w:r w:rsidRPr="00863F36">
        <w:rPr>
          <w:rFonts w:ascii="Arial" w:hAnsi="Arial" w:cs="Arial"/>
          <w:sz w:val="24"/>
          <w:szCs w:val="24"/>
        </w:rPr>
        <w:t>direct digital is the dominant form (75% through easyWet.com/app) which is supplemented with OTA/metasearch to discover; primary-airport presence (Gatwick, Luton, AMS, CDG) charges convenience and corporate access (easyWet, 2023a).</w:t>
      </w:r>
      <w:r w:rsidRPr="00863F36">
        <w:rPr>
          <w:rFonts w:ascii="Arial" w:hAnsi="Arial" w:cs="Arial"/>
          <w:b/>
          <w:bCs/>
          <w:sz w:val="24"/>
          <w:szCs w:val="24"/>
        </w:rPr>
        <w:t xml:space="preserve"> </w:t>
      </w:r>
    </w:p>
    <w:p w14:paraId="181EDC3B"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Promotion: </w:t>
      </w:r>
      <w:r w:rsidRPr="00863F36">
        <w:rPr>
          <w:rFonts w:ascii="Arial" w:hAnsi="Arial" w:cs="Arial"/>
          <w:sz w:val="24"/>
          <w:szCs w:val="24"/>
        </w:rPr>
        <w:t xml:space="preserve">digital-first performance and content marketing, PR on sustainability, and targeted CRM; lean spend (PS150m; -1.8% revenue) vs BA's -PS300m ( -2.3%) (easyJet, 2023b). </w:t>
      </w:r>
    </w:p>
    <w:p w14:paraId="02E32646" w14:textId="77777777" w:rsidR="003471E1" w:rsidRPr="00863F36" w:rsidRDefault="00224438" w:rsidP="00863F36">
      <w:pPr>
        <w:spacing w:line="360" w:lineRule="auto"/>
        <w:rPr>
          <w:rFonts w:ascii="Arial" w:hAnsi="Arial" w:cs="Arial"/>
          <w:sz w:val="24"/>
          <w:szCs w:val="24"/>
        </w:rPr>
      </w:pPr>
      <w:r w:rsidRPr="00863F36">
        <w:rPr>
          <w:rFonts w:ascii="Arial" w:hAnsi="Arial" w:cs="Arial"/>
          <w:b/>
          <w:bCs/>
          <w:sz w:val="24"/>
          <w:szCs w:val="24"/>
        </w:rPr>
        <w:t xml:space="preserve">People: </w:t>
      </w:r>
      <w:r w:rsidRPr="00863F36">
        <w:rPr>
          <w:rFonts w:ascii="Arial" w:hAnsi="Arial" w:cs="Arial"/>
          <w:sz w:val="24"/>
          <w:szCs w:val="24"/>
        </w:rPr>
        <w:t xml:space="preserve">culture of efficiency; cabin crew are safety experts and onboard retailers; staffing needs are decreased by self-service. </w:t>
      </w:r>
    </w:p>
    <w:p w14:paraId="37170574"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lastRenderedPageBreak/>
        <w:t xml:space="preserve">Process: </w:t>
      </w:r>
      <w:r w:rsidRPr="00863F36">
        <w:rPr>
          <w:rFonts w:ascii="Arial" w:hAnsi="Arial" w:cs="Arial"/>
          <w:sz w:val="24"/>
          <w:szCs w:val="24"/>
        </w:rPr>
        <w:t>automated, technology-facilitated processes online check-in, automated baggage handling, 25-minute turnarounds, pushing utilisation (Alamdari and Fagan, 2005).</w:t>
      </w:r>
      <w:r w:rsidRPr="00863F36">
        <w:rPr>
          <w:rFonts w:ascii="Arial" w:hAnsi="Arial" w:cs="Arial"/>
          <w:b/>
          <w:bCs/>
          <w:sz w:val="24"/>
          <w:szCs w:val="24"/>
        </w:rPr>
        <w:t xml:space="preserve"> </w:t>
      </w:r>
    </w:p>
    <w:p w14:paraId="6C1B71B5"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Physical experience: </w:t>
      </w:r>
      <w:r w:rsidRPr="00863F36">
        <w:rPr>
          <w:rFonts w:ascii="Arial" w:hAnsi="Arial" w:cs="Arial"/>
          <w:sz w:val="24"/>
          <w:szCs w:val="24"/>
        </w:rPr>
        <w:t>current Airbus fleet, plain no-frills cabins, bright orange livery, and smooth digital experiences (Kotler and Keller, 2016). Critical evaluation The model predicted to 95m passengers and PS8.2bn revenue in 2023, although the strains are increasing: low-cost unit costs, historic basic economy copying, increasing environmental expenses, and fringe saturation in Ryanair. The strategic risk is being in the middle between the cheapest and actually premium, since it requires constant innovation to protect the uniqueness (Porter, 1996; CAPA, 2023).</w:t>
      </w:r>
      <w:r w:rsidRPr="00863F36">
        <w:rPr>
          <w:rFonts w:ascii="Arial" w:hAnsi="Arial" w:cs="Arial"/>
          <w:b/>
          <w:bCs/>
          <w:sz w:val="24"/>
          <w:szCs w:val="24"/>
        </w:rPr>
        <w:t xml:space="preserve"> </w:t>
      </w:r>
    </w:p>
    <w:p w14:paraId="5E82F9C1" w14:textId="55660C7E" w:rsidR="003471E1" w:rsidRPr="00863F36" w:rsidRDefault="00863F36" w:rsidP="00863F36">
      <w:pPr>
        <w:spacing w:line="360" w:lineRule="auto"/>
        <w:rPr>
          <w:rFonts w:ascii="Arial" w:hAnsi="Arial" w:cs="Arial"/>
          <w:b/>
          <w:bCs/>
          <w:sz w:val="24"/>
          <w:szCs w:val="24"/>
        </w:rPr>
      </w:pPr>
      <w:r w:rsidRPr="00863F36">
        <w:rPr>
          <w:rFonts w:ascii="Arial" w:hAnsi="Arial" w:cs="Arial"/>
          <w:b/>
          <w:bCs/>
          <w:sz w:val="24"/>
          <w:szCs w:val="24"/>
        </w:rPr>
        <w:t>4</w:t>
      </w:r>
      <w:r w:rsidR="00224438" w:rsidRPr="00863F36">
        <w:rPr>
          <w:rFonts w:ascii="Arial" w:hAnsi="Arial" w:cs="Arial"/>
          <w:b/>
          <w:bCs/>
          <w:sz w:val="24"/>
          <w:szCs w:val="24"/>
        </w:rPr>
        <w:t xml:space="preserve">.2 Premium Repositioning of British Airways. </w:t>
      </w:r>
    </w:p>
    <w:p w14:paraId="5D265334" w14:textId="77777777" w:rsidR="003471E1" w:rsidRPr="00863F36" w:rsidRDefault="00224438" w:rsidP="00863F36">
      <w:pPr>
        <w:spacing w:line="360" w:lineRule="auto"/>
        <w:rPr>
          <w:rFonts w:ascii="Arial" w:hAnsi="Arial" w:cs="Arial"/>
          <w:sz w:val="24"/>
          <w:szCs w:val="24"/>
        </w:rPr>
      </w:pPr>
      <w:r w:rsidRPr="00863F36">
        <w:rPr>
          <w:rFonts w:ascii="Arial" w:hAnsi="Arial" w:cs="Arial"/>
          <w:sz w:val="24"/>
          <w:szCs w:val="24"/>
        </w:rPr>
        <w:t xml:space="preserve">BA has differentiated premium value, global connectivity, service quality and heritage as well as partially fulfilling LCC fares where necessary (Porter, 2008). Segmentation, targeting, positioning (STP). </w:t>
      </w:r>
    </w:p>
    <w:p w14:paraId="602D3646"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Segmentation: </w:t>
      </w:r>
      <w:r w:rsidRPr="00863F36">
        <w:rPr>
          <w:rFonts w:ascii="Arial" w:hAnsi="Arial" w:cs="Arial"/>
          <w:sz w:val="24"/>
          <w:szCs w:val="24"/>
        </w:rPr>
        <w:t xml:space="preserve">high end business; high-end leisure; loyalists (Executive Club); and connectors around the world. Targeting: core First/Business: high-yield; to maximise loads: economy; frequent flyers to anchor in the Avios ecosystem. </w:t>
      </w:r>
    </w:p>
    <w:p w14:paraId="189CA0F2"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Positioning: </w:t>
      </w:r>
      <w:r w:rsidRPr="00863F36">
        <w:rPr>
          <w:rFonts w:ascii="Arial" w:hAnsi="Arial" w:cs="Arial"/>
          <w:sz w:val="24"/>
          <w:szCs w:val="24"/>
        </w:rPr>
        <w:t xml:space="preserve">"A British Original," making use of reliability, hospitality, national identity (British Airways, 2023a). </w:t>
      </w:r>
    </w:p>
    <w:p w14:paraId="19973BBD"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Marketing mix (7Ps) </w:t>
      </w:r>
    </w:p>
    <w:p w14:paraId="55687785"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Product: </w:t>
      </w:r>
      <w:r w:rsidRPr="00863F36">
        <w:rPr>
          <w:rFonts w:ascii="Arial" w:hAnsi="Arial" w:cs="Arial"/>
          <w:sz w:val="24"/>
          <w:szCs w:val="24"/>
        </w:rPr>
        <w:t>multi-cabin (First, Business, Premium Economy, Economy/basic) and 170-destination network through oneworld - breadth that LCCs can never achieve (British Airways, 2023b).</w:t>
      </w:r>
      <w:r w:rsidRPr="00863F36">
        <w:rPr>
          <w:rFonts w:ascii="Arial" w:hAnsi="Arial" w:cs="Arial"/>
          <w:b/>
          <w:bCs/>
          <w:sz w:val="24"/>
          <w:szCs w:val="24"/>
        </w:rPr>
        <w:t xml:space="preserve"> </w:t>
      </w:r>
    </w:p>
    <w:p w14:paraId="4E7185D6"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Price: </w:t>
      </w:r>
      <w:r w:rsidRPr="00863F36">
        <w:rPr>
          <w:rFonts w:ascii="Arial" w:hAnsi="Arial" w:cs="Arial"/>
          <w:sz w:val="24"/>
          <w:szCs w:val="24"/>
        </w:rPr>
        <w:t>30-50+ percentage premiums on similar routes based on service and schedules and corporate contracts; basic-economy fences protect share; advanced yield management maximises revenue (IAG, 2023). Place: heathrow hub 55 slot share brings about scarcity-based defensibility; direct digital and long-term TMC/agent channels, multifaceted and corporate journeys.</w:t>
      </w:r>
      <w:r w:rsidRPr="00863F36">
        <w:rPr>
          <w:rFonts w:ascii="Arial" w:hAnsi="Arial" w:cs="Arial"/>
          <w:b/>
          <w:bCs/>
          <w:sz w:val="24"/>
          <w:szCs w:val="24"/>
        </w:rPr>
        <w:t xml:space="preserve"> </w:t>
      </w:r>
    </w:p>
    <w:p w14:paraId="483B5FB2"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Promotion: </w:t>
      </w:r>
      <w:r w:rsidRPr="00863F36">
        <w:rPr>
          <w:rFonts w:ascii="Arial" w:hAnsi="Arial" w:cs="Arial"/>
          <w:sz w:val="24"/>
          <w:szCs w:val="24"/>
        </w:rPr>
        <w:t xml:space="preserve">mass-reach brand promotion, corporate selling, sponsorships and performance marketing; increased spending (PS300m) maintains the premium story. </w:t>
      </w:r>
    </w:p>
    <w:p w14:paraId="42DB6EA4" w14:textId="77777777" w:rsidR="003471E1" w:rsidRPr="00863F36" w:rsidRDefault="00224438" w:rsidP="00863F36">
      <w:pPr>
        <w:spacing w:line="360" w:lineRule="auto"/>
        <w:rPr>
          <w:rFonts w:ascii="Arial" w:hAnsi="Arial" w:cs="Arial"/>
          <w:sz w:val="24"/>
          <w:szCs w:val="24"/>
        </w:rPr>
      </w:pPr>
      <w:r w:rsidRPr="00863F36">
        <w:rPr>
          <w:rFonts w:ascii="Arial" w:hAnsi="Arial" w:cs="Arial"/>
          <w:b/>
          <w:bCs/>
          <w:sz w:val="24"/>
          <w:szCs w:val="24"/>
        </w:rPr>
        <w:lastRenderedPageBreak/>
        <w:t xml:space="preserve">People: </w:t>
      </w:r>
      <w:r w:rsidRPr="00863F36">
        <w:rPr>
          <w:rFonts w:ascii="Arial" w:hAnsi="Arial" w:cs="Arial"/>
          <w:sz w:val="24"/>
          <w:szCs w:val="24"/>
        </w:rPr>
        <w:t xml:space="preserve">service based, unionised employees; high quality touchpoints (First Wing, lounges) and strict training create uniformity. </w:t>
      </w:r>
    </w:p>
    <w:p w14:paraId="13E4AE42"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Procedural: </w:t>
      </w:r>
      <w:r w:rsidRPr="00863F36">
        <w:rPr>
          <w:rFonts w:ascii="Arial" w:hAnsi="Arial" w:cs="Arial"/>
          <w:sz w:val="24"/>
          <w:szCs w:val="24"/>
        </w:rPr>
        <w:t>hub-and-spoke coordination, tiered service rituals, and Executive Club recognition provide status indicators and loyalty.</w:t>
      </w:r>
      <w:r w:rsidRPr="00863F36">
        <w:rPr>
          <w:rFonts w:ascii="Arial" w:hAnsi="Arial" w:cs="Arial"/>
          <w:b/>
          <w:bCs/>
          <w:sz w:val="24"/>
          <w:szCs w:val="24"/>
        </w:rPr>
        <w:t xml:space="preserve"> </w:t>
      </w:r>
    </w:p>
    <w:p w14:paraId="10CE37AE" w14:textId="77777777" w:rsidR="003471E1" w:rsidRPr="00863F36" w:rsidRDefault="00224438" w:rsidP="00863F36">
      <w:pPr>
        <w:spacing w:line="360" w:lineRule="auto"/>
        <w:rPr>
          <w:rFonts w:ascii="Arial" w:hAnsi="Arial" w:cs="Arial"/>
          <w:sz w:val="24"/>
          <w:szCs w:val="24"/>
        </w:rPr>
      </w:pPr>
      <w:r w:rsidRPr="00863F36">
        <w:rPr>
          <w:rFonts w:ascii="Arial" w:hAnsi="Arial" w:cs="Arial"/>
          <w:b/>
          <w:bCs/>
          <w:sz w:val="24"/>
          <w:szCs w:val="24"/>
        </w:rPr>
        <w:t xml:space="preserve">Physical evidence: </w:t>
      </w:r>
      <w:r w:rsidRPr="00863F36">
        <w:rPr>
          <w:rFonts w:ascii="Arial" w:hAnsi="Arial" w:cs="Arial"/>
          <w:sz w:val="24"/>
          <w:szCs w:val="24"/>
        </w:rPr>
        <w:t xml:space="preserve">Global lounges: Terminal 5 flagship, mixed-age fleet (787/A350 refresh), heritage cues, which support the premium identity. </w:t>
      </w:r>
    </w:p>
    <w:p w14:paraId="33368DD6" w14:textId="77777777" w:rsidR="003471E1" w:rsidRPr="00863F36" w:rsidRDefault="00224438" w:rsidP="00863F36">
      <w:pPr>
        <w:spacing w:line="360" w:lineRule="auto"/>
        <w:rPr>
          <w:rFonts w:ascii="Arial" w:hAnsi="Arial" w:cs="Arial"/>
          <w:b/>
          <w:bCs/>
          <w:sz w:val="24"/>
          <w:szCs w:val="24"/>
        </w:rPr>
      </w:pPr>
      <w:r w:rsidRPr="00863F36">
        <w:rPr>
          <w:rFonts w:ascii="Arial" w:hAnsi="Arial" w:cs="Arial"/>
          <w:b/>
          <w:bCs/>
          <w:sz w:val="24"/>
          <w:szCs w:val="24"/>
        </w:rPr>
        <w:t xml:space="preserve">Critical evaluation </w:t>
      </w:r>
    </w:p>
    <w:p w14:paraId="503C6233" w14:textId="523AC223" w:rsidR="00224438" w:rsidRPr="00863F36" w:rsidRDefault="00224438" w:rsidP="00863F36">
      <w:pPr>
        <w:spacing w:line="360" w:lineRule="auto"/>
        <w:rPr>
          <w:rFonts w:ascii="Arial" w:hAnsi="Arial" w:cs="Arial"/>
          <w:sz w:val="24"/>
          <w:szCs w:val="24"/>
        </w:rPr>
      </w:pPr>
      <w:r w:rsidRPr="00863F36">
        <w:rPr>
          <w:rFonts w:ascii="Arial" w:hAnsi="Arial" w:cs="Arial"/>
          <w:sz w:val="24"/>
          <w:szCs w:val="24"/>
        </w:rPr>
        <w:t>The premium focus of BA contributes to a revenue of about PS13bn and high long-haul margins, but the paradoxes persist: structurally uncompetitive short-haul and LCCs, a post-COVID deterrent to corporate demand, and reputational blows in the form of IT/baggage failures. Premium differentiation and low-cost matching have a dual purpose that can be strategically incoherent and can brand-dilute, unless it is strictly segmented and operationally unified (Porter, 1996).</w:t>
      </w:r>
    </w:p>
    <w:p w14:paraId="686EA87F" w14:textId="77777777" w:rsidR="00E60181" w:rsidRPr="00863F36" w:rsidRDefault="00E60181" w:rsidP="00863F36">
      <w:pPr>
        <w:spacing w:line="360" w:lineRule="auto"/>
        <w:rPr>
          <w:rFonts w:ascii="Arial" w:hAnsi="Arial" w:cs="Arial"/>
          <w:b/>
          <w:bCs/>
          <w:sz w:val="24"/>
          <w:szCs w:val="24"/>
        </w:rPr>
      </w:pPr>
    </w:p>
    <w:p w14:paraId="1CEDF65B" w14:textId="06906F5F" w:rsidR="0086677B" w:rsidRPr="00863F36" w:rsidRDefault="00863F36" w:rsidP="00863F36">
      <w:pPr>
        <w:spacing w:line="360" w:lineRule="auto"/>
        <w:rPr>
          <w:rFonts w:ascii="Arial" w:hAnsi="Arial" w:cs="Arial"/>
          <w:sz w:val="24"/>
          <w:szCs w:val="24"/>
        </w:rPr>
      </w:pPr>
      <w:r w:rsidRPr="00863F36">
        <w:rPr>
          <w:rFonts w:ascii="Arial" w:hAnsi="Arial" w:cs="Arial"/>
          <w:b/>
          <w:bCs/>
          <w:sz w:val="24"/>
          <w:szCs w:val="24"/>
        </w:rPr>
        <w:t>5</w:t>
      </w:r>
      <w:r w:rsidR="00D320DE" w:rsidRPr="00863F36">
        <w:rPr>
          <w:rFonts w:ascii="Arial" w:hAnsi="Arial" w:cs="Arial"/>
          <w:b/>
          <w:bCs/>
          <w:sz w:val="24"/>
          <w:szCs w:val="24"/>
        </w:rPr>
        <w:t>.0</w:t>
      </w:r>
      <w:r w:rsidR="00D320DE" w:rsidRPr="00863F36">
        <w:rPr>
          <w:rFonts w:ascii="Arial" w:hAnsi="Arial" w:cs="Arial"/>
          <w:sz w:val="24"/>
          <w:szCs w:val="24"/>
        </w:rPr>
        <w:t xml:space="preserve"> </w:t>
      </w:r>
      <w:r w:rsidR="00D320DE" w:rsidRPr="00863F36">
        <w:rPr>
          <w:rFonts w:ascii="Arial" w:hAnsi="Arial" w:cs="Arial"/>
          <w:b/>
          <w:bCs/>
          <w:sz w:val="24"/>
          <w:szCs w:val="24"/>
        </w:rPr>
        <w:t>Competitive Positioning Synthesis</w:t>
      </w:r>
    </w:p>
    <w:p w14:paraId="60F724BC" w14:textId="4BE7F6A5"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Porter’s Five Forces (Porter, 2008):</w:t>
      </w:r>
    </w:p>
    <w:p w14:paraId="078A33B4" w14:textId="29AFF5E0"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Rivalry: Fierce. easyJet vs Ryanair/Wizz in LCC; BA vs Emirates/Lufthansa in premium; transparent pricing economy and low switching squeezes margin.</w:t>
      </w:r>
    </w:p>
    <w:p w14:paraId="5D7C2F7B" w14:textId="6E0D3B6B"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Buyer Power: High for leisure (price sensitive, substitutes abundant); moderate for business (contractual requirements and loyalty, service required;   low connecting itineraries (network retained) damned if you do and damned if you don’t’   Grant 2016</w:t>
      </w:r>
    </w:p>
    <w:p w14:paraId="433934A2" w14:textId="2C253005"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Supplier Power: Strong —aircraft duopoly, fuel oligopoly, restricted airports (e.g., Heathrow), and with unions (especially BA) reducing flexibility (Doganis, 2019).</w:t>
      </w:r>
    </w:p>
    <w:p w14:paraId="489B06E7" w14:textId="3CB94F54"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New entrants: Low barriers – capital, regulation &amp; slots but incumbents can add routes and new players too (Wizz, Norse) come in also (CAPA 2023).</w:t>
      </w:r>
    </w:p>
    <w:p w14:paraId="7E64B09E"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Replacements: High speed rail on short haul, video-conferencing for business and niche private/regional alternatives (Climate Change Committee, 2023).</w:t>
      </w:r>
    </w:p>
    <w:p w14:paraId="77D8A265" w14:textId="77777777" w:rsidR="0086677B" w:rsidRPr="00863F36" w:rsidRDefault="0086677B" w:rsidP="00863F36">
      <w:pPr>
        <w:spacing w:line="360" w:lineRule="auto"/>
        <w:rPr>
          <w:rFonts w:ascii="Arial" w:hAnsi="Arial" w:cs="Arial"/>
          <w:sz w:val="24"/>
          <w:szCs w:val="24"/>
        </w:rPr>
      </w:pPr>
    </w:p>
    <w:p w14:paraId="04C655BD" w14:textId="14E1FD26"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lastRenderedPageBreak/>
        <w:t>Resource Based View (Barney, 2014):</w:t>
      </w:r>
    </w:p>
    <w:p w14:paraId="299E8123" w14:textId="4F29E278"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easyJet VRIN: Culture of efficiency (valuable, somewhat rare, difficult to replicate); digital platform (valuable and increasingly common); sustainability positioning (valuable, rare), primary airport slots (valuable, rare, next to impossible to acquire).</w:t>
      </w:r>
    </w:p>
    <w:p w14:paraId="0D40B073" w14:textId="54940FAA"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 BA VRIN: Heathrow slot control (valuable, very rare, almost inimitable); global reach/partnerships (valuable; rare); brand legacy/consumer trust (valuable, Rare); Executive Club (Valuable, mostly imitatable).</w:t>
      </w:r>
    </w:p>
    <w:p w14:paraId="6DF46A04" w14:textId="77777777" w:rsidR="0086677B" w:rsidRPr="00863F36" w:rsidRDefault="0086677B" w:rsidP="00863F36">
      <w:pPr>
        <w:spacing w:line="360" w:lineRule="auto"/>
        <w:rPr>
          <w:rFonts w:ascii="Arial" w:hAnsi="Arial" w:cs="Arial"/>
          <w:sz w:val="24"/>
          <w:szCs w:val="24"/>
        </w:rPr>
      </w:pPr>
      <w:r w:rsidRPr="00863F36">
        <w:rPr>
          <w:rFonts w:ascii="Arial" w:hAnsi="Arial" w:cs="Arial"/>
          <w:sz w:val="24"/>
          <w:szCs w:val="24"/>
        </w:rPr>
        <w:t>Implication: Both have tenable but only partial advantages; the key lies in orchestrating resources and in outmove rivals, rather than possessing any one asset (Eisenhardt &amp; Martin, 2000).</w:t>
      </w:r>
    </w:p>
    <w:p w14:paraId="20507F43" w14:textId="77777777" w:rsidR="00E60181" w:rsidRPr="00863F36" w:rsidRDefault="00E60181" w:rsidP="00863F36">
      <w:pPr>
        <w:spacing w:line="360" w:lineRule="auto"/>
        <w:rPr>
          <w:rFonts w:ascii="Arial" w:hAnsi="Arial" w:cs="Arial"/>
          <w:sz w:val="24"/>
          <w:szCs w:val="24"/>
        </w:rPr>
      </w:pPr>
    </w:p>
    <w:p w14:paraId="55F9B6B1" w14:textId="72AE27A2" w:rsidR="00D320DE" w:rsidRPr="00863F36" w:rsidRDefault="00863F36" w:rsidP="00863F36">
      <w:pPr>
        <w:spacing w:line="360" w:lineRule="auto"/>
        <w:rPr>
          <w:rFonts w:ascii="Arial" w:hAnsi="Arial" w:cs="Arial"/>
          <w:sz w:val="24"/>
          <w:szCs w:val="24"/>
        </w:rPr>
      </w:pPr>
      <w:r w:rsidRPr="00863F36">
        <w:rPr>
          <w:rFonts w:ascii="Arial" w:hAnsi="Arial" w:cs="Arial"/>
          <w:b/>
          <w:bCs/>
          <w:sz w:val="24"/>
          <w:szCs w:val="24"/>
        </w:rPr>
        <w:t>6</w:t>
      </w:r>
      <w:r w:rsidR="00D320DE" w:rsidRPr="00863F36">
        <w:rPr>
          <w:rFonts w:ascii="Arial" w:hAnsi="Arial" w:cs="Arial"/>
          <w:b/>
          <w:bCs/>
          <w:sz w:val="24"/>
          <w:szCs w:val="24"/>
        </w:rPr>
        <w:t>.0 Conclusions</w:t>
      </w:r>
      <w:r w:rsidR="00D320DE" w:rsidRPr="00863F36">
        <w:rPr>
          <w:rFonts w:ascii="Arial" w:hAnsi="Arial" w:cs="Arial"/>
          <w:sz w:val="24"/>
          <w:szCs w:val="24"/>
        </w:rPr>
        <w:br/>
      </w:r>
      <w:r w:rsidR="0086677B" w:rsidRPr="00863F36">
        <w:rPr>
          <w:rFonts w:ascii="Arial" w:hAnsi="Arial" w:cs="Arial"/>
          <w:sz w:val="24"/>
          <w:szCs w:val="24"/>
        </w:rPr>
        <w:t>The competitive advantage during the period of disruption is grounded in the strategic coherence, which is the alignment of economics, customer value, capabilities and culture (Porter, 1996; Teece, 2009). easyJet thrived on the whole low-cost system simplified operations and point-to-point networks. By juggling between premium variousiation and LCC imitation, BA suffered brand watering down and operational cost (Grant, 2016). Neither pioneer nor follower position is assured: easyJet lost its advantage; BA was limited by old systems and culture. Sustainability is decisive, efficiency cannot be good without breakthroughs or demand management. Real sustainability leadership has the ability to distinguish (Gossling and Humpe, 2020). The ability to develop and instill sustainability in value propositions is a sustainable positioning requirement (Kotler and Keller, 2016).</w:t>
      </w:r>
    </w:p>
    <w:p w14:paraId="474E3F0A" w14:textId="77777777" w:rsidR="00966266" w:rsidRDefault="00D320DE" w:rsidP="00863F36">
      <w:pPr>
        <w:spacing w:line="360" w:lineRule="auto"/>
        <w:rPr>
          <w:rFonts w:ascii="Arial" w:hAnsi="Arial" w:cs="Arial"/>
          <w:b/>
          <w:bCs/>
          <w:sz w:val="24"/>
          <w:szCs w:val="24"/>
        </w:rPr>
      </w:pPr>
      <w:r w:rsidRPr="00863F36">
        <w:rPr>
          <w:rFonts w:ascii="Arial" w:hAnsi="Arial" w:cs="Arial"/>
          <w:b/>
          <w:bCs/>
          <w:sz w:val="24"/>
          <w:szCs w:val="24"/>
        </w:rPr>
        <w:br w:type="page"/>
      </w:r>
      <w:r w:rsidRPr="00863F36">
        <w:rPr>
          <w:rFonts w:ascii="Arial" w:hAnsi="Arial" w:cs="Arial"/>
          <w:b/>
          <w:bCs/>
          <w:sz w:val="24"/>
          <w:szCs w:val="24"/>
        </w:rPr>
        <w:lastRenderedPageBreak/>
        <w:t>References</w:t>
      </w:r>
    </w:p>
    <w:p w14:paraId="515A9E48" w14:textId="4F31DF3E" w:rsidR="00966266" w:rsidRPr="00863F36" w:rsidRDefault="00966266" w:rsidP="00863F36">
      <w:pPr>
        <w:spacing w:line="360" w:lineRule="auto"/>
        <w:rPr>
          <w:rFonts w:ascii="Arial" w:hAnsi="Arial" w:cs="Arial"/>
          <w:b/>
          <w:bCs/>
          <w:sz w:val="24"/>
          <w:szCs w:val="24"/>
        </w:rPr>
      </w:pPr>
      <w:r w:rsidRPr="00863F36">
        <w:rPr>
          <w:rFonts w:ascii="Arial" w:hAnsi="Arial" w:cs="Arial"/>
          <w:sz w:val="24"/>
          <w:szCs w:val="24"/>
        </w:rPr>
        <w:br/>
        <w:t>British Airways (2023a) Annual Report 2022. Available at: </w:t>
      </w:r>
      <w:hyperlink r:id="rId11" w:history="1">
        <w:r w:rsidRPr="00863F36">
          <w:rPr>
            <w:rStyle w:val="Hyperlink"/>
            <w:rFonts w:ascii="Arial" w:hAnsi="Arial" w:cs="Arial"/>
            <w:sz w:val="24"/>
            <w:szCs w:val="24"/>
          </w:rPr>
          <w:t>https://www.britishairways.com/corporate/annual-report</w:t>
        </w:r>
      </w:hyperlink>
      <w:r w:rsidRPr="00863F36">
        <w:rPr>
          <w:rFonts w:ascii="Arial" w:hAnsi="Arial" w:cs="Arial"/>
          <w:sz w:val="24"/>
          <w:szCs w:val="24"/>
        </w:rPr>
        <w:t> (Accessed: 20 October 2025).</w:t>
      </w:r>
    </w:p>
    <w:p w14:paraId="1C770833"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CAPA Centre for Aviation (2023) European Low-Cost Carriers Analysis 2023. Available at: </w:t>
      </w:r>
      <w:hyperlink r:id="rId12" w:history="1">
        <w:r w:rsidRPr="00863F36">
          <w:rPr>
            <w:rStyle w:val="Hyperlink"/>
            <w:rFonts w:ascii="Arial" w:hAnsi="Arial" w:cs="Arial"/>
            <w:sz w:val="24"/>
            <w:szCs w:val="24"/>
          </w:rPr>
          <w:t>https://centreforaviation.com/analysis/reports/european-lcc-2023</w:t>
        </w:r>
      </w:hyperlink>
      <w:r w:rsidRPr="00863F36">
        <w:rPr>
          <w:rFonts w:ascii="Arial" w:hAnsi="Arial" w:cs="Arial"/>
          <w:sz w:val="24"/>
          <w:szCs w:val="24"/>
        </w:rPr>
        <w:t> (Accessed: 20 October 2025).</w:t>
      </w:r>
    </w:p>
    <w:p w14:paraId="1D82506A"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Civil Aviation Authority (2023) UK Aviation Market Statistics 2023. Available at: </w:t>
      </w:r>
      <w:hyperlink r:id="rId13" w:history="1">
        <w:r w:rsidRPr="00863F36">
          <w:rPr>
            <w:rStyle w:val="Hyperlink"/>
            <w:rFonts w:ascii="Arial" w:hAnsi="Arial" w:cs="Arial"/>
            <w:sz w:val="24"/>
            <w:szCs w:val="24"/>
          </w:rPr>
          <w:t>https://www.caa.co.uk/data-and-analysis/uk-aviation-market/airports/</w:t>
        </w:r>
      </w:hyperlink>
      <w:r w:rsidRPr="00863F36">
        <w:rPr>
          <w:rFonts w:ascii="Arial" w:hAnsi="Arial" w:cs="Arial"/>
          <w:sz w:val="24"/>
          <w:szCs w:val="24"/>
        </w:rPr>
        <w:t> (Accessed: 20 October 2025).</w:t>
      </w:r>
    </w:p>
    <w:p w14:paraId="2B53BBB7"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Department for Transport (2023) Jet Zero Strategy: Delivering Net Zero Aviation by 2050. Available at: </w:t>
      </w:r>
      <w:hyperlink r:id="rId14" w:history="1">
        <w:r w:rsidRPr="00863F36">
          <w:rPr>
            <w:rStyle w:val="Hyperlink"/>
            <w:rFonts w:ascii="Arial" w:hAnsi="Arial" w:cs="Arial"/>
            <w:sz w:val="24"/>
            <w:szCs w:val="24"/>
          </w:rPr>
          <w:t>https://www.gov.uk/government/publications/jet-zero-strategy</w:t>
        </w:r>
      </w:hyperlink>
      <w:r w:rsidRPr="00863F36">
        <w:rPr>
          <w:rFonts w:ascii="Arial" w:hAnsi="Arial" w:cs="Arial"/>
          <w:sz w:val="24"/>
          <w:szCs w:val="24"/>
        </w:rPr>
        <w:t> (Accessed: 20 October 2025).</w:t>
      </w:r>
    </w:p>
    <w:p w14:paraId="465520B7"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DiMaggio, P.J. and Powell, W.W. (1983) ‘The iron cage revisited: Institutional isomorphism and collective rationality in organizational fields’, American Sociological Review, 48(2), pp. 147–160.</w:t>
      </w:r>
    </w:p>
    <w:p w14:paraId="4AD4E006"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Doganis, R. (2019) Flying Off Course: Airline Economics and Marketing. 5th edn. Abingdon: Routledge.</w:t>
      </w:r>
    </w:p>
    <w:p w14:paraId="63A33453"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easyJet (2023a) Annual Report and Accounts 2023. Available at: </w:t>
      </w:r>
      <w:hyperlink r:id="rId15" w:history="1">
        <w:r w:rsidRPr="00863F36">
          <w:rPr>
            <w:rStyle w:val="Hyperlink"/>
            <w:rFonts w:ascii="Arial" w:hAnsi="Arial" w:cs="Arial"/>
            <w:sz w:val="24"/>
            <w:szCs w:val="24"/>
          </w:rPr>
          <w:t>https://corporate.easyjet.com/investors/results-centre</w:t>
        </w:r>
      </w:hyperlink>
      <w:r w:rsidRPr="00863F36">
        <w:rPr>
          <w:rFonts w:ascii="Arial" w:hAnsi="Arial" w:cs="Arial"/>
          <w:sz w:val="24"/>
          <w:szCs w:val="24"/>
        </w:rPr>
        <w:t> (Accessed: 20 October 2025).</w:t>
      </w:r>
    </w:p>
    <w:p w14:paraId="071B2E72"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 xml:space="preserve">Environmental Audit Committee (2023) </w:t>
      </w:r>
      <w:r w:rsidRPr="00863F36">
        <w:rPr>
          <w:rFonts w:ascii="Arial" w:hAnsi="Arial" w:cs="Arial"/>
          <w:i/>
          <w:iCs/>
          <w:sz w:val="24"/>
          <w:szCs w:val="24"/>
        </w:rPr>
        <w:t>Net zero and the UK aviation sector</w:t>
      </w:r>
      <w:r w:rsidRPr="00863F36">
        <w:rPr>
          <w:rFonts w:ascii="Arial" w:hAnsi="Arial" w:cs="Arial"/>
          <w:sz w:val="24"/>
          <w:szCs w:val="24"/>
        </w:rPr>
        <w:t>. House of Commons, May. Available at: https://publications.parliament.uk/pa/cm5804/cmselect/cmenvaud/404/report.html (Accessed: 24 October 2025).</w:t>
      </w:r>
    </w:p>
    <w:p w14:paraId="38D17A2C"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European Commission (2023) Fit for 55: Aviation Measures. Available at: </w:t>
      </w:r>
      <w:hyperlink r:id="rId16" w:history="1">
        <w:r w:rsidRPr="00863F36">
          <w:rPr>
            <w:rStyle w:val="Hyperlink"/>
            <w:rFonts w:ascii="Arial" w:hAnsi="Arial" w:cs="Arial"/>
            <w:sz w:val="24"/>
            <w:szCs w:val="24"/>
          </w:rPr>
          <w:t>https://ec.europa.eu/clima/eu-action/european-green-deal/delivering-european-green-deal/fit-55_en</w:t>
        </w:r>
      </w:hyperlink>
      <w:r w:rsidRPr="00863F36">
        <w:rPr>
          <w:rFonts w:ascii="Arial" w:hAnsi="Arial" w:cs="Arial"/>
          <w:sz w:val="24"/>
          <w:szCs w:val="24"/>
        </w:rPr>
        <w:t> (Accessed: 20 October 2025).</w:t>
      </w:r>
    </w:p>
    <w:p w14:paraId="5748AAA5"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lastRenderedPageBreak/>
        <w:t>IATA (2023) Air Passenger Market Analysis 2023. Available at: </w:t>
      </w:r>
      <w:hyperlink r:id="rId17" w:history="1">
        <w:r w:rsidRPr="00863F36">
          <w:rPr>
            <w:rStyle w:val="Hyperlink"/>
            <w:rFonts w:ascii="Arial" w:hAnsi="Arial" w:cs="Arial"/>
            <w:sz w:val="24"/>
            <w:szCs w:val="24"/>
          </w:rPr>
          <w:t>https://www.iata.org/en/publications/economics/</w:t>
        </w:r>
      </w:hyperlink>
      <w:r w:rsidRPr="00863F36">
        <w:rPr>
          <w:rFonts w:ascii="Arial" w:hAnsi="Arial" w:cs="Arial"/>
          <w:sz w:val="24"/>
          <w:szCs w:val="24"/>
        </w:rPr>
        <w:t> (Accessed: 20 October 2025).</w:t>
      </w:r>
    </w:p>
    <w:p w14:paraId="19C772C8"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 xml:space="preserve">ICAEW (2024) </w:t>
      </w:r>
      <w:r w:rsidRPr="00863F36">
        <w:rPr>
          <w:rFonts w:ascii="Arial" w:hAnsi="Arial" w:cs="Arial"/>
          <w:i/>
          <w:iCs/>
          <w:sz w:val="24"/>
          <w:szCs w:val="24"/>
        </w:rPr>
        <w:t>Chart of the week: UK flights</w:t>
      </w:r>
      <w:r w:rsidRPr="00863F36">
        <w:rPr>
          <w:rFonts w:ascii="Arial" w:hAnsi="Arial" w:cs="Arial"/>
          <w:sz w:val="24"/>
          <w:szCs w:val="24"/>
        </w:rPr>
        <w:t>. ICAEW Insights, 11 Jan. Available at: https://www.icaew.com/insights/viewpoints-on-the-news/2024/chart-of-the-week-uk-flights (Accessed: 24 October 2025).</w:t>
      </w:r>
    </w:p>
    <w:p w14:paraId="138B1948"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Kim, W.C. and Mauborgne, R. (2015) Blue Ocean Strategy: Expanded Edition. Boston, MA: Harvard Business Review Press.</w:t>
      </w:r>
    </w:p>
    <w:p w14:paraId="5A55A297"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 xml:space="preserve">Phocuswright (2024) </w:t>
      </w:r>
      <w:r w:rsidRPr="00863F36">
        <w:rPr>
          <w:rFonts w:ascii="Arial" w:hAnsi="Arial" w:cs="Arial"/>
          <w:i/>
          <w:iCs/>
          <w:sz w:val="24"/>
          <w:szCs w:val="24"/>
        </w:rPr>
        <w:t>5 things to know about the U.K. travel market in 2024 and beyond</w:t>
      </w:r>
      <w:r w:rsidRPr="00863F36">
        <w:rPr>
          <w:rFonts w:ascii="Arial" w:hAnsi="Arial" w:cs="Arial"/>
          <w:sz w:val="24"/>
          <w:szCs w:val="24"/>
        </w:rPr>
        <w:t>. Phocuswright Research, April. Available at: https://www.phocuswright.com/Travel-Research/Research-Updates/2024/5-things-to-know-about-the-uk-travel-market-in-2024-and-beyond (Accessed: 24 October 2025).</w:t>
      </w:r>
    </w:p>
    <w:p w14:paraId="224B66FB"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Porter, M.E. (1996) ‘What is strategy?’, Harvard Business Review, 74(6), pp. 61–78.</w:t>
      </w:r>
    </w:p>
    <w:p w14:paraId="41BA62C8"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Royal Society (2023) Sustainable Aviation Fuels: Scientific and Technological Advances. Available at: </w:t>
      </w:r>
      <w:hyperlink r:id="rId18" w:history="1">
        <w:r w:rsidRPr="00863F36">
          <w:rPr>
            <w:rStyle w:val="Hyperlink"/>
            <w:rFonts w:ascii="Arial" w:hAnsi="Arial" w:cs="Arial"/>
            <w:sz w:val="24"/>
            <w:szCs w:val="24"/>
          </w:rPr>
          <w:t>https://royalsociety.org/topics-policy/projects/low-carbon-energy-programme/sustainable-aviation-fuels/</w:t>
        </w:r>
      </w:hyperlink>
      <w:r w:rsidRPr="00863F36">
        <w:rPr>
          <w:rFonts w:ascii="Arial" w:hAnsi="Arial" w:cs="Arial"/>
          <w:sz w:val="24"/>
          <w:szCs w:val="24"/>
        </w:rPr>
        <w:t> (Accessed: 20 October 2025).</w:t>
      </w:r>
    </w:p>
    <w:p w14:paraId="266C63F5"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Talluri, K.T. and Van Ryzin, G.J. (2006) The Theory and Practice of Revenue Management. New York: Springer.</w:t>
      </w:r>
    </w:p>
    <w:p w14:paraId="2743648E"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Teece, D.J. (2009) Dynamic Capabilities and Strategic Management: Organizing for Innovation and Growth. Oxford: Oxford University Press.</w:t>
      </w:r>
    </w:p>
    <w:p w14:paraId="5F75580D"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Vargo, S.L. and Lusch, R.F. (2004) ‘Evolving to a new dominant logic for marketing’, Journal of Marketing, 68(1), pp. 1–17.</w:t>
      </w:r>
    </w:p>
    <w:p w14:paraId="33BFDAF7" w14:textId="77777777" w:rsidR="00966266" w:rsidRPr="00863F36" w:rsidRDefault="00966266" w:rsidP="00863F36">
      <w:pPr>
        <w:spacing w:line="360" w:lineRule="auto"/>
        <w:rPr>
          <w:rFonts w:ascii="Arial" w:hAnsi="Arial" w:cs="Arial"/>
          <w:sz w:val="24"/>
          <w:szCs w:val="24"/>
        </w:rPr>
      </w:pPr>
      <w:r w:rsidRPr="00863F36">
        <w:rPr>
          <w:rFonts w:ascii="Arial" w:hAnsi="Arial" w:cs="Arial"/>
          <w:sz w:val="24"/>
          <w:szCs w:val="24"/>
        </w:rPr>
        <w:t>Yin, R.K. (2018) Case Study Research and Applications: Design and Methods. 6th edn. Thousand Oaks, CA: Sage.</w:t>
      </w:r>
    </w:p>
    <w:p w14:paraId="5E2FFFFA" w14:textId="77777777" w:rsidR="002A5174" w:rsidRPr="00222FA2" w:rsidRDefault="002A5174" w:rsidP="00222FA2">
      <w:pPr>
        <w:spacing w:line="360" w:lineRule="auto"/>
        <w:rPr>
          <w:rFonts w:ascii="Arial" w:hAnsi="Arial" w:cs="Arial"/>
          <w:sz w:val="24"/>
          <w:szCs w:val="24"/>
        </w:rPr>
      </w:pPr>
    </w:p>
    <w:sectPr w:rsidR="002A5174" w:rsidRPr="00222FA2" w:rsidSect="00954CC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727CD" w14:textId="77777777" w:rsidR="003C6F09" w:rsidRDefault="003C6F09" w:rsidP="00863F36">
      <w:pPr>
        <w:spacing w:after="0" w:line="240" w:lineRule="auto"/>
      </w:pPr>
      <w:r>
        <w:separator/>
      </w:r>
    </w:p>
  </w:endnote>
  <w:endnote w:type="continuationSeparator" w:id="0">
    <w:p w14:paraId="11AA0CF2" w14:textId="77777777" w:rsidR="003C6F09" w:rsidRDefault="003C6F09" w:rsidP="00863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331844"/>
      <w:docPartObj>
        <w:docPartGallery w:val="Page Numbers (Bottom of Page)"/>
        <w:docPartUnique/>
      </w:docPartObj>
    </w:sdtPr>
    <w:sdtEndPr>
      <w:rPr>
        <w:noProof/>
      </w:rPr>
    </w:sdtEndPr>
    <w:sdtContent>
      <w:p w14:paraId="308F9B98" w14:textId="5C4DBD2E" w:rsidR="00863F36" w:rsidRDefault="00863F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7426C4" w14:textId="77777777" w:rsidR="00863F36" w:rsidRDefault="00863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AF836" w14:textId="77777777" w:rsidR="003C6F09" w:rsidRDefault="003C6F09" w:rsidP="00863F36">
      <w:pPr>
        <w:spacing w:after="0" w:line="240" w:lineRule="auto"/>
      </w:pPr>
      <w:r>
        <w:separator/>
      </w:r>
    </w:p>
  </w:footnote>
  <w:footnote w:type="continuationSeparator" w:id="0">
    <w:p w14:paraId="7F6C2F66" w14:textId="77777777" w:rsidR="003C6F09" w:rsidRDefault="003C6F09" w:rsidP="00863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95522"/>
    <w:multiLevelType w:val="multilevel"/>
    <w:tmpl w:val="9F4E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9066E9"/>
    <w:multiLevelType w:val="multilevel"/>
    <w:tmpl w:val="9E5A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A40EC4"/>
    <w:multiLevelType w:val="multilevel"/>
    <w:tmpl w:val="6E8A2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E3009F"/>
    <w:multiLevelType w:val="multilevel"/>
    <w:tmpl w:val="10AC1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B17390"/>
    <w:multiLevelType w:val="multilevel"/>
    <w:tmpl w:val="5914EF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644CC2"/>
    <w:multiLevelType w:val="multilevel"/>
    <w:tmpl w:val="F68E6F2C"/>
    <w:lvl w:ilvl="0">
      <w:start w:val="1"/>
      <w:numFmt w:val="decimal"/>
      <w:lvlText w:val="%1.0"/>
      <w:lvlJc w:val="left"/>
      <w:pPr>
        <w:ind w:left="396" w:hanging="396"/>
      </w:pPr>
      <w:rPr>
        <w:rFonts w:hint="default"/>
        <w:b/>
      </w:rPr>
    </w:lvl>
    <w:lvl w:ilvl="1">
      <w:start w:val="1"/>
      <w:numFmt w:val="decimal"/>
      <w:lvlText w:val="%1.%2"/>
      <w:lvlJc w:val="left"/>
      <w:pPr>
        <w:ind w:left="1116" w:hanging="396"/>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6" w15:restartNumberingAfterBreak="0">
    <w:nsid w:val="525D016F"/>
    <w:multiLevelType w:val="multilevel"/>
    <w:tmpl w:val="703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684AD7"/>
    <w:multiLevelType w:val="multilevel"/>
    <w:tmpl w:val="D974BA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9866845">
    <w:abstractNumId w:val="0"/>
  </w:num>
  <w:num w:numId="2" w16cid:durableId="40252357">
    <w:abstractNumId w:val="6"/>
  </w:num>
  <w:num w:numId="3" w16cid:durableId="1085107191">
    <w:abstractNumId w:val="3"/>
  </w:num>
  <w:num w:numId="4" w16cid:durableId="1815217081">
    <w:abstractNumId w:val="1"/>
  </w:num>
  <w:num w:numId="5" w16cid:durableId="1457984959">
    <w:abstractNumId w:val="7"/>
  </w:num>
  <w:num w:numId="6" w16cid:durableId="915743837">
    <w:abstractNumId w:val="4"/>
  </w:num>
  <w:num w:numId="7" w16cid:durableId="1145315813">
    <w:abstractNumId w:val="2"/>
  </w:num>
  <w:num w:numId="8" w16cid:durableId="6918064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895"/>
    <w:rsid w:val="000639B6"/>
    <w:rsid w:val="000C2830"/>
    <w:rsid w:val="001360C7"/>
    <w:rsid w:val="001A0951"/>
    <w:rsid w:val="00222FA2"/>
    <w:rsid w:val="00224438"/>
    <w:rsid w:val="00274BD4"/>
    <w:rsid w:val="002A5174"/>
    <w:rsid w:val="002E3E9A"/>
    <w:rsid w:val="002F40E3"/>
    <w:rsid w:val="003471E1"/>
    <w:rsid w:val="003C6F09"/>
    <w:rsid w:val="004509F7"/>
    <w:rsid w:val="004D10F5"/>
    <w:rsid w:val="00584FD5"/>
    <w:rsid w:val="00751CA2"/>
    <w:rsid w:val="007938D3"/>
    <w:rsid w:val="007B1895"/>
    <w:rsid w:val="00863F36"/>
    <w:rsid w:val="0086677B"/>
    <w:rsid w:val="00871B2E"/>
    <w:rsid w:val="00890C32"/>
    <w:rsid w:val="00954CC6"/>
    <w:rsid w:val="00966266"/>
    <w:rsid w:val="00967678"/>
    <w:rsid w:val="009A6785"/>
    <w:rsid w:val="00A72A50"/>
    <w:rsid w:val="00AE1F67"/>
    <w:rsid w:val="00B12B68"/>
    <w:rsid w:val="00B2233E"/>
    <w:rsid w:val="00B81D53"/>
    <w:rsid w:val="00BA29A7"/>
    <w:rsid w:val="00CA2578"/>
    <w:rsid w:val="00D320DE"/>
    <w:rsid w:val="00E60181"/>
    <w:rsid w:val="00F3342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8F37B"/>
  <w15:chartTrackingRefBased/>
  <w15:docId w15:val="{7FCECB7B-981D-4339-BE10-EDB736967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7B1895"/>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7B1895"/>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7B1895"/>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B1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895"/>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7B1895"/>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7B189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B1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895"/>
    <w:rPr>
      <w:rFonts w:eastAsiaTheme="majorEastAsia" w:cstheme="majorBidi"/>
      <w:color w:val="272727" w:themeColor="text1" w:themeTint="D8"/>
    </w:rPr>
  </w:style>
  <w:style w:type="paragraph" w:styleId="Title">
    <w:name w:val="Title"/>
    <w:basedOn w:val="Normal"/>
    <w:next w:val="Normal"/>
    <w:link w:val="TitleChar"/>
    <w:uiPriority w:val="10"/>
    <w:qFormat/>
    <w:rsid w:val="007B189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B189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B189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B189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B1895"/>
    <w:pPr>
      <w:spacing w:before="160"/>
      <w:jc w:val="center"/>
    </w:pPr>
    <w:rPr>
      <w:i/>
      <w:iCs/>
      <w:color w:val="404040" w:themeColor="text1" w:themeTint="BF"/>
    </w:rPr>
  </w:style>
  <w:style w:type="character" w:customStyle="1" w:styleId="QuoteChar">
    <w:name w:val="Quote Char"/>
    <w:basedOn w:val="DefaultParagraphFont"/>
    <w:link w:val="Quote"/>
    <w:uiPriority w:val="29"/>
    <w:rsid w:val="007B1895"/>
    <w:rPr>
      <w:rFonts w:cs="Vrinda"/>
      <w:i/>
      <w:iCs/>
      <w:color w:val="404040" w:themeColor="text1" w:themeTint="BF"/>
    </w:rPr>
  </w:style>
  <w:style w:type="paragraph" w:styleId="ListParagraph">
    <w:name w:val="List Paragraph"/>
    <w:basedOn w:val="Normal"/>
    <w:uiPriority w:val="34"/>
    <w:qFormat/>
    <w:rsid w:val="007B1895"/>
    <w:pPr>
      <w:ind w:left="720"/>
      <w:contextualSpacing/>
    </w:pPr>
  </w:style>
  <w:style w:type="character" w:styleId="IntenseEmphasis">
    <w:name w:val="Intense Emphasis"/>
    <w:basedOn w:val="DefaultParagraphFont"/>
    <w:uiPriority w:val="21"/>
    <w:qFormat/>
    <w:rsid w:val="007B1895"/>
    <w:rPr>
      <w:i/>
      <w:iCs/>
      <w:color w:val="0F4761" w:themeColor="accent1" w:themeShade="BF"/>
    </w:rPr>
  </w:style>
  <w:style w:type="paragraph" w:styleId="IntenseQuote">
    <w:name w:val="Intense Quote"/>
    <w:basedOn w:val="Normal"/>
    <w:next w:val="Normal"/>
    <w:link w:val="IntenseQuoteChar"/>
    <w:uiPriority w:val="30"/>
    <w:qFormat/>
    <w:rsid w:val="007B1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895"/>
    <w:rPr>
      <w:rFonts w:cs="Vrinda"/>
      <w:i/>
      <w:iCs/>
      <w:color w:val="0F4761" w:themeColor="accent1" w:themeShade="BF"/>
    </w:rPr>
  </w:style>
  <w:style w:type="character" w:styleId="IntenseReference">
    <w:name w:val="Intense Reference"/>
    <w:basedOn w:val="DefaultParagraphFont"/>
    <w:uiPriority w:val="32"/>
    <w:qFormat/>
    <w:rsid w:val="007B1895"/>
    <w:rPr>
      <w:b/>
      <w:bCs/>
      <w:smallCaps/>
      <w:color w:val="0F4761" w:themeColor="accent1" w:themeShade="BF"/>
      <w:spacing w:val="5"/>
    </w:rPr>
  </w:style>
  <w:style w:type="character" w:styleId="Hyperlink">
    <w:name w:val="Hyperlink"/>
    <w:basedOn w:val="DefaultParagraphFont"/>
    <w:uiPriority w:val="99"/>
    <w:unhideWhenUsed/>
    <w:rsid w:val="00222FA2"/>
    <w:rPr>
      <w:color w:val="467886" w:themeColor="hyperlink"/>
      <w:u w:val="single"/>
    </w:rPr>
  </w:style>
  <w:style w:type="character" w:styleId="UnresolvedMention">
    <w:name w:val="Unresolved Mention"/>
    <w:basedOn w:val="DefaultParagraphFont"/>
    <w:uiPriority w:val="99"/>
    <w:semiHidden/>
    <w:unhideWhenUsed/>
    <w:rsid w:val="00222FA2"/>
    <w:rPr>
      <w:color w:val="605E5C"/>
      <w:shd w:val="clear" w:color="auto" w:fill="E1DFDD"/>
    </w:rPr>
  </w:style>
  <w:style w:type="paragraph" w:styleId="NormalWeb">
    <w:name w:val="Normal (Web)"/>
    <w:basedOn w:val="Normal"/>
    <w:uiPriority w:val="99"/>
    <w:semiHidden/>
    <w:unhideWhenUsed/>
    <w:rsid w:val="00D320DE"/>
    <w:rPr>
      <w:rFonts w:ascii="Times New Roman" w:hAnsi="Times New Roman" w:cs="Times New Roman"/>
      <w:sz w:val="24"/>
      <w:szCs w:val="30"/>
    </w:rPr>
  </w:style>
  <w:style w:type="paragraph" w:styleId="Header">
    <w:name w:val="header"/>
    <w:basedOn w:val="Normal"/>
    <w:link w:val="HeaderChar"/>
    <w:uiPriority w:val="99"/>
    <w:unhideWhenUsed/>
    <w:rsid w:val="00863F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F36"/>
    <w:rPr>
      <w:rFonts w:cs="Vrinda"/>
    </w:rPr>
  </w:style>
  <w:style w:type="paragraph" w:styleId="Footer">
    <w:name w:val="footer"/>
    <w:basedOn w:val="Normal"/>
    <w:link w:val="FooterChar"/>
    <w:uiPriority w:val="99"/>
    <w:unhideWhenUsed/>
    <w:rsid w:val="00863F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F36"/>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a.co.uk/data-and-analysis/uk-aviation-market/airports/" TargetMode="External"/><Relationship Id="rId18" Type="http://schemas.openxmlformats.org/officeDocument/2006/relationships/hyperlink" Target="https://royalsociety.org/topics-policy/projects/low-carbon-energy-programme/sustainable-aviation-fue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centreforaviation.com/analysis/reports/european-lcc-2023" TargetMode="External"/><Relationship Id="rId17" Type="http://schemas.openxmlformats.org/officeDocument/2006/relationships/hyperlink" Target="https://www.iata.org/en/publications/economics/" TargetMode="External"/><Relationship Id="rId2" Type="http://schemas.openxmlformats.org/officeDocument/2006/relationships/styles" Target="styles.xml"/><Relationship Id="rId16" Type="http://schemas.openxmlformats.org/officeDocument/2006/relationships/hyperlink" Target="https://ec.europa.eu/clima/eu-action/european-green-deal/delivering-european-green-deal/fit-55_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airways.com/corporate/annual-report" TargetMode="External"/><Relationship Id="rId5" Type="http://schemas.openxmlformats.org/officeDocument/2006/relationships/footnotes" Target="footnotes.xml"/><Relationship Id="rId15" Type="http://schemas.openxmlformats.org/officeDocument/2006/relationships/hyperlink" Target="https://corporate.easyjet.com/investors/results-centre"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jet-zero-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14</Pages>
  <Words>3286</Words>
  <Characters>18734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20</cp:revision>
  <dcterms:created xsi:type="dcterms:W3CDTF">2025-10-21T13:02:00Z</dcterms:created>
  <dcterms:modified xsi:type="dcterms:W3CDTF">2025-10-23T22:40:00Z</dcterms:modified>
</cp:coreProperties>
</file>