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1C48AF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23C2D">
              <w:rPr>
                <w:rFonts w:ascii="Times New Roman" w:hAnsi="Times New Roman" w:cs="Times New Roman"/>
                <w:b/>
                <w:color w:val="auto"/>
                <w:sz w:val="48"/>
              </w:rPr>
              <w:t>Rebecca Louise Shellard-Renna</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3D865F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23C2D">
              <w:rPr>
                <w:rFonts w:ascii="Times New Roman" w:hAnsi="Times New Roman" w:cs="Times New Roman"/>
                <w:b/>
                <w:color w:val="auto"/>
                <w:sz w:val="48"/>
              </w:rPr>
              <w:t xml:space="preserve"> b.shellard@npt.gov.uk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5B8F5FC"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975096">
              <w:rPr>
                <w:rFonts w:ascii="Times New Roman" w:hAnsi="Times New Roman" w:cs="Times New Roman"/>
                <w:b/>
                <w:color w:val="auto"/>
                <w:sz w:val="44"/>
                <w:szCs w:val="18"/>
              </w:rPr>
              <w:t>Learner’s University Registration</w:t>
            </w:r>
            <w:r w:rsidR="00F927A1" w:rsidRPr="00975096">
              <w:rPr>
                <w:rFonts w:ascii="Times New Roman" w:hAnsi="Times New Roman" w:cs="Times New Roman"/>
                <w:b/>
                <w:color w:val="auto"/>
                <w:sz w:val="44"/>
                <w:szCs w:val="18"/>
              </w:rPr>
              <w:t xml:space="preserve"> Number:</w:t>
            </w:r>
            <w:r w:rsidR="00975096" w:rsidRPr="00975096">
              <w:rPr>
                <w:rFonts w:ascii="Times New Roman" w:hAnsi="Times New Roman" w:cs="Times New Roman"/>
                <w:b/>
                <w:color w:val="auto"/>
                <w:sz w:val="44"/>
                <w:szCs w:val="18"/>
              </w:rPr>
              <w:t xml:space="preserve"> </w:t>
            </w:r>
            <w:r w:rsidR="00975096" w:rsidRPr="00975096">
              <w:rPr>
                <w:rFonts w:ascii="Times New Roman" w:hAnsi="Times New Roman" w:cs="Times New Roman"/>
                <w:b/>
                <w:color w:val="auto"/>
                <w:sz w:val="40"/>
                <w:szCs w:val="16"/>
              </w:rPr>
              <w:t>2332706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E06580" w:rsidRDefault="006872A0" w:rsidP="00064063">
            <w:pPr>
              <w:jc w:val="both"/>
              <w:rPr>
                <w:b/>
                <w:color w:val="auto"/>
                <w:sz w:val="24"/>
                <w:szCs w:val="24"/>
              </w:rPr>
            </w:pPr>
            <w:r w:rsidRPr="00E06580">
              <w:rPr>
                <w:b/>
                <w:color w:val="auto"/>
                <w:sz w:val="24"/>
                <w:szCs w:val="24"/>
              </w:rPr>
              <w:t>Question</w:t>
            </w:r>
            <w:r w:rsidR="007A628F" w:rsidRPr="00E06580">
              <w:rPr>
                <w:b/>
                <w:color w:val="auto"/>
                <w:sz w:val="24"/>
                <w:szCs w:val="24"/>
              </w:rPr>
              <w:t>:</w:t>
            </w:r>
          </w:p>
          <w:p w14:paraId="541B485B" w14:textId="4CB44B06" w:rsidR="00C77FA5" w:rsidRPr="00A42DC7" w:rsidRDefault="000A584A">
            <w:pPr>
              <w:jc w:val="both"/>
              <w:rPr>
                <w:b/>
                <w:bCs/>
                <w:color w:val="auto"/>
                <w:sz w:val="24"/>
                <w:szCs w:val="24"/>
              </w:rPr>
            </w:pPr>
            <w:r w:rsidRPr="00A42DC7">
              <w:rPr>
                <w:b/>
                <w:bCs/>
                <w:color w:val="auto"/>
                <w:sz w:val="24"/>
                <w:szCs w:val="24"/>
              </w:rPr>
              <w:t xml:space="preserve">Complete a critically reflective case study </w:t>
            </w:r>
            <w:r w:rsidR="00D0503D" w:rsidRPr="00A42DC7">
              <w:rPr>
                <w:b/>
                <w:bCs/>
                <w:color w:val="auto"/>
                <w:sz w:val="24"/>
                <w:szCs w:val="24"/>
              </w:rPr>
              <w:t>based</w:t>
            </w:r>
            <w:r w:rsidRPr="00A42DC7">
              <w:rPr>
                <w:b/>
                <w:bCs/>
                <w:color w:val="auto"/>
                <w:sz w:val="24"/>
                <w:szCs w:val="24"/>
              </w:rPr>
              <w:t xml:space="preserve"> on</w:t>
            </w:r>
            <w:r w:rsidR="00696A88" w:rsidRPr="00A42DC7">
              <w:rPr>
                <w:b/>
                <w:bCs/>
                <w:color w:val="auto"/>
                <w:sz w:val="24"/>
                <w:szCs w:val="24"/>
              </w:rPr>
              <w:t xml:space="preserve"> </w:t>
            </w:r>
            <w:r w:rsidR="00411EF7" w:rsidRPr="00A42DC7">
              <w:rPr>
                <w:b/>
                <w:bCs/>
                <w:color w:val="auto"/>
                <w:sz w:val="24"/>
                <w:szCs w:val="24"/>
              </w:rPr>
              <w:t>an assessment</w:t>
            </w:r>
            <w:r w:rsidR="007F312E" w:rsidRPr="00A42DC7">
              <w:rPr>
                <w:b/>
                <w:bCs/>
                <w:color w:val="auto"/>
                <w:sz w:val="24"/>
                <w:szCs w:val="24"/>
              </w:rPr>
              <w:t xml:space="preserve"> </w:t>
            </w:r>
            <w:r w:rsidR="007C5ABE" w:rsidRPr="00A42DC7">
              <w:rPr>
                <w:b/>
                <w:bCs/>
                <w:color w:val="auto"/>
                <w:sz w:val="24"/>
                <w:szCs w:val="24"/>
              </w:rPr>
              <w:t xml:space="preserve">that you have </w:t>
            </w:r>
            <w:r w:rsidRPr="00A42DC7">
              <w:rPr>
                <w:b/>
                <w:bCs/>
                <w:color w:val="auto"/>
                <w:sz w:val="24"/>
                <w:szCs w:val="24"/>
              </w:rPr>
              <w:t xml:space="preserve">undertaken with </w:t>
            </w:r>
            <w:r w:rsidR="00D0503D" w:rsidRPr="00A42DC7">
              <w:rPr>
                <w:b/>
                <w:bCs/>
                <w:color w:val="auto"/>
                <w:sz w:val="24"/>
                <w:szCs w:val="24"/>
              </w:rPr>
              <w:t>others, in</w:t>
            </w:r>
            <w:r w:rsidR="0002440E" w:rsidRPr="00A42DC7">
              <w:rPr>
                <w:b/>
                <w:bCs/>
                <w:color w:val="auto"/>
                <w:sz w:val="24"/>
                <w:szCs w:val="24"/>
              </w:rPr>
              <w:t xml:space="preserve"> your own area of work</w:t>
            </w:r>
            <w:r w:rsidR="00D0503D" w:rsidRPr="00A42DC7">
              <w:rPr>
                <w:b/>
                <w:bCs/>
                <w:color w:val="auto"/>
                <w:sz w:val="24"/>
                <w:szCs w:val="24"/>
              </w:rPr>
              <w:t xml:space="preserve">, </w:t>
            </w:r>
            <w:r w:rsidR="00587923" w:rsidRPr="00A42DC7">
              <w:rPr>
                <w:b/>
                <w:bCs/>
                <w:color w:val="auto"/>
                <w:sz w:val="24"/>
                <w:szCs w:val="24"/>
              </w:rPr>
              <w:t>c</w:t>
            </w:r>
            <w:r w:rsidR="008B28E7" w:rsidRPr="00A42DC7">
              <w:rPr>
                <w:b/>
                <w:bCs/>
                <w:color w:val="auto"/>
                <w:sz w:val="24"/>
                <w:szCs w:val="24"/>
              </w:rPr>
              <w:t>oncerning the safeguarding of either an adult or a child</w:t>
            </w:r>
            <w:r w:rsidRPr="00A42DC7">
              <w:rPr>
                <w:b/>
                <w:bCs/>
                <w:color w:val="auto"/>
                <w:sz w:val="24"/>
                <w:szCs w:val="24"/>
              </w:rPr>
              <w:t xml:space="preserve">. </w:t>
            </w:r>
            <w:r w:rsidR="00216563" w:rsidRPr="00A42DC7">
              <w:rPr>
                <w:b/>
                <w:bCs/>
                <w:color w:val="auto"/>
                <w:sz w:val="24"/>
                <w:szCs w:val="24"/>
              </w:rPr>
              <w:t xml:space="preserve">You must demonstrate how </w:t>
            </w:r>
            <w:r w:rsidR="00F34C86" w:rsidRPr="00A42DC7">
              <w:rPr>
                <w:b/>
                <w:bCs/>
                <w:color w:val="auto"/>
                <w:sz w:val="24"/>
                <w:szCs w:val="24"/>
              </w:rPr>
              <w:t xml:space="preserve">the case relates to or could relate to safeguarding </w:t>
            </w:r>
            <w:r w:rsidR="00216563" w:rsidRPr="00A42DC7">
              <w:rPr>
                <w:b/>
                <w:bCs/>
                <w:color w:val="auto"/>
                <w:sz w:val="24"/>
                <w:szCs w:val="24"/>
              </w:rPr>
              <w:t>legislation, policies</w:t>
            </w:r>
            <w:r w:rsidR="00F34C86" w:rsidRPr="00A42DC7">
              <w:rPr>
                <w:b/>
                <w:bCs/>
                <w:color w:val="auto"/>
                <w:sz w:val="24"/>
                <w:szCs w:val="24"/>
              </w:rPr>
              <w:t>, strategies and procedures</w:t>
            </w:r>
            <w:r w:rsidR="7AAB400D" w:rsidRPr="00A42DC7">
              <w:rPr>
                <w:b/>
                <w:bCs/>
                <w:color w:val="auto"/>
                <w:sz w:val="24"/>
                <w:szCs w:val="24"/>
              </w:rPr>
              <w:t xml:space="preserve"> </w:t>
            </w:r>
            <w:r w:rsidR="623F2A43" w:rsidRPr="00A42DC7">
              <w:rPr>
                <w:b/>
                <w:bCs/>
                <w:color w:val="auto"/>
                <w:sz w:val="24"/>
                <w:szCs w:val="24"/>
              </w:rPr>
              <w:t>(</w:t>
            </w:r>
            <w:r w:rsidR="7AAB400D" w:rsidRPr="00A42DC7">
              <w:rPr>
                <w:b/>
                <w:bCs/>
                <w:color w:val="auto"/>
                <w:sz w:val="24"/>
                <w:szCs w:val="24"/>
              </w:rPr>
              <w:t>i</w:t>
            </w:r>
            <w:r w:rsidR="623F2A43" w:rsidRPr="00A42DC7">
              <w:rPr>
                <w:b/>
                <w:bCs/>
                <w:color w:val="auto"/>
                <w:sz w:val="24"/>
                <w:szCs w:val="24"/>
              </w:rPr>
              <w:t xml:space="preserve">ncluding </w:t>
            </w:r>
            <w:r w:rsidR="322513AD" w:rsidRPr="00A42DC7">
              <w:rPr>
                <w:b/>
                <w:bCs/>
                <w:color w:val="auto"/>
                <w:sz w:val="24"/>
                <w:szCs w:val="24"/>
              </w:rPr>
              <w:t>d</w:t>
            </w:r>
            <w:r w:rsidR="7E97696C" w:rsidRPr="00A42DC7">
              <w:rPr>
                <w:b/>
                <w:bCs/>
                <w:color w:val="auto"/>
                <w:sz w:val="24"/>
                <w:szCs w:val="24"/>
              </w:rPr>
              <w:t xml:space="preserve">emonstrating an understanding of </w:t>
            </w:r>
            <w:r w:rsidR="623F2A43" w:rsidRPr="00A42DC7">
              <w:rPr>
                <w:b/>
                <w:bCs/>
                <w:color w:val="auto"/>
                <w:sz w:val="24"/>
                <w:szCs w:val="24"/>
              </w:rPr>
              <w:t>the</w:t>
            </w:r>
            <w:r w:rsidR="350F702B" w:rsidRPr="00A42DC7">
              <w:rPr>
                <w:b/>
                <w:bCs/>
                <w:color w:val="auto"/>
                <w:sz w:val="24"/>
                <w:szCs w:val="24"/>
              </w:rPr>
              <w:t xml:space="preserve"> </w:t>
            </w:r>
            <w:r w:rsidR="3B2446CA" w:rsidRPr="00A42DC7">
              <w:rPr>
                <w:rFonts w:eastAsia="Arial"/>
                <w:b/>
                <w:bCs/>
                <w:color w:val="auto"/>
                <w:sz w:val="24"/>
                <w:szCs w:val="24"/>
              </w:rPr>
              <w:t xml:space="preserve">interface </w:t>
            </w:r>
            <w:r w:rsidR="534A9052" w:rsidRPr="00A42DC7">
              <w:rPr>
                <w:rFonts w:eastAsia="Arial"/>
                <w:b/>
                <w:bCs/>
                <w:color w:val="auto"/>
                <w:sz w:val="24"/>
                <w:szCs w:val="24"/>
              </w:rPr>
              <w:t>between social services provision in Wales with the United Kingdom, the European Union</w:t>
            </w:r>
            <w:r w:rsidR="007A628F" w:rsidRPr="00A42DC7">
              <w:rPr>
                <w:rFonts w:eastAsia="Arial"/>
                <w:b/>
                <w:bCs/>
                <w:color w:val="auto"/>
                <w:sz w:val="24"/>
                <w:szCs w:val="24"/>
              </w:rPr>
              <w:t xml:space="preserve"> (EU)</w:t>
            </w:r>
            <w:r w:rsidR="534A9052" w:rsidRPr="00A42DC7">
              <w:rPr>
                <w:rFonts w:eastAsia="Arial"/>
                <w:b/>
                <w:bCs/>
                <w:color w:val="auto"/>
                <w:sz w:val="24"/>
                <w:szCs w:val="24"/>
              </w:rPr>
              <w:t xml:space="preserve"> and outside the EU</w:t>
            </w:r>
            <w:r w:rsidR="623F2A43" w:rsidRPr="00A42DC7">
              <w:rPr>
                <w:rFonts w:eastAsia="Arial"/>
                <w:b/>
                <w:bCs/>
                <w:color w:val="auto"/>
                <w:sz w:val="24"/>
                <w:szCs w:val="24"/>
              </w:rPr>
              <w:t>)</w:t>
            </w:r>
            <w:r w:rsidR="00411EF7" w:rsidRPr="00A42DC7">
              <w:rPr>
                <w:b/>
                <w:bCs/>
                <w:color w:val="auto"/>
                <w:sz w:val="24"/>
                <w:szCs w:val="24"/>
              </w:rPr>
              <w:t>.</w:t>
            </w:r>
            <w:r w:rsidR="00354B6D" w:rsidRPr="00A42DC7">
              <w:rPr>
                <w:b/>
                <w:bCs/>
                <w:color w:val="auto"/>
                <w:sz w:val="24"/>
                <w:szCs w:val="24"/>
              </w:rPr>
              <w:t xml:space="preserve"> </w:t>
            </w:r>
            <w:r w:rsidR="102A3950" w:rsidRPr="00A42DC7">
              <w:rPr>
                <w:b/>
                <w:bCs/>
                <w:color w:val="auto"/>
                <w:sz w:val="24"/>
                <w:szCs w:val="24"/>
              </w:rPr>
              <w:t>You</w:t>
            </w:r>
            <w:r w:rsidR="00354B6D" w:rsidRPr="00A42DC7">
              <w:rPr>
                <w:b/>
                <w:bCs/>
                <w:color w:val="auto"/>
                <w:sz w:val="24"/>
                <w:szCs w:val="24"/>
              </w:rPr>
              <w:t xml:space="preserve"> must</w:t>
            </w:r>
            <w:r w:rsidR="00411EF7" w:rsidRPr="00A42DC7">
              <w:rPr>
                <w:b/>
                <w:bCs/>
                <w:color w:val="auto"/>
                <w:sz w:val="24"/>
                <w:szCs w:val="24"/>
              </w:rPr>
              <w:t xml:space="preserve"> </w:t>
            </w:r>
            <w:r w:rsidR="00354B6D" w:rsidRPr="00A42DC7">
              <w:rPr>
                <w:b/>
                <w:bCs/>
                <w:color w:val="auto"/>
                <w:sz w:val="24"/>
                <w:szCs w:val="24"/>
              </w:rPr>
              <w:t>demonstrate your understanding of</w:t>
            </w:r>
            <w:r w:rsidR="00F34C86" w:rsidRPr="00A42DC7">
              <w:rPr>
                <w:b/>
                <w:bCs/>
                <w:color w:val="auto"/>
                <w:sz w:val="24"/>
                <w:szCs w:val="24"/>
              </w:rPr>
              <w:t xml:space="preserve"> </w:t>
            </w:r>
            <w:r w:rsidR="00411EF7" w:rsidRPr="00A42DC7">
              <w:rPr>
                <w:b/>
                <w:bCs/>
                <w:color w:val="auto"/>
                <w:sz w:val="24"/>
                <w:szCs w:val="24"/>
              </w:rPr>
              <w:t xml:space="preserve">the </w:t>
            </w:r>
            <w:r w:rsidR="00216563" w:rsidRPr="00A42DC7">
              <w:rPr>
                <w:b/>
                <w:bCs/>
                <w:color w:val="auto"/>
                <w:sz w:val="24"/>
                <w:szCs w:val="24"/>
              </w:rPr>
              <w:t xml:space="preserve">integration of </w:t>
            </w:r>
            <w:r w:rsidR="6A854C79" w:rsidRPr="00A42DC7">
              <w:rPr>
                <w:b/>
                <w:bCs/>
                <w:color w:val="auto"/>
                <w:sz w:val="24"/>
                <w:szCs w:val="24"/>
              </w:rPr>
              <w:t>analysis in asses</w:t>
            </w:r>
            <w:r w:rsidR="0F77E214" w:rsidRPr="00A42DC7">
              <w:rPr>
                <w:b/>
                <w:bCs/>
                <w:color w:val="auto"/>
                <w:sz w:val="24"/>
                <w:szCs w:val="24"/>
              </w:rPr>
              <w:t>sment, collabo</w:t>
            </w:r>
            <w:r w:rsidR="6A854C79" w:rsidRPr="00A42DC7">
              <w:rPr>
                <w:b/>
                <w:bCs/>
                <w:color w:val="auto"/>
                <w:sz w:val="24"/>
                <w:szCs w:val="24"/>
              </w:rPr>
              <w:t>rative work</w:t>
            </w:r>
            <w:r w:rsidR="0F77E214" w:rsidRPr="00A42DC7">
              <w:rPr>
                <w:b/>
                <w:bCs/>
                <w:color w:val="auto"/>
                <w:sz w:val="24"/>
                <w:szCs w:val="24"/>
              </w:rPr>
              <w:t>ing</w:t>
            </w:r>
            <w:r w:rsidR="6A854C79" w:rsidRPr="00A42DC7">
              <w:rPr>
                <w:b/>
                <w:bCs/>
                <w:color w:val="auto"/>
                <w:sz w:val="24"/>
                <w:szCs w:val="24"/>
              </w:rPr>
              <w:t xml:space="preserve"> a</w:t>
            </w:r>
            <w:r w:rsidR="0F77E214" w:rsidRPr="00A42DC7">
              <w:rPr>
                <w:b/>
                <w:bCs/>
                <w:color w:val="auto"/>
                <w:sz w:val="24"/>
                <w:szCs w:val="24"/>
              </w:rPr>
              <w:t xml:space="preserve">nd </w:t>
            </w:r>
            <w:r w:rsidR="6A854C79" w:rsidRPr="00A42DC7">
              <w:rPr>
                <w:b/>
                <w:bCs/>
                <w:color w:val="auto"/>
                <w:sz w:val="24"/>
                <w:szCs w:val="24"/>
              </w:rPr>
              <w:t>professional</w:t>
            </w:r>
            <w:r w:rsidR="00F34C86" w:rsidRPr="00A42DC7">
              <w:rPr>
                <w:b/>
                <w:bCs/>
                <w:color w:val="auto"/>
                <w:sz w:val="24"/>
                <w:szCs w:val="24"/>
              </w:rPr>
              <w:t xml:space="preserve"> </w:t>
            </w:r>
            <w:r w:rsidR="00216563" w:rsidRPr="00A42DC7">
              <w:rPr>
                <w:b/>
                <w:bCs/>
                <w:color w:val="auto"/>
                <w:sz w:val="24"/>
                <w:szCs w:val="24"/>
              </w:rPr>
              <w:t>judgements</w:t>
            </w:r>
            <w:r w:rsidR="0F77E214" w:rsidRPr="00A42DC7">
              <w:rPr>
                <w:b/>
                <w:bCs/>
                <w:color w:val="auto"/>
                <w:sz w:val="24"/>
                <w:szCs w:val="24"/>
              </w:rPr>
              <w:t xml:space="preserve"> in increasingly complex situations </w:t>
            </w:r>
            <w:r w:rsidR="00E5498A" w:rsidRPr="00A42DC7">
              <w:rPr>
                <w:b/>
                <w:bCs/>
                <w:color w:val="auto"/>
                <w:sz w:val="24"/>
                <w:szCs w:val="24"/>
              </w:rPr>
              <w:t>and</w:t>
            </w:r>
            <w:r w:rsidR="1D6670C0" w:rsidRPr="00A42DC7">
              <w:rPr>
                <w:b/>
                <w:bCs/>
                <w:color w:val="auto"/>
                <w:sz w:val="24"/>
                <w:szCs w:val="24"/>
              </w:rPr>
              <w:t xml:space="preserve"> </w:t>
            </w:r>
            <w:r w:rsidR="39C47EB7" w:rsidRPr="00A42DC7">
              <w:rPr>
                <w:b/>
                <w:bCs/>
                <w:color w:val="auto"/>
                <w:sz w:val="24"/>
                <w:szCs w:val="24"/>
              </w:rPr>
              <w:t>the</w:t>
            </w:r>
            <w:r w:rsidR="25F327FB" w:rsidRPr="00A42DC7">
              <w:rPr>
                <w:b/>
                <w:bCs/>
                <w:color w:val="auto"/>
                <w:sz w:val="24"/>
                <w:szCs w:val="24"/>
              </w:rPr>
              <w:t xml:space="preserve"> </w:t>
            </w:r>
            <w:r w:rsidR="00F34C86" w:rsidRPr="00A42DC7">
              <w:rPr>
                <w:b/>
                <w:bCs/>
                <w:color w:val="auto"/>
                <w:sz w:val="24"/>
                <w:szCs w:val="24"/>
              </w:rPr>
              <w:t>use of social work theories</w:t>
            </w:r>
            <w:r w:rsidR="756EEE2D" w:rsidRPr="00A42DC7">
              <w:rPr>
                <w:b/>
                <w:bCs/>
                <w:color w:val="auto"/>
                <w:sz w:val="24"/>
                <w:szCs w:val="24"/>
              </w:rPr>
              <w:t>.</w:t>
            </w:r>
            <w:r w:rsidR="00216563" w:rsidRPr="00A42DC7">
              <w:rPr>
                <w:b/>
                <w:bCs/>
                <w:color w:val="auto"/>
                <w:sz w:val="24"/>
                <w:szCs w:val="24"/>
              </w:rPr>
              <w:t xml:space="preserve"> </w:t>
            </w:r>
            <w:r w:rsidR="756EEE2D" w:rsidRPr="00A42DC7">
              <w:rPr>
                <w:b/>
                <w:bCs/>
                <w:color w:val="auto"/>
                <w:sz w:val="24"/>
                <w:szCs w:val="24"/>
              </w:rPr>
              <w:t>You</w:t>
            </w:r>
            <w:r w:rsidR="00216563" w:rsidRPr="00A42DC7">
              <w:rPr>
                <w:b/>
                <w:bCs/>
                <w:color w:val="auto"/>
                <w:sz w:val="24"/>
                <w:szCs w:val="24"/>
              </w:rPr>
              <w:t xml:space="preserve"> </w:t>
            </w:r>
            <w:r w:rsidR="00E5498A" w:rsidRPr="00A42DC7">
              <w:rPr>
                <w:b/>
                <w:bCs/>
                <w:color w:val="auto"/>
                <w:sz w:val="24"/>
                <w:szCs w:val="24"/>
              </w:rPr>
              <w:t xml:space="preserve">must </w:t>
            </w:r>
            <w:r w:rsidR="00F030D4" w:rsidRPr="00A42DC7">
              <w:rPr>
                <w:b/>
                <w:bCs/>
                <w:color w:val="auto"/>
                <w:sz w:val="24"/>
                <w:szCs w:val="24"/>
              </w:rPr>
              <w:t>refer to</w:t>
            </w:r>
            <w:r w:rsidR="00216563" w:rsidRPr="00A42DC7">
              <w:rPr>
                <w:b/>
                <w:bCs/>
                <w:color w:val="auto"/>
                <w:sz w:val="24"/>
                <w:szCs w:val="24"/>
              </w:rPr>
              <w:t xml:space="preserve"> </w:t>
            </w:r>
            <w:r w:rsidR="00F34C86" w:rsidRPr="00A42DC7">
              <w:rPr>
                <w:b/>
                <w:bCs/>
                <w:color w:val="auto"/>
                <w:sz w:val="24"/>
                <w:szCs w:val="24"/>
              </w:rPr>
              <w:t>the specific dimensions of working in Wales</w:t>
            </w:r>
            <w:r w:rsidR="00411EF7" w:rsidRPr="00A42DC7">
              <w:rPr>
                <w:b/>
                <w:bCs/>
                <w:color w:val="auto"/>
                <w:sz w:val="24"/>
                <w:szCs w:val="24"/>
              </w:rPr>
              <w:t xml:space="preserve">. </w:t>
            </w:r>
          </w:p>
          <w:p w14:paraId="2F8A7CA5" w14:textId="6EDC9DFB" w:rsidR="008D5999" w:rsidRPr="00A42DC7" w:rsidRDefault="008D5999" w:rsidP="00064063">
            <w:pPr>
              <w:jc w:val="both"/>
              <w:rPr>
                <w:b/>
                <w:bCs/>
                <w:color w:val="auto"/>
                <w:sz w:val="24"/>
                <w:szCs w:val="24"/>
              </w:rPr>
            </w:pPr>
          </w:p>
          <w:p w14:paraId="1225D23D" w14:textId="1C600B40" w:rsidR="00D3203C" w:rsidRPr="00A42DC7" w:rsidRDefault="00D3203C" w:rsidP="00A42DC7">
            <w:pPr>
              <w:jc w:val="both"/>
              <w:rPr>
                <w:b/>
                <w:bCs/>
                <w:iCs/>
                <w:color w:val="FF0000"/>
                <w:sz w:val="24"/>
                <w:szCs w:val="24"/>
              </w:rPr>
            </w:pPr>
          </w:p>
          <w:p w14:paraId="2477E245" w14:textId="18A52225" w:rsidR="00A42DC7" w:rsidRDefault="00A42DC7" w:rsidP="00A42DC7">
            <w:pPr>
              <w:spacing w:line="360" w:lineRule="auto"/>
              <w:jc w:val="both"/>
              <w:rPr>
                <w:sz w:val="24"/>
                <w:szCs w:val="24"/>
              </w:rPr>
            </w:pPr>
            <w:r>
              <w:rPr>
                <w:sz w:val="24"/>
                <w:szCs w:val="24"/>
              </w:rPr>
              <w:t xml:space="preserve">For this task, I will be critically reflecting on an assessment I completed under the Social Services and Wellbeing (Wales) Act 2014 (SSWBA 2014) and the Wales Safeguarding Procedures (Social </w:t>
            </w:r>
            <w:r w:rsidR="00771B5E">
              <w:rPr>
                <w:sz w:val="24"/>
                <w:szCs w:val="24"/>
              </w:rPr>
              <w:t>C</w:t>
            </w:r>
            <w:r>
              <w:rPr>
                <w:sz w:val="24"/>
                <w:szCs w:val="24"/>
              </w:rPr>
              <w:t>are Wales, 2019), while working in a Supported Care Planning team in children’s services.</w:t>
            </w:r>
          </w:p>
          <w:p w14:paraId="14B0CB27" w14:textId="77777777" w:rsidR="00A42DC7" w:rsidRDefault="00A42DC7" w:rsidP="00A42DC7">
            <w:pPr>
              <w:spacing w:line="360" w:lineRule="auto"/>
              <w:jc w:val="both"/>
              <w:rPr>
                <w:sz w:val="24"/>
                <w:szCs w:val="24"/>
              </w:rPr>
            </w:pPr>
          </w:p>
          <w:p w14:paraId="26302EE2" w14:textId="77777777" w:rsidR="00A42DC7" w:rsidRDefault="00A42DC7" w:rsidP="00A42DC7">
            <w:pPr>
              <w:spacing w:line="360" w:lineRule="auto"/>
              <w:jc w:val="both"/>
              <w:rPr>
                <w:sz w:val="24"/>
                <w:szCs w:val="24"/>
              </w:rPr>
            </w:pPr>
            <w:r>
              <w:rPr>
                <w:sz w:val="24"/>
                <w:szCs w:val="24"/>
              </w:rPr>
              <w:t>Throughout the assignment I will make reference to the overarching Welsh legislation relating to children’s safeguarding, including the Social Services and Wellbeing (Wales) Act 2014 (SSWBA 2014), the Children Act 1989, the UN Convention of the Rights of the Child (UNCRC) and the Wales Safeguarding Procedures (2019). In addition, I will draw upon social work theories and models of practice, such as Systems Theory (Forder, 1976), the Transtheoretical model (Prochaska and DiClemente,1983) and Signs of Safety (Turnell and Murphy, 2017), as well as the Social Care Wales Code of Professional Practice (SCW, 2017), a framework of standards of professional practice for social work practitioners in Wales.  This framework aims to ensure practitioners are working to the highest standards and their practice does not harm the wellbeing of the individuals with whom they work (Social Care Wales, 2022).</w:t>
            </w:r>
          </w:p>
          <w:p w14:paraId="2F26ECF4" w14:textId="77777777" w:rsidR="00A42DC7" w:rsidRDefault="00A42DC7" w:rsidP="00A42DC7">
            <w:pPr>
              <w:spacing w:line="360" w:lineRule="auto"/>
              <w:jc w:val="both"/>
              <w:rPr>
                <w:sz w:val="24"/>
                <w:szCs w:val="24"/>
              </w:rPr>
            </w:pPr>
          </w:p>
          <w:p w14:paraId="21836853" w14:textId="75BEAE05" w:rsidR="00A42DC7" w:rsidRDefault="00A42DC7" w:rsidP="00A42DC7">
            <w:pPr>
              <w:spacing w:line="360" w:lineRule="auto"/>
              <w:jc w:val="both"/>
              <w:rPr>
                <w:sz w:val="24"/>
                <w:szCs w:val="24"/>
              </w:rPr>
            </w:pPr>
            <w:r>
              <w:rPr>
                <w:sz w:val="24"/>
                <w:szCs w:val="24"/>
              </w:rPr>
              <w:t xml:space="preserve">As a social worker in children’s services, I was working in accordance with the Wales Safeguarding Procedures (2019), which are designed to empower frontline practitioners by facilitating the application of the legislative expectations outlined in the SSWBA 2014, ultimately leading to improved person-centred outcomes for children who are at risk of abuse and neglect. </w:t>
            </w:r>
          </w:p>
          <w:p w14:paraId="26861AC6" w14:textId="77777777" w:rsidR="00A42DC7" w:rsidRDefault="00A42DC7" w:rsidP="00A42DC7">
            <w:pPr>
              <w:spacing w:line="360" w:lineRule="auto"/>
              <w:jc w:val="both"/>
            </w:pPr>
          </w:p>
          <w:p w14:paraId="4945F1EC" w14:textId="77777777" w:rsidR="00A42DC7" w:rsidRDefault="00A42DC7" w:rsidP="00A42DC7">
            <w:pPr>
              <w:spacing w:line="360" w:lineRule="auto"/>
              <w:jc w:val="both"/>
              <w:rPr>
                <w:sz w:val="24"/>
                <w:szCs w:val="24"/>
              </w:rPr>
            </w:pPr>
            <w:r>
              <w:rPr>
                <w:sz w:val="24"/>
                <w:szCs w:val="24"/>
              </w:rPr>
              <w:t xml:space="preserve">This task will reflect on a parenting assessment I completed with two parents while the mother was pregnant with her third child. For the purpose of ensuring confidentiality, the mother will be referred to as Parent 1 and the father as Parent 2. </w:t>
            </w:r>
          </w:p>
          <w:p w14:paraId="6BD20089" w14:textId="77777777" w:rsidR="00A42DC7" w:rsidRDefault="00A42DC7" w:rsidP="00A42DC7">
            <w:pPr>
              <w:spacing w:line="360" w:lineRule="auto"/>
              <w:jc w:val="both"/>
              <w:rPr>
                <w:sz w:val="24"/>
                <w:szCs w:val="24"/>
              </w:rPr>
            </w:pPr>
          </w:p>
          <w:p w14:paraId="1B5EC64D" w14:textId="77777777" w:rsidR="00A42DC7" w:rsidRDefault="00A42DC7" w:rsidP="00A42DC7">
            <w:pPr>
              <w:spacing w:line="360" w:lineRule="auto"/>
              <w:jc w:val="both"/>
              <w:rPr>
                <w:sz w:val="24"/>
                <w:szCs w:val="24"/>
              </w:rPr>
            </w:pPr>
            <w:r>
              <w:rPr>
                <w:sz w:val="24"/>
                <w:szCs w:val="24"/>
              </w:rPr>
              <w:t>A referral was received by the Local Authority’s Integrated Safeguarding Hub from a community midwife, which stated that Parent 1 was pregnant with her third child (her first child with Parent 2). The midwife reported in her referral that it had taken three attempts to get in touch with Parent 1 and when she was finally able to visit Parent 1’s home, both she and Parent 2 were present and both appeared to be under the influence of substances. The main concerns in this case were substance use, mental health issues, chaotic lifestyles and domestic violence between the parents, as well as Parent 1 having had two children removed from her care in the past, due to the same presenting concerns.</w:t>
            </w:r>
          </w:p>
          <w:p w14:paraId="1F1BE8DD" w14:textId="77777777" w:rsidR="00A42DC7" w:rsidRDefault="00A42DC7" w:rsidP="00A42DC7">
            <w:pPr>
              <w:spacing w:line="360" w:lineRule="auto"/>
              <w:jc w:val="both"/>
              <w:rPr>
                <w:sz w:val="24"/>
                <w:szCs w:val="24"/>
              </w:rPr>
            </w:pPr>
          </w:p>
          <w:p w14:paraId="1DEA2A1A" w14:textId="77777777" w:rsidR="00A42DC7" w:rsidRDefault="00A42DC7" w:rsidP="00A42DC7">
            <w:pPr>
              <w:spacing w:line="360" w:lineRule="auto"/>
              <w:jc w:val="both"/>
              <w:rPr>
                <w:sz w:val="24"/>
                <w:szCs w:val="24"/>
              </w:rPr>
            </w:pPr>
            <w:r>
              <w:rPr>
                <w:sz w:val="24"/>
                <w:szCs w:val="24"/>
              </w:rPr>
              <w:t xml:space="preserve">Both parents were in their late thirties and were born and brought up in a Welsh city with multiple areas of deprivation (Welsh Government, 2019). At this time, they lived (separately) in two areas known for high rates of substance use and antisocial behaviour. Neither parent was employed and had not been for some time. Welsh Government statistics show that material deprivation has increased since 2022, with 16% of all adults in Wales being materially deprived; this figure rises to 42% in unemployed people. (Welsh Government, 2024). </w:t>
            </w:r>
          </w:p>
          <w:p w14:paraId="68874E2E" w14:textId="77777777" w:rsidR="00A42DC7" w:rsidRDefault="00A42DC7" w:rsidP="00A42DC7">
            <w:pPr>
              <w:spacing w:line="360" w:lineRule="auto"/>
              <w:jc w:val="both"/>
            </w:pPr>
          </w:p>
          <w:p w14:paraId="3B5DEEC7" w14:textId="77777777" w:rsidR="00A42DC7" w:rsidRDefault="00A42DC7" w:rsidP="00A42DC7">
            <w:pPr>
              <w:spacing w:line="360" w:lineRule="auto"/>
              <w:jc w:val="both"/>
              <w:rPr>
                <w:sz w:val="24"/>
                <w:szCs w:val="24"/>
              </w:rPr>
            </w:pPr>
            <w:r>
              <w:rPr>
                <w:sz w:val="24"/>
                <w:szCs w:val="24"/>
              </w:rPr>
              <w:t xml:space="preserve">Both parents had experienced a lot of trauma during their childhoods, as well as family bereavements and a suicide in Parent 2’s family over the last 5 years. The need for me to work with a trauma-informed approach was paramount, as this way of working helps social </w:t>
            </w:r>
            <w:r>
              <w:rPr>
                <w:sz w:val="24"/>
                <w:szCs w:val="24"/>
              </w:rPr>
              <w:lastRenderedPageBreak/>
              <w:t>workers to understand a client’s behaviour and build trust, as well as promoting effective collaboration and shared power (Levenson, 2020; Mersky, Topitzes &amp; Britz, 2019).</w:t>
            </w:r>
          </w:p>
          <w:p w14:paraId="0BBE0F95" w14:textId="77777777" w:rsidR="00A42DC7" w:rsidRDefault="00A42DC7" w:rsidP="00A42DC7">
            <w:pPr>
              <w:spacing w:line="360" w:lineRule="auto"/>
              <w:jc w:val="both"/>
              <w:rPr>
                <w:sz w:val="24"/>
                <w:szCs w:val="24"/>
              </w:rPr>
            </w:pPr>
          </w:p>
          <w:p w14:paraId="1D9E1F23" w14:textId="77777777" w:rsidR="00A42DC7" w:rsidRDefault="00A42DC7" w:rsidP="00A42DC7">
            <w:pPr>
              <w:spacing w:line="360" w:lineRule="auto"/>
              <w:jc w:val="both"/>
              <w:rPr>
                <w:sz w:val="24"/>
                <w:szCs w:val="24"/>
              </w:rPr>
            </w:pPr>
            <w:r>
              <w:rPr>
                <w:sz w:val="24"/>
                <w:szCs w:val="24"/>
              </w:rPr>
              <w:t xml:space="preserve">I was allocated the case and immediately attempted to contact Parent 1 to gather information. I had an existing relationship with Parent 1, as I had been involved in the adoption of her second child. </w:t>
            </w:r>
            <w:r w:rsidRPr="00DB7D1C">
              <w:rPr>
                <w:sz w:val="24"/>
                <w:szCs w:val="24"/>
              </w:rPr>
              <w:t>This meant that there could have been a barrier to a positive working relationship between myself and the parents, as I knew Parent 1 had a negative view of children’s social services and may have associated me with this. I</w:t>
            </w:r>
            <w:r>
              <w:rPr>
                <w:sz w:val="24"/>
                <w:szCs w:val="24"/>
              </w:rPr>
              <w:t xml:space="preserve"> thought about this and knew I would have to work harder to build the relationship with the parents. In addition, I realised I would need to tailor my approach to offer extra support to Parent 1, given her traumatic experiences with her other children. Empathy in social work is essential; clients who experience empathy from social workers generally have better outcomes and empathy is important in building trust and understanding (Gerdes and Segal, 2011). </w:t>
            </w:r>
          </w:p>
          <w:p w14:paraId="661D07FE" w14:textId="77777777" w:rsidR="00A42DC7" w:rsidRDefault="00A42DC7" w:rsidP="00A42DC7">
            <w:pPr>
              <w:spacing w:line="360" w:lineRule="auto"/>
              <w:jc w:val="both"/>
              <w:rPr>
                <w:sz w:val="24"/>
                <w:szCs w:val="24"/>
              </w:rPr>
            </w:pPr>
          </w:p>
          <w:p w14:paraId="561D4932" w14:textId="09A116B4" w:rsidR="00A42DC7" w:rsidRDefault="00A42DC7" w:rsidP="00A42DC7">
            <w:pPr>
              <w:spacing w:line="360" w:lineRule="auto"/>
              <w:jc w:val="both"/>
            </w:pPr>
            <w:r>
              <w:rPr>
                <w:sz w:val="24"/>
                <w:szCs w:val="24"/>
              </w:rPr>
              <w:t xml:space="preserve">Contacting Parent 1 was extremely difficult as she was not answering her phone. I attempted to visit her home four times, with a colleague. This was for health and safety reasons, as per our organisation’s lone working policy, as both parents have a history of violence towards professionals. There was no answer on any of these occasions, which was frustrating and I had to rethink how to reach </w:t>
            </w:r>
            <w:r w:rsidR="00EE38F9">
              <w:rPr>
                <w:sz w:val="24"/>
                <w:szCs w:val="24"/>
              </w:rPr>
              <w:t>her</w:t>
            </w:r>
            <w:r>
              <w:rPr>
                <w:sz w:val="24"/>
                <w:szCs w:val="24"/>
              </w:rPr>
              <w:t>. On the last occasion, I left a note for Parent 1 with my phone number, asking her to phone me. On reflection, I should have left a note the first time I visited, because around a week later, she phoned me and we were able to have a preliminary conversation about her pregnancy. She said she was feeling well and that she was not using substances while pregnant. I arranged a visit to see her in person (again, with a colleague). When we visited, Parent 2 was also present and we discussed the concerns that social services had about the parents caring for their baby safely, both in utero and once the baby was born. I was mindful of Parent 1 having a hearing impairment in one ear, so I checked that I was sitting in a position where she could hear me well. The Equality Act 2010 outlines the requirement to make reasonable adjustments where an individual has a disability. This responsibility guarantees that individuals with disabilities do not face significant disadvantages in comparison to those without disabilities.</w:t>
            </w:r>
          </w:p>
          <w:p w14:paraId="5E102AD5" w14:textId="77777777" w:rsidR="00E15273" w:rsidRDefault="00E15273" w:rsidP="00A42DC7">
            <w:pPr>
              <w:spacing w:line="360" w:lineRule="auto"/>
              <w:jc w:val="both"/>
              <w:rPr>
                <w:sz w:val="24"/>
                <w:szCs w:val="24"/>
              </w:rPr>
            </w:pPr>
          </w:p>
          <w:p w14:paraId="3EC866D6" w14:textId="77777777" w:rsidR="00E15273" w:rsidRDefault="00E15273" w:rsidP="00A42DC7">
            <w:pPr>
              <w:spacing w:line="360" w:lineRule="auto"/>
              <w:jc w:val="both"/>
              <w:rPr>
                <w:sz w:val="24"/>
                <w:szCs w:val="24"/>
              </w:rPr>
            </w:pPr>
          </w:p>
          <w:p w14:paraId="3C8DE7F1" w14:textId="2D4803D9" w:rsidR="00A42DC7" w:rsidRDefault="00A42DC7" w:rsidP="00A42DC7">
            <w:pPr>
              <w:spacing w:line="360" w:lineRule="auto"/>
              <w:jc w:val="both"/>
              <w:rPr>
                <w:sz w:val="24"/>
                <w:szCs w:val="24"/>
              </w:rPr>
            </w:pPr>
            <w:r>
              <w:rPr>
                <w:sz w:val="24"/>
                <w:szCs w:val="24"/>
              </w:rPr>
              <w:t xml:space="preserve">I explained to the parents that there were procedures I had a duty to follow and that in this case, we would most likely proceed to an Initial Child Protection Conference under the Wales Safeguarding Procedures (Social Care Wales, 2019), given the historic concerns regarding domestic abuse within the parents’ relationship, substance use and chaotic lifestyles. During the conversation, Parent 2 became agitated and questioned why social services would need to be involved. I reiterated what I had said about the historic concerns regarding Parent 1’s first two children, as well as the issues of substance use and domestic violence within the relationship. This conversation was uncomfortable for all involved and it felt oppressive towards the parents. I reflected on this in my next supervision and my Practice Lead understood my discomfort but reminded me that my duty was toward the unborn child and this type of conversation would need to be had many times in my role. We discussed power balance within social work and the need for transparency, which </w:t>
            </w:r>
            <w:bookmarkStart w:id="0" w:name="_Hlk187056090"/>
            <w:r>
              <w:rPr>
                <w:sz w:val="24"/>
                <w:szCs w:val="24"/>
              </w:rPr>
              <w:t xml:space="preserve">Devlieghere and Gillingham (2020) </w:t>
            </w:r>
            <w:bookmarkEnd w:id="0"/>
            <w:r>
              <w:rPr>
                <w:sz w:val="24"/>
                <w:szCs w:val="24"/>
              </w:rPr>
              <w:t>describe as a ‘prerequisite for achieving democratic partnership’ (p.5071). Open and transparent communication facilitates better collaboration between social workers and families and ensures that everyone is fully informed about processes and decisions (SCIE, 2023). The importance of transparency forms part of Section 2 of the Social Care Wales Code of Professional Practice, which focuses on being open, honest and trustworthy (SCW CoPP, 2017).</w:t>
            </w:r>
          </w:p>
          <w:p w14:paraId="7CF70691" w14:textId="77777777" w:rsidR="00E15273" w:rsidRDefault="00E15273" w:rsidP="00A42DC7">
            <w:pPr>
              <w:spacing w:line="360" w:lineRule="auto"/>
              <w:jc w:val="both"/>
              <w:rPr>
                <w:sz w:val="24"/>
                <w:szCs w:val="24"/>
              </w:rPr>
            </w:pPr>
          </w:p>
          <w:p w14:paraId="2B07EE28" w14:textId="77777777" w:rsidR="00A42DC7" w:rsidRDefault="00A42DC7" w:rsidP="00A42DC7">
            <w:pPr>
              <w:spacing w:line="360" w:lineRule="auto"/>
              <w:jc w:val="both"/>
              <w:rPr>
                <w:sz w:val="24"/>
                <w:szCs w:val="24"/>
              </w:rPr>
            </w:pPr>
            <w:r>
              <w:rPr>
                <w:sz w:val="24"/>
                <w:szCs w:val="24"/>
              </w:rPr>
              <w:t>I explained that I understood that this was a worrying time for them (particularly given Parent 1’s previous experience with social services) and impressed upon both parents the need for us to work together to ensure their unborn child’s health and wellbeing. With regard to collaborative working, the SSWBA 2014 and the Wales Safeguarding Procedures emphasise the importance of fostering engagement and co-production with individuals. The SSWBA 2014 Part 3 Code of Practice (assessing the needs of individuals) requires practitioners to discuss with clients during the assessment process what matters to them and the outcomes they wish to achieve (Welsh Government, 2017).</w:t>
            </w:r>
          </w:p>
          <w:p w14:paraId="146E0136" w14:textId="77777777" w:rsidR="00E15273" w:rsidRDefault="00E15273" w:rsidP="00A42DC7">
            <w:pPr>
              <w:spacing w:line="360" w:lineRule="auto"/>
              <w:jc w:val="both"/>
            </w:pPr>
          </w:p>
          <w:p w14:paraId="6A4833B2" w14:textId="77777777" w:rsidR="00A42DC7" w:rsidRDefault="00A42DC7" w:rsidP="00A42DC7">
            <w:pPr>
              <w:spacing w:line="360" w:lineRule="auto"/>
              <w:jc w:val="both"/>
              <w:rPr>
                <w:sz w:val="24"/>
                <w:szCs w:val="24"/>
              </w:rPr>
            </w:pPr>
            <w:r>
              <w:rPr>
                <w:sz w:val="24"/>
                <w:szCs w:val="24"/>
              </w:rPr>
              <w:t xml:space="preserve">When asked what was important to them, both parents said they would want to be assessed to care for their baby and that their intention was to work with social services, as well as drug </w:t>
            </w:r>
            <w:r>
              <w:rPr>
                <w:sz w:val="24"/>
                <w:szCs w:val="24"/>
              </w:rPr>
              <w:lastRenderedPageBreak/>
              <w:t xml:space="preserve">support agencies, with the aim of becoming abstinent from heroin and crack cocaine. Both parents had been working with the Local Authority’s Community Drug and Alcohol Team (CDAT) for some time and both received a regular opiate substitution prescription. With regard to collaborative working with professionals, I worked closely with the parents’ CDAT workers while this case was open to me, who reported that both parents were inconsistent in attending appointments, regularly gave urine samples which were positive for crack cocaine and heroin and would sometimes only attend appointments if they were told their prescription for opiate substitution medication would be put on hold if they did not attend. </w:t>
            </w:r>
          </w:p>
          <w:p w14:paraId="09DE7B3F" w14:textId="77777777" w:rsidR="00E15273" w:rsidRDefault="00E15273" w:rsidP="00A42DC7">
            <w:pPr>
              <w:spacing w:line="360" w:lineRule="auto"/>
              <w:jc w:val="both"/>
              <w:rPr>
                <w:sz w:val="24"/>
                <w:szCs w:val="24"/>
              </w:rPr>
            </w:pPr>
          </w:p>
          <w:p w14:paraId="6EF41239" w14:textId="77777777" w:rsidR="00A42DC7" w:rsidRDefault="00A42DC7" w:rsidP="00A42DC7">
            <w:pPr>
              <w:spacing w:line="360" w:lineRule="auto"/>
              <w:jc w:val="both"/>
              <w:rPr>
                <w:sz w:val="24"/>
                <w:szCs w:val="24"/>
              </w:rPr>
            </w:pPr>
            <w:r>
              <w:rPr>
                <w:sz w:val="24"/>
                <w:szCs w:val="24"/>
              </w:rPr>
              <w:t xml:space="preserve">A principal feature of this case was disguised compliance, with both parents regularly denying having used substances, when their urine tests clearly showed they had used heroin and crack cocaine. During core group meetings (6-weekly meetings where involved professionals and family members work together to review a safety plan created at an initial child protection conference), both parents would accuse their CDAT workers of lying and falsifying test results. </w:t>
            </w:r>
            <w:r w:rsidRPr="00DB7D1C">
              <w:rPr>
                <w:sz w:val="24"/>
                <w:szCs w:val="24"/>
              </w:rPr>
              <w:t>In hindsight</w:t>
            </w:r>
            <w:r>
              <w:rPr>
                <w:sz w:val="24"/>
                <w:szCs w:val="24"/>
              </w:rPr>
              <w:t>, I can see that these parents wanted to care for their baby, but they were not able to make the changes that social services needed to see.</w:t>
            </w:r>
          </w:p>
          <w:p w14:paraId="7F99D85C" w14:textId="77777777" w:rsidR="00E15273" w:rsidRDefault="00E15273" w:rsidP="00A42DC7">
            <w:pPr>
              <w:spacing w:line="360" w:lineRule="auto"/>
              <w:jc w:val="both"/>
              <w:rPr>
                <w:sz w:val="24"/>
                <w:szCs w:val="24"/>
              </w:rPr>
            </w:pPr>
          </w:p>
          <w:p w14:paraId="246BF764" w14:textId="77777777" w:rsidR="00A42DC7" w:rsidRDefault="00A42DC7" w:rsidP="00A42DC7">
            <w:pPr>
              <w:spacing w:line="360" w:lineRule="auto"/>
              <w:jc w:val="both"/>
              <w:rPr>
                <w:sz w:val="24"/>
                <w:szCs w:val="24"/>
              </w:rPr>
            </w:pPr>
            <w:r>
              <w:rPr>
                <w:sz w:val="24"/>
                <w:szCs w:val="24"/>
              </w:rPr>
              <w:t>Parent 2 would also tell me that he had attended his probation appointments when he had not; I was in regular contact with his Probation worker who would report to me Parent 2’s failure to attend. This multi-agency collaboration was essential, as was my collaboration with Parent 1’s Local Authority housing officer, who regularly reported domestic disturbances from Parent 1’s property, despite both parents saying their relationship was peaceful and happy. Social services would also receive Public Protection Notices (PPN) from the police about the parents regularly (a PPN is a document that records safeguarding concerns about an adult or child); these notices would inform social services that there had been an argument between the parents and that the police had been called to intervene.</w:t>
            </w:r>
          </w:p>
          <w:p w14:paraId="5B207BA0" w14:textId="77777777" w:rsidR="00E15273" w:rsidRDefault="00E15273" w:rsidP="00A42DC7">
            <w:pPr>
              <w:spacing w:line="360" w:lineRule="auto"/>
              <w:jc w:val="both"/>
              <w:rPr>
                <w:sz w:val="24"/>
                <w:szCs w:val="24"/>
              </w:rPr>
            </w:pPr>
          </w:p>
          <w:p w14:paraId="5CFE7358" w14:textId="77777777" w:rsidR="00A42DC7" w:rsidRDefault="00A42DC7" w:rsidP="00A42DC7">
            <w:pPr>
              <w:spacing w:line="360" w:lineRule="auto"/>
              <w:jc w:val="both"/>
              <w:rPr>
                <w:sz w:val="24"/>
                <w:szCs w:val="24"/>
              </w:rPr>
            </w:pPr>
            <w:r>
              <w:rPr>
                <w:sz w:val="24"/>
                <w:szCs w:val="24"/>
              </w:rPr>
              <w:t xml:space="preserve">At the time this case was allocated to me, there was a restraining order in place which was meant to prevent Parent 2 from seeing or having any contact with Parent 1, due to a physical assault by Parent 2 against Parent 1 in the month prior to the midwife making the referral. I explained that I would have to report the breach of the restraining order – I was aware that </w:t>
            </w:r>
            <w:r>
              <w:rPr>
                <w:sz w:val="24"/>
                <w:szCs w:val="24"/>
              </w:rPr>
              <w:lastRenderedPageBreak/>
              <w:t>this may have a further negative impact on my already difficult working relationship with the parents, but I was duty-bound to report the breach.</w:t>
            </w:r>
          </w:p>
          <w:p w14:paraId="3CDA9C64" w14:textId="77777777" w:rsidR="00E15273" w:rsidRDefault="00E15273" w:rsidP="00A42DC7">
            <w:pPr>
              <w:spacing w:line="360" w:lineRule="auto"/>
              <w:jc w:val="both"/>
              <w:rPr>
                <w:sz w:val="24"/>
                <w:szCs w:val="24"/>
              </w:rPr>
            </w:pPr>
          </w:p>
          <w:p w14:paraId="289BE3C4" w14:textId="77777777" w:rsidR="00A42DC7" w:rsidRDefault="00A42DC7" w:rsidP="00A42DC7">
            <w:pPr>
              <w:spacing w:line="360" w:lineRule="auto"/>
              <w:jc w:val="both"/>
              <w:rPr>
                <w:sz w:val="24"/>
                <w:szCs w:val="24"/>
              </w:rPr>
            </w:pPr>
            <w:r>
              <w:rPr>
                <w:sz w:val="24"/>
                <w:szCs w:val="24"/>
              </w:rPr>
              <w:t>This case was particularly complex given the range of issues within the family and I needed to use my professional judgement to identify risks and weigh them up against protective factors, which were few. The parents’ relationship was characterised by domestic violence, mental health issues and substance use, Parent 1’s two older children had been removed from her care and there were concerns around home conditions, which was still the case. The flat in which Parent 1 lives is in an area known for deprivation and the social housing conditions are of a poor standard. Furthermore, there was a lack of support from family and friends, meaning there was no safety network to ensure the unborn baby’s wellbeing once they were born. Family support is known to mitigate risk and improve outcomes in child protection cases (Dill, 2017) and neither parent had any relatives who could offer meaningful support. The Signs of Safety methodology (Turnell and Murphy, 2017) offers guidance to practitioners on developing plans with families to keep children safe and safety networks are one of its key principles. These networks, comprising family members and friends can provide ongoing support to ensure the child’s wellbeing through a safety plan, which is devised and ‘owned’ by the family. Signs of Safety recognises that family support is an important protective factor in child protection cases; the lack of protective factors combined with the concerns in this particular situation is what led the case to an Initial Child Protection Conference (ICPC).</w:t>
            </w:r>
          </w:p>
          <w:p w14:paraId="27E6D03C" w14:textId="77777777" w:rsidR="00E15273" w:rsidRDefault="00E15273" w:rsidP="00A42DC7">
            <w:pPr>
              <w:spacing w:line="360" w:lineRule="auto"/>
              <w:jc w:val="both"/>
              <w:rPr>
                <w:sz w:val="24"/>
                <w:szCs w:val="24"/>
              </w:rPr>
            </w:pPr>
          </w:p>
          <w:p w14:paraId="7F7DA626" w14:textId="0527D944" w:rsidR="00A42DC7" w:rsidRDefault="00A42DC7" w:rsidP="00A42DC7">
            <w:pPr>
              <w:spacing w:line="360" w:lineRule="auto"/>
              <w:jc w:val="both"/>
              <w:rPr>
                <w:sz w:val="24"/>
                <w:szCs w:val="24"/>
              </w:rPr>
            </w:pPr>
            <w:r>
              <w:rPr>
                <w:sz w:val="24"/>
                <w:szCs w:val="24"/>
              </w:rPr>
              <w:t>The Wales Safeguarding Procedures (</w:t>
            </w:r>
            <w:r w:rsidR="00EF433F">
              <w:rPr>
                <w:sz w:val="24"/>
                <w:szCs w:val="24"/>
              </w:rPr>
              <w:t xml:space="preserve">Social Care Wales, </w:t>
            </w:r>
            <w:r>
              <w:rPr>
                <w:sz w:val="24"/>
                <w:szCs w:val="24"/>
              </w:rPr>
              <w:t xml:space="preserve">2019) were developed by the devolved Welsh Government following the implementation of the Social Services and Wellbeing (Wales) Act 2014 which came into effect in 2016. The SSWBA 2014 is underpinned by the UN Convention of the Rights of the Child and provides the legal framework for improving wellbeing outcomes for Welsh citizens. </w:t>
            </w:r>
          </w:p>
          <w:p w14:paraId="16D402EC" w14:textId="77777777" w:rsidR="00E15273" w:rsidRDefault="00E15273" w:rsidP="00A42DC7">
            <w:pPr>
              <w:spacing w:line="360" w:lineRule="auto"/>
              <w:jc w:val="both"/>
              <w:rPr>
                <w:sz w:val="24"/>
                <w:szCs w:val="24"/>
              </w:rPr>
            </w:pPr>
          </w:p>
          <w:p w14:paraId="125BF8BE" w14:textId="77777777" w:rsidR="00A42DC7" w:rsidRDefault="00A42DC7" w:rsidP="00A42DC7">
            <w:pPr>
              <w:spacing w:line="360" w:lineRule="auto"/>
              <w:jc w:val="both"/>
              <w:rPr>
                <w:sz w:val="24"/>
                <w:szCs w:val="24"/>
              </w:rPr>
            </w:pPr>
            <w:r>
              <w:rPr>
                <w:sz w:val="24"/>
                <w:szCs w:val="24"/>
              </w:rPr>
              <w:t xml:space="preserve">UK Government legislation, notably the Children Act 1989 (CA 1989), continues to provide essential guidance to local authorities regarding the initiation of care proceedings in Wales, while also imposing a duty on these authorities to protect the welfare of children. Although most provisions of the CA 1989 are applicable to both Wales and England, it is important to </w:t>
            </w:r>
            <w:r>
              <w:rPr>
                <w:sz w:val="24"/>
                <w:szCs w:val="24"/>
              </w:rPr>
              <w:lastRenderedPageBreak/>
              <w:t>note that Part 3 of the CA 1989 has been superseded by Part 6 of the SSWBA 2014. Several provisions of the Children Act 1989 have been replaced, repealed or modified by the SSWBA 2014 and the Well-Being of Future Generations (Wales) Act 2015, which details the requirement to establish safeguarding boards in Wales (NSPCC, 2022).</w:t>
            </w:r>
          </w:p>
          <w:p w14:paraId="1014705E" w14:textId="77777777" w:rsidR="00E15273" w:rsidRDefault="00E15273" w:rsidP="00A42DC7">
            <w:pPr>
              <w:spacing w:line="360" w:lineRule="auto"/>
              <w:jc w:val="both"/>
              <w:rPr>
                <w:sz w:val="24"/>
                <w:szCs w:val="24"/>
              </w:rPr>
            </w:pPr>
          </w:p>
          <w:p w14:paraId="6D624B17" w14:textId="77777777" w:rsidR="00A42DC7" w:rsidRDefault="00A42DC7" w:rsidP="00A42DC7">
            <w:pPr>
              <w:spacing w:line="360" w:lineRule="auto"/>
              <w:jc w:val="both"/>
              <w:rPr>
                <w:sz w:val="24"/>
                <w:szCs w:val="24"/>
              </w:rPr>
            </w:pPr>
            <w:r>
              <w:rPr>
                <w:sz w:val="24"/>
                <w:szCs w:val="24"/>
              </w:rPr>
              <w:t>Wales became the first country in the UK to integrate the United Nations Convention on the Rights of the Child (UNCRC) into its legal framework, thereby enhancing children's involvement through the Rights of Children and Young Persons (Wales) Measure 2011 (Welsh Government, 2011). Article 19 of the United Nations Convention on the Rights of the Child (UNCRC) states that children have the right to be protected from abuse and neglect; however, in UK law a child does not have human rights until it is born (Hossaini, 2017), meaning the rights of its mother take precedence while the baby is still in utero.</w:t>
            </w:r>
          </w:p>
          <w:p w14:paraId="351B592B" w14:textId="77777777" w:rsidR="00E15273" w:rsidRDefault="00E15273" w:rsidP="00A42DC7">
            <w:pPr>
              <w:spacing w:line="360" w:lineRule="auto"/>
              <w:jc w:val="both"/>
            </w:pPr>
          </w:p>
          <w:p w14:paraId="6EE7A8CA" w14:textId="77777777" w:rsidR="00A42DC7" w:rsidRDefault="00A42DC7" w:rsidP="00A42DC7">
            <w:pPr>
              <w:spacing w:line="360" w:lineRule="auto"/>
              <w:jc w:val="both"/>
              <w:rPr>
                <w:sz w:val="24"/>
                <w:szCs w:val="24"/>
              </w:rPr>
            </w:pPr>
            <w:r>
              <w:rPr>
                <w:sz w:val="24"/>
                <w:szCs w:val="24"/>
              </w:rPr>
              <w:t>Under the Wales Safeguarding Procedures (2019), the concerns regarding Parent 1 and Parent 2’s unborn baby were deemed serious enough for the case to proceed to an initial Strategy Discussion between my Practice Lead and a police officer from the child protection unit. This discussion was followed by a Section 47 enquiry, which is a legal provision of the Children Act 1989 that allows a local authority to investigate concerns about a child’s welfare. The outcome of this enquiry was to proceed to an Initial Child Protection Conference (ICPC), such was the gravity of the concerns for the welfare of the unborn baby. The ICPC was held 2 days after my initial contact with the parents and they chose not to attend. This was frustrating but I understood their reasons for not attending. I found child protection conferences overwhelming as a professional, so I could imagine how intimidating they were for families. The ICPC heard the concerns from myself and other professionals and given the seriousness of the concerns, the unborn baby’s name was added to the child protection register under the category of neglect.</w:t>
            </w:r>
          </w:p>
          <w:p w14:paraId="1670F790" w14:textId="77777777" w:rsidR="00E15273" w:rsidRDefault="00E15273" w:rsidP="00A42DC7">
            <w:pPr>
              <w:spacing w:line="360" w:lineRule="auto"/>
              <w:jc w:val="both"/>
              <w:rPr>
                <w:sz w:val="24"/>
                <w:szCs w:val="24"/>
              </w:rPr>
            </w:pPr>
          </w:p>
          <w:p w14:paraId="48433BE7" w14:textId="77777777" w:rsidR="00A42DC7" w:rsidRDefault="00A42DC7" w:rsidP="00A42DC7">
            <w:pPr>
              <w:spacing w:line="360" w:lineRule="auto"/>
              <w:jc w:val="both"/>
              <w:rPr>
                <w:sz w:val="24"/>
                <w:szCs w:val="24"/>
              </w:rPr>
            </w:pPr>
            <w:r>
              <w:rPr>
                <w:sz w:val="24"/>
                <w:szCs w:val="24"/>
              </w:rPr>
              <w:t xml:space="preserve">Following the ICPC and discussions with my Practice Lead and the Local Authority’s childcare legal team, it was decided that threshold had been met for the case to enter into the Public Law Outline (PLO). PLO is the Ministry of Justice legal framework for children’s care and supervision proceedings. The PLO process is designed to give parents the opportunity to </w:t>
            </w:r>
            <w:r>
              <w:rPr>
                <w:sz w:val="24"/>
                <w:szCs w:val="24"/>
              </w:rPr>
              <w:lastRenderedPageBreak/>
              <w:t xml:space="preserve">make positive changes and address the concerns of the Local Authority, to keep their children in their care. </w:t>
            </w:r>
          </w:p>
          <w:p w14:paraId="5BD6C9D0" w14:textId="77777777" w:rsidR="00E15273" w:rsidRDefault="00E15273" w:rsidP="00A42DC7">
            <w:pPr>
              <w:spacing w:line="360" w:lineRule="auto"/>
              <w:jc w:val="both"/>
            </w:pPr>
          </w:p>
          <w:p w14:paraId="565DE3C2" w14:textId="77777777" w:rsidR="00A42DC7" w:rsidRDefault="00A42DC7" w:rsidP="00A42DC7">
            <w:pPr>
              <w:spacing w:line="360" w:lineRule="auto"/>
              <w:jc w:val="both"/>
              <w:rPr>
                <w:sz w:val="24"/>
                <w:szCs w:val="24"/>
              </w:rPr>
            </w:pPr>
            <w:r>
              <w:rPr>
                <w:sz w:val="24"/>
                <w:szCs w:val="24"/>
              </w:rPr>
              <w:t>During a pre-proceedings meeting with each parent individually, their legal counsel and the Local Authority child and family legal team, it was explained to Parents 1 and 2 that they would be assessed to care for their child through a series of PLO assessment sessions and that it was important that they engage fully with me, as their child’s social worker, to give themselves and their baby the best opportunity to stay together.</w:t>
            </w:r>
          </w:p>
          <w:p w14:paraId="27B8A4E7" w14:textId="77777777" w:rsidR="00E15273" w:rsidRDefault="00E15273" w:rsidP="00A42DC7">
            <w:pPr>
              <w:spacing w:line="360" w:lineRule="auto"/>
              <w:jc w:val="both"/>
              <w:rPr>
                <w:sz w:val="24"/>
                <w:szCs w:val="24"/>
              </w:rPr>
            </w:pPr>
          </w:p>
          <w:p w14:paraId="6AF77752" w14:textId="7975619C" w:rsidR="00A42DC7" w:rsidRDefault="00A42DC7" w:rsidP="00A42DC7">
            <w:pPr>
              <w:spacing w:line="360" w:lineRule="auto"/>
              <w:jc w:val="both"/>
              <w:rPr>
                <w:sz w:val="24"/>
                <w:szCs w:val="24"/>
              </w:rPr>
            </w:pPr>
            <w:r>
              <w:rPr>
                <w:sz w:val="24"/>
                <w:szCs w:val="24"/>
              </w:rPr>
              <w:t xml:space="preserve">The baby was born 7 weeks early, less than a month after my initial contact with the parents and the Initial Child Protection Conference. The day after the baby was born, I went to the hospital to see the baby and Parent 1; Parent 1 signed a voluntary agreement allowing her baby to be placed with a foster carer (under Section 76 of the Children Act 1989) and told me that she was going to try hard to prove she could look after the baby. She said she was not prepared to let another child grow up without her. She was very emotional and while this was very difficult to witness as I had felt a lot of sympathy towards her, I knew it was important for me to remember my professional duty towards the baby. I tried to balance being supportive with gently reminding her that it was very important she engaged fully with social services and CDAT if she were going to </w:t>
            </w:r>
            <w:r w:rsidR="002D5FA9">
              <w:rPr>
                <w:sz w:val="24"/>
                <w:szCs w:val="24"/>
              </w:rPr>
              <w:t>demo</w:t>
            </w:r>
            <w:r w:rsidR="006B2DCB">
              <w:rPr>
                <w:sz w:val="24"/>
                <w:szCs w:val="24"/>
              </w:rPr>
              <w:t>nstrate that she wanted to care for her baby</w:t>
            </w:r>
            <w:r>
              <w:rPr>
                <w:sz w:val="24"/>
                <w:szCs w:val="24"/>
              </w:rPr>
              <w:t xml:space="preserve">. The emotions of practitioners and their clients are central to social work practice (O’Connor, 2019) and the need to balance the emotional side of the role with statutory duties is crucial </w:t>
            </w:r>
            <w:r w:rsidRPr="00BB4685">
              <w:rPr>
                <w:sz w:val="24"/>
                <w:szCs w:val="24"/>
              </w:rPr>
              <w:t>to prevent burnout and maintain professional boundaries</w:t>
            </w:r>
            <w:r>
              <w:rPr>
                <w:sz w:val="24"/>
                <w:szCs w:val="24"/>
              </w:rPr>
              <w:t xml:space="preserve"> (</w:t>
            </w:r>
            <w:r w:rsidRPr="00BB4685">
              <w:rPr>
                <w:sz w:val="24"/>
                <w:szCs w:val="24"/>
              </w:rPr>
              <w:t>Evans</w:t>
            </w:r>
            <w:r>
              <w:rPr>
                <w:sz w:val="24"/>
                <w:szCs w:val="24"/>
              </w:rPr>
              <w:t xml:space="preserve"> et al, 2005)</w:t>
            </w:r>
            <w:r w:rsidRPr="00BB4685">
              <w:rPr>
                <w:sz w:val="24"/>
                <w:szCs w:val="24"/>
              </w:rPr>
              <w:t>.</w:t>
            </w:r>
          </w:p>
          <w:p w14:paraId="613384C5" w14:textId="77777777" w:rsidR="00E15273" w:rsidRDefault="00E15273" w:rsidP="00A42DC7">
            <w:pPr>
              <w:spacing w:line="360" w:lineRule="auto"/>
              <w:jc w:val="both"/>
              <w:rPr>
                <w:sz w:val="24"/>
                <w:szCs w:val="24"/>
              </w:rPr>
            </w:pPr>
          </w:p>
          <w:p w14:paraId="32A96992" w14:textId="77777777" w:rsidR="00A42DC7" w:rsidRDefault="00A42DC7" w:rsidP="00A42DC7">
            <w:pPr>
              <w:spacing w:line="360" w:lineRule="auto"/>
              <w:jc w:val="both"/>
              <w:rPr>
                <w:sz w:val="24"/>
                <w:szCs w:val="24"/>
              </w:rPr>
            </w:pPr>
            <w:r>
              <w:rPr>
                <w:sz w:val="24"/>
                <w:szCs w:val="24"/>
              </w:rPr>
              <w:t xml:space="preserve">The Born into Care guidelines (Mason et al, 2022), which aim to improve the experience and outcomes for families when a child is born into care proceedings, highlight the importance of thorough assessment and strong support for parents whose child is removed at birth. Parent 1 agreed to engage with a social services team whose aim is to support parents in this situation. This team struggled to engage Parent 1 before her baby was born, but post-birth I know that Parent 1 was very grateful for the support she received from them, bearing in mind she was isolated from Parent 2 because the restraining order against him was still in place. He had attended the baby’s birth and was later removed from the hospital by police, who </w:t>
            </w:r>
            <w:r>
              <w:rPr>
                <w:sz w:val="24"/>
                <w:szCs w:val="24"/>
              </w:rPr>
              <w:lastRenderedPageBreak/>
              <w:t>arrested him for breaching his bail conditions. I understood that Parent 2 wanted to be present at his child’s birth, but the safety of the baby and his mother had to take priority.</w:t>
            </w:r>
          </w:p>
          <w:p w14:paraId="1ECE516A" w14:textId="77777777" w:rsidR="00E15273" w:rsidRDefault="00E15273" w:rsidP="00A42DC7">
            <w:pPr>
              <w:spacing w:line="360" w:lineRule="auto"/>
              <w:jc w:val="both"/>
              <w:rPr>
                <w:sz w:val="24"/>
                <w:szCs w:val="24"/>
              </w:rPr>
            </w:pPr>
          </w:p>
          <w:p w14:paraId="4AF6FA31" w14:textId="4B565C00" w:rsidR="00A42DC7" w:rsidRDefault="00A42DC7" w:rsidP="00A42DC7">
            <w:pPr>
              <w:spacing w:line="360" w:lineRule="auto"/>
              <w:jc w:val="both"/>
              <w:rPr>
                <w:sz w:val="24"/>
                <w:szCs w:val="24"/>
              </w:rPr>
            </w:pPr>
            <w:r>
              <w:rPr>
                <w:sz w:val="24"/>
                <w:szCs w:val="24"/>
              </w:rPr>
              <w:t>Having a good knowledge of the law is essential for social workers (Brammer, 20</w:t>
            </w:r>
            <w:r w:rsidR="00904E7B">
              <w:rPr>
                <w:sz w:val="24"/>
                <w:szCs w:val="24"/>
              </w:rPr>
              <w:t>2</w:t>
            </w:r>
            <w:r>
              <w:rPr>
                <w:sz w:val="24"/>
                <w:szCs w:val="24"/>
              </w:rPr>
              <w:t>0). Legal knowledge supports practitioners’ understanding of the interface between the law and social work practice (Evans and Harvey, 2022), assists them in guiding clients through legal processes and promotes ethical practice by providing guidelines that help social workers maintain professional standards (Barsky, 2010). Additionally, social work practice should also be grounded in methods which uphold the intrinsic values of social work. The British Association of Social Workers Code of Ethics (BASW, 2021) and the Social Care Wales Code of Professional Practice (SCW, 2017) and National Occupational Standards (SCW, 2017) emphasise these values and provide guidance on how to practice ethically.</w:t>
            </w:r>
          </w:p>
          <w:p w14:paraId="4C29E820" w14:textId="77777777" w:rsidR="00E15273" w:rsidRDefault="00E15273" w:rsidP="00A42DC7">
            <w:pPr>
              <w:spacing w:line="360" w:lineRule="auto"/>
              <w:jc w:val="both"/>
              <w:rPr>
                <w:sz w:val="24"/>
                <w:szCs w:val="24"/>
              </w:rPr>
            </w:pPr>
          </w:p>
          <w:p w14:paraId="7FE9043C" w14:textId="77777777" w:rsidR="00A42DC7" w:rsidRDefault="00A42DC7" w:rsidP="00A42DC7">
            <w:pPr>
              <w:spacing w:line="360" w:lineRule="auto"/>
              <w:jc w:val="both"/>
              <w:rPr>
                <w:sz w:val="24"/>
                <w:szCs w:val="24"/>
              </w:rPr>
            </w:pPr>
            <w:r>
              <w:rPr>
                <w:sz w:val="24"/>
                <w:szCs w:val="24"/>
              </w:rPr>
              <w:t xml:space="preserve">Due to the premature birth, I had been able to complete only one assessment session with the parents by the time the baby was born. Assessment sessions were put on hold while Parent 1 and her baby were in hospital (the baby was in the neonatal intensive care unit for a week, being treated for withdrawals from crack cocaine). These sessions resumed two weeks after the baby was born. Out of twelve PLO assessment sessions I arranged with the parents, Parent 1 attended two sessions and Parent 2 attended three sessions. Two key principles of the Social Services and Well-being (Wales) Act 2014 Part 3 Code of Practice (Assessing the Needs of Individuals) are collaboration and strengths-based practice; I felt frustrated that neither parent was engaging fully, as we were not able to work in partnership or do anything that could improve their family’s outcomes. I realised at this point that I had lost hope of these parents being able to care for their child safely. Their lifestyles were chaotic and when their baby was around 3 months old, they did not attend family time with their baby (supervised by social services staff) three times in a row, which meant that this family time was put on hold. This happened again within the same month. Neither parent made any sustained change regarding substance use; I believe they were both in the contemplation stage (Prochaska and DiClemente, 1997). They seemed to understand that their substance use was enough of a concern for their baby to be subject to a care order, but they were taking no action towards any behaviour change or a positive outcome for themselves and their child. During one </w:t>
            </w:r>
            <w:r>
              <w:rPr>
                <w:sz w:val="24"/>
                <w:szCs w:val="24"/>
              </w:rPr>
              <w:lastRenderedPageBreak/>
              <w:t>assessment session I completed with the parents, we completed an ecomap of their family members. I explained that social services would always look to find a family member or other safe person to care for a child and asked if there was anyone they could suggest to care for their child, should they not be assessed positively. Ecomaps are a useful way to visualise Systems Theory (</w:t>
            </w:r>
            <w:r w:rsidRPr="00E177A5">
              <w:rPr>
                <w:color w:val="auto"/>
                <w:sz w:val="24"/>
                <w:szCs w:val="24"/>
              </w:rPr>
              <w:t>Forder, 1976</w:t>
            </w:r>
            <w:r>
              <w:rPr>
                <w:sz w:val="24"/>
                <w:szCs w:val="24"/>
              </w:rPr>
              <w:t>) and tools such as these help to not only understand the family system, but they are a helpful way to get to know an individual and to understand their behaviour. Furthermore, tools such as ecomaps can identify issues with family dynamics (McCormick, Stricklin and Rous, 2008).</w:t>
            </w:r>
          </w:p>
          <w:p w14:paraId="658DB062" w14:textId="77777777" w:rsidR="00E15273" w:rsidRDefault="00E15273" w:rsidP="00A42DC7">
            <w:pPr>
              <w:spacing w:line="360" w:lineRule="auto"/>
              <w:jc w:val="both"/>
              <w:rPr>
                <w:sz w:val="24"/>
                <w:szCs w:val="24"/>
              </w:rPr>
            </w:pPr>
          </w:p>
          <w:p w14:paraId="29547B38" w14:textId="77777777" w:rsidR="00A42DC7" w:rsidRDefault="00A42DC7" w:rsidP="00A42DC7">
            <w:pPr>
              <w:spacing w:line="360" w:lineRule="auto"/>
              <w:jc w:val="both"/>
              <w:rPr>
                <w:sz w:val="24"/>
                <w:szCs w:val="24"/>
              </w:rPr>
            </w:pPr>
            <w:r>
              <w:rPr>
                <w:sz w:val="24"/>
                <w:szCs w:val="24"/>
              </w:rPr>
              <w:t>It was during this session it became apparent that neither parent had any positive relationships; they were each other’s whole world. Parent 2 had found his brother dead, which was understandably an extremely traumatic event in his life. Parent 2 told me that this event was a catalyst for his increased substance use, particularly heroin. Post-traumatic stress disorder and substance use disorders are commonly occurring psychiatric conditions (Vujanovic, Bonn-Miller and Petry, 2016) and there is substantial evidence to suggest that individuals who have experienced trauma are more likely to use substances (Konkoly Thege et al, 2017).</w:t>
            </w:r>
          </w:p>
          <w:p w14:paraId="32392F00" w14:textId="77777777" w:rsidR="00E15273" w:rsidRDefault="00E15273" w:rsidP="00A42DC7">
            <w:pPr>
              <w:spacing w:line="360" w:lineRule="auto"/>
              <w:jc w:val="both"/>
              <w:rPr>
                <w:sz w:val="24"/>
                <w:szCs w:val="24"/>
              </w:rPr>
            </w:pPr>
          </w:p>
          <w:p w14:paraId="2907CBEB" w14:textId="77777777" w:rsidR="00A42DC7" w:rsidRDefault="00A42DC7" w:rsidP="00A42DC7">
            <w:pPr>
              <w:spacing w:line="360" w:lineRule="auto"/>
              <w:jc w:val="both"/>
              <w:rPr>
                <w:sz w:val="24"/>
                <w:szCs w:val="24"/>
              </w:rPr>
            </w:pPr>
            <w:r>
              <w:rPr>
                <w:sz w:val="24"/>
                <w:szCs w:val="24"/>
              </w:rPr>
              <w:t>The phone call I made to inform the parents that I had assessed them negatively was an incredibly difficult conversation. I recognise my need to become comfortable with uncomfortable conversations; wherever I find myself in a social work role, there will always be a need to tackle difficult subjects. I believe this skill will develop over time, as I grow as a social work practitioner.</w:t>
            </w:r>
          </w:p>
          <w:p w14:paraId="0B372D5B" w14:textId="77777777" w:rsidR="00E15273" w:rsidRDefault="00E15273" w:rsidP="00A42DC7">
            <w:pPr>
              <w:spacing w:line="360" w:lineRule="auto"/>
              <w:jc w:val="both"/>
              <w:rPr>
                <w:sz w:val="24"/>
                <w:szCs w:val="24"/>
              </w:rPr>
            </w:pPr>
          </w:p>
          <w:p w14:paraId="2B26AF2B" w14:textId="77777777" w:rsidR="00A42DC7" w:rsidRDefault="00A42DC7" w:rsidP="00A42DC7">
            <w:pPr>
              <w:spacing w:line="360" w:lineRule="auto"/>
              <w:jc w:val="both"/>
              <w:rPr>
                <w:sz w:val="24"/>
                <w:szCs w:val="24"/>
              </w:rPr>
            </w:pPr>
            <w:r>
              <w:rPr>
                <w:sz w:val="24"/>
                <w:szCs w:val="24"/>
              </w:rPr>
              <w:t xml:space="preserve">The outcome of this case was that a full care and placement order was granted by the court and the baby was adopted. I was able to meet the prospective adopters who agreed to establish and maintain relationships with the baby’s siblings (Parent 1’s other children), one of whom had been adopted and the other was in long term foster care. Contact between siblings is crucial for their emotional wellbeing and identity development (Thomson, 2025) as well as forming secure attachments (Schwenke, Hudd and Vicary, 2006). I was quite </w:t>
            </w:r>
            <w:r>
              <w:rPr>
                <w:sz w:val="24"/>
                <w:szCs w:val="24"/>
              </w:rPr>
              <w:lastRenderedPageBreak/>
              <w:t>emotional following this meeting, as I knew that the baby would be safe and happy with the adopters and that I had been a part of that.</w:t>
            </w:r>
          </w:p>
          <w:p w14:paraId="7932F5C0" w14:textId="77777777" w:rsidR="00E15273" w:rsidRDefault="00E15273" w:rsidP="00A42DC7">
            <w:pPr>
              <w:spacing w:line="360" w:lineRule="auto"/>
              <w:jc w:val="both"/>
              <w:rPr>
                <w:sz w:val="24"/>
                <w:szCs w:val="24"/>
              </w:rPr>
            </w:pPr>
          </w:p>
          <w:p w14:paraId="061AD253" w14:textId="77777777" w:rsidR="00A42DC7" w:rsidRDefault="00A42DC7" w:rsidP="00A42DC7">
            <w:pPr>
              <w:spacing w:line="360" w:lineRule="auto"/>
              <w:jc w:val="both"/>
              <w:rPr>
                <w:sz w:val="24"/>
                <w:szCs w:val="24"/>
              </w:rPr>
            </w:pPr>
            <w:r>
              <w:rPr>
                <w:sz w:val="24"/>
                <w:szCs w:val="24"/>
              </w:rPr>
              <w:t>In conclusion, this case was complex and difficult to manage. It was my first case to culminate with the making of a care and placement order. I felt the weight of my responsibility towards the child while at the same time feeling frustration and empathy towards both parents. I understood that grief and loss had had a huge impact on their lives and this resonated with me deeply, having suffered several bereavements in my personal life. During one supervision with my Practice Lead, she remarked that she felt I had too much empathy for parents and that this was maybe why I found my job so difficult. I have reflected on this and I have come to the conclusion that I would not wish to change this about myself and I question whether one can have too much empathy in a social work role. The role of empathy in social work is fundamental to building relationships and facilitating effective interventions (Raines, 1990) and it is my belief that being empathetic and sensitive can only improve my practice.</w:t>
            </w:r>
          </w:p>
          <w:p w14:paraId="3DE722C1" w14:textId="77777777" w:rsidR="00E15273" w:rsidRDefault="00E15273" w:rsidP="00A42DC7">
            <w:pPr>
              <w:spacing w:line="360" w:lineRule="auto"/>
              <w:jc w:val="both"/>
              <w:rPr>
                <w:sz w:val="24"/>
                <w:szCs w:val="24"/>
              </w:rPr>
            </w:pPr>
          </w:p>
          <w:p w14:paraId="4E037B7D" w14:textId="77777777" w:rsidR="00A42DC7" w:rsidRDefault="00A42DC7" w:rsidP="00A42DC7">
            <w:pPr>
              <w:spacing w:line="360" w:lineRule="auto"/>
              <w:jc w:val="both"/>
              <w:rPr>
                <w:sz w:val="24"/>
                <w:szCs w:val="24"/>
              </w:rPr>
            </w:pPr>
            <w:r>
              <w:rPr>
                <w:sz w:val="24"/>
                <w:szCs w:val="24"/>
              </w:rPr>
              <w:t>One learning point I took from this case is that it is okay to not know everything and I am happy to be a practitioner who is not afraid to ask questions. I received a tremendous amount of support while I was working this case and supervision was invaluable to not only discuss next steps and inform my professional decision making, but to examine and reflect on my feelings about the case. Secondary traumatic stress caused by exposure to traumatic cases is one of the contributory factors in burnout among social workers (McFadden, Campbell, and Taylor, 2015) and the impact on social workers of removing children permanently from their birth family can bring about feelings of sadness and guilt (Haworth, 2018). I certainly felt both emotions deeply and questioned whether there was anything else I could have done to keep the family together. With regard to analysis in assessment, it was ultimately my professional judgement, the analysis in my negative PLO assessment of the parents and the final evidence I wrote during the care proceedings that were the deciding factors in this child being removed from his parents’ care, and this weighed heavily on me, even though I was reporting on the facts presented to me. It was after this case had concluded that I began to think seriously about whether this role was something I could do long term.</w:t>
            </w:r>
          </w:p>
          <w:p w14:paraId="45DFAB77" w14:textId="77777777" w:rsidR="00E15273" w:rsidRDefault="00E15273" w:rsidP="00A42DC7">
            <w:pPr>
              <w:spacing w:line="360" w:lineRule="auto"/>
              <w:jc w:val="both"/>
              <w:rPr>
                <w:sz w:val="24"/>
                <w:szCs w:val="24"/>
              </w:rPr>
            </w:pPr>
          </w:p>
          <w:p w14:paraId="76A5533B" w14:textId="672D09D9" w:rsidR="00A42DC7" w:rsidRDefault="00A42DC7" w:rsidP="00A42DC7">
            <w:pPr>
              <w:spacing w:line="360" w:lineRule="auto"/>
              <w:jc w:val="both"/>
              <w:rPr>
                <w:sz w:val="24"/>
                <w:szCs w:val="24"/>
              </w:rPr>
            </w:pPr>
            <w:r>
              <w:rPr>
                <w:sz w:val="24"/>
                <w:szCs w:val="24"/>
              </w:rPr>
              <w:lastRenderedPageBreak/>
              <w:t xml:space="preserve">I reflected on this a lot over the next few months and I was open about this with my Practice Lead. She reminded me that I was able to achieve a positive outcome for the baby, who was adopted by a loving family. While I appreciated this, I had not been prepared for how emotionally draining and all-consuming the job was and I ultimately decided that this was not tenable for me in the long term. At the time, I was going through a marriage breakdown and I did not feel resilient enough to cope with this and an extremely demanding job at the same time. I handed in my notice after 18 months in my job which was a very difficult decision, but the right one to make. </w:t>
            </w:r>
          </w:p>
          <w:p w14:paraId="14310F8D" w14:textId="77777777" w:rsidR="00E15273" w:rsidRDefault="00E15273" w:rsidP="00A42DC7">
            <w:pPr>
              <w:spacing w:line="360" w:lineRule="auto"/>
              <w:jc w:val="both"/>
              <w:rPr>
                <w:sz w:val="24"/>
                <w:szCs w:val="24"/>
              </w:rPr>
            </w:pPr>
          </w:p>
          <w:p w14:paraId="3F77030F" w14:textId="77777777" w:rsidR="00A42DC7" w:rsidRDefault="00A42DC7" w:rsidP="00A42DC7">
            <w:pPr>
              <w:spacing w:line="360" w:lineRule="auto"/>
              <w:jc w:val="both"/>
              <w:rPr>
                <w:sz w:val="24"/>
                <w:szCs w:val="24"/>
              </w:rPr>
            </w:pPr>
            <w:r>
              <w:rPr>
                <w:sz w:val="24"/>
                <w:szCs w:val="24"/>
              </w:rPr>
              <w:t>Moving forward, my aim as a social work practitioner is to continue to treat the people with whom I work with respect and empathy, while maintaining professional accountability, in line with the Social Care Wales Code of Professional Practice (SCW, 2017). This case highlighted the power I hold as a social worker and will be an ongoing reminder to communicate in a transparent, respectful and honest way, to strive to work collaboratively with clients and to empower and include them as much as possible.</w:t>
            </w:r>
          </w:p>
          <w:p w14:paraId="439AA07F" w14:textId="77777777" w:rsidR="00E15273" w:rsidRDefault="00E15273" w:rsidP="00A42DC7">
            <w:pPr>
              <w:spacing w:line="360" w:lineRule="auto"/>
              <w:jc w:val="both"/>
              <w:rPr>
                <w:sz w:val="24"/>
                <w:szCs w:val="24"/>
              </w:rPr>
            </w:pPr>
          </w:p>
          <w:p w14:paraId="53BD1D68" w14:textId="72199E6E" w:rsidR="00A42DC7" w:rsidRPr="00B137F0" w:rsidRDefault="00A42DC7" w:rsidP="00A42DC7">
            <w:pPr>
              <w:spacing w:line="360" w:lineRule="auto"/>
              <w:jc w:val="both"/>
              <w:rPr>
                <w:b/>
                <w:bCs/>
                <w:sz w:val="24"/>
                <w:szCs w:val="24"/>
              </w:rPr>
            </w:pPr>
            <w:r w:rsidRPr="00B137F0">
              <w:rPr>
                <w:b/>
                <w:bCs/>
                <w:sz w:val="24"/>
                <w:szCs w:val="24"/>
              </w:rPr>
              <w:t>439</w:t>
            </w:r>
            <w:r w:rsidR="004C5947">
              <w:rPr>
                <w:b/>
                <w:bCs/>
                <w:sz w:val="24"/>
                <w:szCs w:val="24"/>
              </w:rPr>
              <w:t>9</w:t>
            </w:r>
            <w:r w:rsidRPr="00B137F0">
              <w:rPr>
                <w:b/>
                <w:bCs/>
                <w:sz w:val="24"/>
                <w:szCs w:val="24"/>
              </w:rPr>
              <w:t xml:space="preserve"> words</w:t>
            </w:r>
          </w:p>
          <w:p w14:paraId="0C1020FE" w14:textId="61CE561C" w:rsidR="00D3203C" w:rsidRPr="00A42DC7" w:rsidRDefault="00D3203C" w:rsidP="00FF7EBB">
            <w:pPr>
              <w:jc w:val="both"/>
              <w:rPr>
                <w:iCs/>
                <w:color w:val="FF0000"/>
                <w:sz w:val="24"/>
                <w:szCs w:val="24"/>
              </w:rPr>
            </w:pPr>
          </w:p>
          <w:p w14:paraId="43CA65F6" w14:textId="46B65686" w:rsidR="00D3203C" w:rsidRPr="00E06580" w:rsidRDefault="00D3203C" w:rsidP="00FF7EBB">
            <w:pPr>
              <w:jc w:val="both"/>
              <w:rPr>
                <w:i/>
                <w:color w:val="FF0000"/>
                <w:sz w:val="24"/>
                <w:szCs w:val="24"/>
              </w:rPr>
            </w:pPr>
          </w:p>
          <w:p w14:paraId="5C222972" w14:textId="259CE14B" w:rsidR="00D3203C" w:rsidRPr="00E06580" w:rsidRDefault="00D3203C" w:rsidP="00FF7EBB">
            <w:pPr>
              <w:jc w:val="both"/>
              <w:rPr>
                <w:i/>
                <w:color w:val="FF0000"/>
                <w:sz w:val="24"/>
                <w:szCs w:val="24"/>
              </w:rPr>
            </w:pPr>
          </w:p>
          <w:p w14:paraId="0E7BBCC9" w14:textId="77777777" w:rsidR="00D3203C" w:rsidRPr="00E06580" w:rsidRDefault="00D3203C" w:rsidP="00FF7EBB">
            <w:pPr>
              <w:jc w:val="both"/>
              <w:rPr>
                <w:i/>
                <w:color w:val="FF0000"/>
                <w:sz w:val="24"/>
                <w:szCs w:val="24"/>
              </w:rPr>
            </w:pPr>
          </w:p>
          <w:p w14:paraId="47F21B6A" w14:textId="007FFCCE" w:rsidR="007A628F" w:rsidRPr="00E06580" w:rsidRDefault="007A628F" w:rsidP="00FF7EBB">
            <w:pPr>
              <w:jc w:val="both"/>
              <w:rPr>
                <w:color w:val="FF0000"/>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FA94D" w14:textId="77777777" w:rsidR="00834989" w:rsidRDefault="00834989">
      <w:r>
        <w:separator/>
      </w:r>
    </w:p>
  </w:endnote>
  <w:endnote w:type="continuationSeparator" w:id="0">
    <w:p w14:paraId="1B0E5441" w14:textId="77777777" w:rsidR="00834989" w:rsidRDefault="00834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7453580"/>
      <w:docPartObj>
        <w:docPartGallery w:val="Page Numbers (Bottom of Page)"/>
        <w:docPartUnique/>
      </w:docPartObj>
    </w:sdtPr>
    <w:sdtEndPr>
      <w:rPr>
        <w:noProof/>
      </w:rPr>
    </w:sdtEndPr>
    <w:sdtContent>
      <w:p w14:paraId="31628C63" w14:textId="5DB5DEB2" w:rsidR="00462F81" w:rsidRDefault="00462F8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FD129" w14:textId="77777777" w:rsidR="00834989" w:rsidRDefault="00834989">
      <w:r>
        <w:separator/>
      </w:r>
    </w:p>
  </w:footnote>
  <w:footnote w:type="continuationSeparator" w:id="0">
    <w:p w14:paraId="00836540" w14:textId="77777777" w:rsidR="00834989" w:rsidRDefault="008349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369"/>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5FA9"/>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2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2F81"/>
    <w:rsid w:val="00463B55"/>
    <w:rsid w:val="00463D68"/>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C5947"/>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3C2D"/>
    <w:rsid w:val="005305C6"/>
    <w:rsid w:val="00540EEC"/>
    <w:rsid w:val="005414F4"/>
    <w:rsid w:val="00546187"/>
    <w:rsid w:val="00547B11"/>
    <w:rsid w:val="00557D77"/>
    <w:rsid w:val="00562EAA"/>
    <w:rsid w:val="00563B58"/>
    <w:rsid w:val="005640C4"/>
    <w:rsid w:val="0056684C"/>
    <w:rsid w:val="00572E35"/>
    <w:rsid w:val="00574A0C"/>
    <w:rsid w:val="0057780F"/>
    <w:rsid w:val="005801C4"/>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3A4E"/>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2DCB"/>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1681C"/>
    <w:rsid w:val="0072678F"/>
    <w:rsid w:val="007276E5"/>
    <w:rsid w:val="00727C4C"/>
    <w:rsid w:val="00734809"/>
    <w:rsid w:val="0073714E"/>
    <w:rsid w:val="007374EF"/>
    <w:rsid w:val="007406E1"/>
    <w:rsid w:val="00743E40"/>
    <w:rsid w:val="00745016"/>
    <w:rsid w:val="0075031F"/>
    <w:rsid w:val="00750B6D"/>
    <w:rsid w:val="00751263"/>
    <w:rsid w:val="007544FC"/>
    <w:rsid w:val="00755427"/>
    <w:rsid w:val="00756548"/>
    <w:rsid w:val="0075673A"/>
    <w:rsid w:val="0075704F"/>
    <w:rsid w:val="00763B2D"/>
    <w:rsid w:val="00764C84"/>
    <w:rsid w:val="007710AD"/>
    <w:rsid w:val="00771B5E"/>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989"/>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4E7B"/>
    <w:rsid w:val="009079BD"/>
    <w:rsid w:val="00912BD9"/>
    <w:rsid w:val="00916FB2"/>
    <w:rsid w:val="00920E5B"/>
    <w:rsid w:val="00926436"/>
    <w:rsid w:val="00926C53"/>
    <w:rsid w:val="009270C0"/>
    <w:rsid w:val="0093018C"/>
    <w:rsid w:val="0094495F"/>
    <w:rsid w:val="009544C0"/>
    <w:rsid w:val="00954FA4"/>
    <w:rsid w:val="00956AE9"/>
    <w:rsid w:val="00964CC6"/>
    <w:rsid w:val="00967BFA"/>
    <w:rsid w:val="00975096"/>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9F7A94"/>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2DC7"/>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0614"/>
    <w:rsid w:val="00CE4BC4"/>
    <w:rsid w:val="00CE61B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06580"/>
    <w:rsid w:val="00E15273"/>
    <w:rsid w:val="00E15751"/>
    <w:rsid w:val="00E17160"/>
    <w:rsid w:val="00E17D41"/>
    <w:rsid w:val="00E21E96"/>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6D82"/>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8F9"/>
    <w:rsid w:val="00EE39D6"/>
    <w:rsid w:val="00EE52AD"/>
    <w:rsid w:val="00EE5BC3"/>
    <w:rsid w:val="00EE6FAB"/>
    <w:rsid w:val="00EF328C"/>
    <w:rsid w:val="00EF433F"/>
    <w:rsid w:val="00EF68BB"/>
    <w:rsid w:val="00F01F92"/>
    <w:rsid w:val="00F030D4"/>
    <w:rsid w:val="00F04053"/>
    <w:rsid w:val="00F06573"/>
    <w:rsid w:val="00F10A08"/>
    <w:rsid w:val="00F15354"/>
    <w:rsid w:val="00F17B99"/>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13</Pages>
  <Words>4592</Words>
  <Characters>23333</Characters>
  <Application>Microsoft Office Word</Application>
  <DocSecurity>0</DocSecurity>
  <Lines>194</Lines>
  <Paragraphs>55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Becky Shellard</cp:lastModifiedBy>
  <cp:revision>19</cp:revision>
  <cp:lastPrinted>2020-02-11T19:20:00Z</cp:lastPrinted>
  <dcterms:created xsi:type="dcterms:W3CDTF">2022-09-29T11:34:00Z</dcterms:created>
  <dcterms:modified xsi:type="dcterms:W3CDTF">2025-02-17T14:03:00Z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