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47D37EA" w14:textId="77777777" w:rsidR="008D4293" w:rsidRPr="00C01EA2" w:rsidRDefault="008D4293" w:rsidP="00C01EA2">
      <w:pPr>
        <w:spacing w:line="360" w:lineRule="auto"/>
        <w:rPr>
          <w:rFonts w:ascii="Arial" w:hAnsi="Arial" w:cs="Arial"/>
          <w:b/>
          <w:bCs/>
          <w:sz w:val="48"/>
          <w:szCs w:val="48"/>
        </w:rPr>
      </w:pPr>
      <w:r w:rsidRPr="00C01EA2">
        <w:rPr>
          <w:rFonts w:ascii="Arial" w:hAnsi="Arial" w:cs="Arial"/>
          <w:b/>
          <w:bCs/>
          <w:sz w:val="48"/>
          <w:szCs w:val="48"/>
        </w:rPr>
        <w:t>University of Wales Trinity Saint David</w:t>
      </w:r>
    </w:p>
    <w:p w14:paraId="72D6D2E3" w14:textId="77777777" w:rsidR="008D4293" w:rsidRPr="000827E0" w:rsidRDefault="008D4293" w:rsidP="000827E0">
      <w:pPr>
        <w:spacing w:line="360" w:lineRule="auto"/>
        <w:jc w:val="both"/>
        <w:rPr>
          <w:rFonts w:ascii="Arial" w:hAnsi="Arial" w:cs="Arial"/>
          <w:sz w:val="22"/>
          <w:szCs w:val="22"/>
        </w:rPr>
      </w:pPr>
    </w:p>
    <w:p w14:paraId="36654839" w14:textId="0C346154" w:rsidR="008D4293" w:rsidRPr="000827E0" w:rsidRDefault="008D4293" w:rsidP="000827E0">
      <w:pPr>
        <w:spacing w:line="360" w:lineRule="auto"/>
        <w:jc w:val="both"/>
        <w:rPr>
          <w:rFonts w:ascii="Arial" w:hAnsi="Arial" w:cs="Arial"/>
          <w:sz w:val="22"/>
          <w:szCs w:val="22"/>
        </w:rPr>
      </w:pPr>
    </w:p>
    <w:p w14:paraId="669092FD" w14:textId="77777777" w:rsidR="008D4293" w:rsidRPr="000827E0" w:rsidRDefault="008D4293" w:rsidP="000827E0">
      <w:pPr>
        <w:spacing w:line="360" w:lineRule="auto"/>
        <w:jc w:val="both"/>
        <w:rPr>
          <w:rFonts w:ascii="Arial" w:hAnsi="Arial" w:cs="Arial"/>
          <w:sz w:val="22"/>
          <w:szCs w:val="22"/>
        </w:rPr>
      </w:pPr>
    </w:p>
    <w:p w14:paraId="5363DD69" w14:textId="77777777" w:rsidR="008D4293" w:rsidRPr="000827E0" w:rsidRDefault="008D4293" w:rsidP="000827E0">
      <w:pPr>
        <w:spacing w:line="360" w:lineRule="auto"/>
        <w:jc w:val="both"/>
        <w:rPr>
          <w:rFonts w:ascii="Arial" w:hAnsi="Arial" w:cs="Arial"/>
          <w:sz w:val="22"/>
          <w:szCs w:val="22"/>
        </w:rPr>
      </w:pPr>
    </w:p>
    <w:p w14:paraId="3931D565" w14:textId="77777777" w:rsidR="008D4293" w:rsidRPr="000827E0" w:rsidRDefault="008D4293" w:rsidP="000827E0">
      <w:pPr>
        <w:spacing w:line="360" w:lineRule="auto"/>
        <w:jc w:val="both"/>
        <w:rPr>
          <w:rFonts w:ascii="Arial" w:hAnsi="Arial" w:cs="Arial"/>
          <w:sz w:val="22"/>
          <w:szCs w:val="22"/>
        </w:rPr>
      </w:pPr>
    </w:p>
    <w:p w14:paraId="47D44BC6" w14:textId="77777777" w:rsidR="008D4293" w:rsidRPr="000827E0" w:rsidRDefault="008D4293" w:rsidP="000827E0">
      <w:pPr>
        <w:spacing w:line="360" w:lineRule="auto"/>
        <w:jc w:val="both"/>
        <w:rPr>
          <w:rFonts w:ascii="Arial" w:hAnsi="Arial" w:cs="Arial"/>
          <w:sz w:val="22"/>
          <w:szCs w:val="22"/>
        </w:rPr>
      </w:pPr>
    </w:p>
    <w:p w14:paraId="366BBABB" w14:textId="77777777" w:rsidR="008D4293" w:rsidRPr="000827E0" w:rsidRDefault="008D4293" w:rsidP="000827E0">
      <w:pPr>
        <w:spacing w:line="360" w:lineRule="auto"/>
        <w:jc w:val="both"/>
        <w:rPr>
          <w:rFonts w:ascii="Arial" w:hAnsi="Arial" w:cs="Arial"/>
          <w:sz w:val="22"/>
          <w:szCs w:val="22"/>
        </w:rPr>
      </w:pPr>
    </w:p>
    <w:p w14:paraId="5DE75C91" w14:textId="77777777" w:rsidR="008D4293" w:rsidRPr="000827E0" w:rsidRDefault="008D4293" w:rsidP="000827E0">
      <w:pPr>
        <w:spacing w:line="360" w:lineRule="auto"/>
        <w:jc w:val="both"/>
        <w:rPr>
          <w:rFonts w:ascii="Arial" w:hAnsi="Arial" w:cs="Arial"/>
          <w:sz w:val="22"/>
          <w:szCs w:val="22"/>
        </w:rPr>
      </w:pPr>
    </w:p>
    <w:p w14:paraId="656A7B15" w14:textId="77777777" w:rsidR="008D4293" w:rsidRPr="000827E0" w:rsidRDefault="008D4293" w:rsidP="000827E0">
      <w:pPr>
        <w:spacing w:line="360" w:lineRule="auto"/>
        <w:jc w:val="both"/>
        <w:rPr>
          <w:rFonts w:ascii="Arial" w:hAnsi="Arial" w:cs="Arial"/>
          <w:sz w:val="22"/>
          <w:szCs w:val="22"/>
        </w:rPr>
      </w:pPr>
    </w:p>
    <w:p w14:paraId="4100C5EC" w14:textId="77777777" w:rsidR="008D4293" w:rsidRPr="000827E0" w:rsidRDefault="008D4293" w:rsidP="000827E0">
      <w:pPr>
        <w:spacing w:line="360" w:lineRule="auto"/>
        <w:jc w:val="both"/>
        <w:rPr>
          <w:rFonts w:ascii="Arial" w:hAnsi="Arial" w:cs="Arial"/>
          <w:sz w:val="22"/>
          <w:szCs w:val="22"/>
        </w:rPr>
      </w:pPr>
    </w:p>
    <w:p w14:paraId="55B5BAC9" w14:textId="3A7D4090" w:rsidR="008D4293" w:rsidRPr="000827E0" w:rsidRDefault="00B84E8F" w:rsidP="000827E0">
      <w:pPr>
        <w:spacing w:before="120" w:after="120" w:line="360" w:lineRule="auto"/>
        <w:jc w:val="both"/>
        <w:rPr>
          <w:rFonts w:ascii="Arial" w:hAnsi="Arial" w:cs="Arial"/>
          <w:bCs/>
          <w:sz w:val="28"/>
          <w:szCs w:val="28"/>
        </w:rPr>
      </w:pPr>
      <w:r w:rsidRPr="000827E0">
        <w:rPr>
          <w:rFonts w:ascii="Arial" w:hAnsi="Arial" w:cs="Arial"/>
          <w:sz w:val="22"/>
          <w:szCs w:val="22"/>
        </w:rPr>
        <w:t xml:space="preserve">                   </w:t>
      </w:r>
      <w:r w:rsidR="000827E0">
        <w:rPr>
          <w:rFonts w:ascii="Arial" w:hAnsi="Arial" w:cs="Arial"/>
          <w:sz w:val="22"/>
          <w:szCs w:val="22"/>
        </w:rPr>
        <w:t xml:space="preserve">     </w:t>
      </w:r>
      <w:r w:rsidRPr="000827E0">
        <w:rPr>
          <w:rFonts w:ascii="Arial" w:hAnsi="Arial" w:cs="Arial"/>
          <w:b/>
          <w:bCs/>
          <w:sz w:val="28"/>
          <w:szCs w:val="28"/>
        </w:rPr>
        <w:t>Program:</w:t>
      </w:r>
      <w:r w:rsidRPr="000827E0">
        <w:rPr>
          <w:rFonts w:ascii="Arial" w:hAnsi="Arial" w:cs="Arial"/>
          <w:sz w:val="28"/>
          <w:szCs w:val="28"/>
        </w:rPr>
        <w:t xml:space="preserve">                  Health &amp; Social Care</w:t>
      </w:r>
    </w:p>
    <w:p w14:paraId="37CB98DF" w14:textId="77777777" w:rsidR="00B84E8F" w:rsidRPr="000827E0" w:rsidRDefault="008D4293" w:rsidP="000827E0">
      <w:pPr>
        <w:spacing w:line="360" w:lineRule="auto"/>
        <w:ind w:left="1440"/>
        <w:jc w:val="both"/>
        <w:rPr>
          <w:rFonts w:ascii="Arial" w:hAnsi="Arial" w:cs="Arial"/>
          <w:b/>
          <w:sz w:val="28"/>
          <w:szCs w:val="28"/>
        </w:rPr>
      </w:pPr>
      <w:r w:rsidRPr="000827E0">
        <w:rPr>
          <w:rFonts w:ascii="Arial" w:hAnsi="Arial" w:cs="Arial"/>
          <w:b/>
          <w:bCs/>
          <w:sz w:val="28"/>
          <w:szCs w:val="28"/>
        </w:rPr>
        <w:t>Title:</w:t>
      </w:r>
      <w:r w:rsidRPr="000827E0">
        <w:rPr>
          <w:rFonts w:ascii="Arial" w:hAnsi="Arial" w:cs="Arial"/>
          <w:sz w:val="28"/>
          <w:szCs w:val="28"/>
        </w:rPr>
        <w:t xml:space="preserve">                          Component 2 – Research Report</w:t>
      </w:r>
    </w:p>
    <w:p w14:paraId="18B4736A" w14:textId="77777777" w:rsidR="00B84E8F" w:rsidRPr="000827E0" w:rsidRDefault="00B84E8F" w:rsidP="000827E0">
      <w:pPr>
        <w:spacing w:line="360" w:lineRule="auto"/>
        <w:ind w:left="1440"/>
        <w:jc w:val="both"/>
        <w:rPr>
          <w:rFonts w:ascii="Arial" w:hAnsi="Arial" w:cs="Arial"/>
          <w:sz w:val="28"/>
          <w:szCs w:val="28"/>
        </w:rPr>
      </w:pPr>
      <w:r w:rsidRPr="000827E0">
        <w:rPr>
          <w:rFonts w:ascii="Arial" w:hAnsi="Arial" w:cs="Arial"/>
          <w:b/>
          <w:bCs/>
          <w:sz w:val="28"/>
          <w:szCs w:val="28"/>
        </w:rPr>
        <w:t>Module Code:</w:t>
      </w:r>
      <w:r w:rsidRPr="000827E0">
        <w:rPr>
          <w:rFonts w:ascii="Arial" w:hAnsi="Arial" w:cs="Arial"/>
          <w:sz w:val="28"/>
          <w:szCs w:val="28"/>
        </w:rPr>
        <w:t xml:space="preserve">           LCHS4007</w:t>
      </w:r>
    </w:p>
    <w:p w14:paraId="5DBC5929" w14:textId="77777777" w:rsidR="00B84E8F" w:rsidRPr="000827E0" w:rsidRDefault="008D4293" w:rsidP="000827E0">
      <w:pPr>
        <w:spacing w:line="360" w:lineRule="auto"/>
        <w:ind w:left="1440"/>
        <w:jc w:val="both"/>
        <w:rPr>
          <w:rFonts w:ascii="Arial" w:hAnsi="Arial" w:cs="Arial"/>
          <w:sz w:val="28"/>
          <w:szCs w:val="28"/>
        </w:rPr>
      </w:pPr>
      <w:r w:rsidRPr="000827E0">
        <w:rPr>
          <w:rFonts w:ascii="Arial" w:hAnsi="Arial" w:cs="Arial"/>
          <w:b/>
          <w:bCs/>
          <w:sz w:val="28"/>
          <w:szCs w:val="28"/>
        </w:rPr>
        <w:t>Module:</w:t>
      </w:r>
      <w:r w:rsidRPr="000827E0">
        <w:rPr>
          <w:rFonts w:ascii="Arial" w:hAnsi="Arial" w:cs="Arial"/>
          <w:sz w:val="28"/>
          <w:szCs w:val="28"/>
        </w:rPr>
        <w:t xml:space="preserve">                     Digital Skills and Research Methods</w:t>
      </w:r>
    </w:p>
    <w:p w14:paraId="1DB567D1" w14:textId="1C955C7F" w:rsidR="008D4293" w:rsidRPr="00C94E3B" w:rsidRDefault="008D4293" w:rsidP="000827E0">
      <w:pPr>
        <w:spacing w:line="360" w:lineRule="auto"/>
        <w:ind w:left="1440"/>
        <w:jc w:val="both"/>
        <w:rPr>
          <w:rFonts w:ascii="Arial" w:hAnsi="Arial" w:cs="Arial"/>
          <w:sz w:val="28"/>
          <w:szCs w:val="28"/>
          <w:lang w:val="en-GB"/>
        </w:rPr>
      </w:pPr>
      <w:r w:rsidRPr="000827E0">
        <w:rPr>
          <w:rFonts w:ascii="Arial" w:hAnsi="Arial" w:cs="Arial"/>
          <w:b/>
          <w:bCs/>
          <w:sz w:val="28"/>
          <w:szCs w:val="28"/>
        </w:rPr>
        <w:t>Name of Student:</w:t>
      </w:r>
      <w:r w:rsidR="00C94E3B">
        <w:rPr>
          <w:rFonts w:ascii="Arial" w:hAnsi="Arial" w:cs="Arial"/>
          <w:sz w:val="28"/>
          <w:szCs w:val="28"/>
          <w:lang w:val="en-GB"/>
        </w:rPr>
        <w:t xml:space="preserve">    Nadia Farooq</w:t>
      </w:r>
    </w:p>
    <w:p w14:paraId="535C824F" w14:textId="47E22FCE" w:rsidR="008D4293" w:rsidRPr="00C94E3B" w:rsidRDefault="008D4293" w:rsidP="000827E0">
      <w:pPr>
        <w:spacing w:line="360" w:lineRule="auto"/>
        <w:ind w:left="1440"/>
        <w:jc w:val="both"/>
        <w:rPr>
          <w:rFonts w:ascii="Arial" w:hAnsi="Arial" w:cs="Arial"/>
          <w:b/>
          <w:bCs/>
          <w:sz w:val="28"/>
          <w:szCs w:val="28"/>
          <w:lang w:val="en-GB"/>
        </w:rPr>
      </w:pPr>
      <w:r w:rsidRPr="000827E0">
        <w:rPr>
          <w:rFonts w:ascii="Arial" w:hAnsi="Arial" w:cs="Arial"/>
          <w:b/>
          <w:bCs/>
          <w:sz w:val="28"/>
          <w:szCs w:val="28"/>
        </w:rPr>
        <w:t>Student ID:</w:t>
      </w:r>
      <w:r w:rsidR="00C94E3B">
        <w:rPr>
          <w:rFonts w:ascii="Arial" w:hAnsi="Arial" w:cs="Arial"/>
          <w:b/>
          <w:bCs/>
          <w:sz w:val="28"/>
          <w:szCs w:val="28"/>
          <w:lang w:val="en-GB"/>
        </w:rPr>
        <w:t xml:space="preserve">             </w:t>
      </w:r>
      <w:r w:rsidR="00C94E3B" w:rsidRPr="00C94E3B">
        <w:rPr>
          <w:rFonts w:ascii="Arial" w:hAnsi="Arial" w:cs="Arial"/>
          <w:sz w:val="28"/>
          <w:szCs w:val="28"/>
          <w:lang w:val="en-GB"/>
        </w:rPr>
        <w:t xml:space="preserve"> 2541963</w:t>
      </w:r>
    </w:p>
    <w:p w14:paraId="1EFFF22F" w14:textId="7EC416DA" w:rsidR="008D4293" w:rsidRPr="000827E0" w:rsidRDefault="008D4293" w:rsidP="000827E0">
      <w:pPr>
        <w:spacing w:line="360" w:lineRule="auto"/>
        <w:ind w:left="1440"/>
        <w:rPr>
          <w:rFonts w:ascii="Arial" w:hAnsi="Arial" w:cs="Arial"/>
          <w:b/>
          <w:bCs/>
          <w:sz w:val="28"/>
          <w:szCs w:val="28"/>
        </w:rPr>
      </w:pPr>
      <w:r w:rsidRPr="000827E0">
        <w:rPr>
          <w:rFonts w:ascii="Arial" w:hAnsi="Arial" w:cs="Arial"/>
          <w:b/>
          <w:bCs/>
          <w:sz w:val="28"/>
          <w:szCs w:val="28"/>
        </w:rPr>
        <w:t>Lecturer</w:t>
      </w:r>
      <w:r w:rsidR="000827E0" w:rsidRPr="000827E0">
        <w:rPr>
          <w:rFonts w:ascii="Arial" w:hAnsi="Arial" w:cs="Arial"/>
          <w:b/>
          <w:bCs/>
          <w:sz w:val="28"/>
          <w:szCs w:val="28"/>
        </w:rPr>
        <w:t xml:space="preserve"> </w:t>
      </w:r>
      <w:r w:rsidRPr="000827E0">
        <w:rPr>
          <w:rFonts w:ascii="Arial" w:hAnsi="Arial" w:cs="Arial"/>
          <w:b/>
          <w:bCs/>
          <w:sz w:val="28"/>
          <w:szCs w:val="28"/>
        </w:rPr>
        <w:t xml:space="preserve">Name: </w:t>
      </w:r>
      <w:r w:rsidR="00C94E3B">
        <w:rPr>
          <w:rFonts w:ascii="Arial" w:hAnsi="Arial" w:cs="Arial"/>
          <w:b/>
          <w:bCs/>
          <w:sz w:val="28"/>
          <w:szCs w:val="28"/>
          <w:lang w:val="en-GB"/>
        </w:rPr>
        <w:t xml:space="preserve">     </w:t>
      </w:r>
      <w:r w:rsidR="00C94E3B" w:rsidRPr="003A7020">
        <w:rPr>
          <w:rFonts w:ascii="Arial" w:hAnsi="Arial" w:cs="Arial"/>
          <w:sz w:val="28"/>
          <w:szCs w:val="28"/>
          <w:lang w:val="en-GB"/>
        </w:rPr>
        <w:t>Hajra M</w:t>
      </w:r>
      <w:r w:rsidR="003A7020" w:rsidRPr="003A7020">
        <w:rPr>
          <w:rFonts w:ascii="Arial" w:hAnsi="Arial" w:cs="Arial"/>
          <w:sz w:val="28"/>
          <w:szCs w:val="28"/>
          <w:lang w:val="en-GB"/>
        </w:rPr>
        <w:t>utasim</w:t>
      </w:r>
      <w:r w:rsidRPr="000827E0">
        <w:rPr>
          <w:rFonts w:ascii="Arial" w:hAnsi="Arial" w:cs="Arial"/>
          <w:b/>
          <w:bCs/>
          <w:sz w:val="28"/>
          <w:szCs w:val="28"/>
        </w:rPr>
        <w:br/>
      </w:r>
    </w:p>
    <w:p w14:paraId="5BFAB49D" w14:textId="77777777" w:rsidR="008D4293" w:rsidRPr="000827E0" w:rsidRDefault="008D4293" w:rsidP="000827E0">
      <w:pPr>
        <w:spacing w:line="360" w:lineRule="auto"/>
        <w:jc w:val="both"/>
        <w:rPr>
          <w:rFonts w:ascii="Arial" w:hAnsi="Arial" w:cs="Arial"/>
          <w:b/>
          <w:bCs/>
          <w:kern w:val="36"/>
          <w:sz w:val="22"/>
          <w:szCs w:val="22"/>
          <w:lang w:eastAsia="zh-CN"/>
        </w:rPr>
      </w:pPr>
    </w:p>
    <w:p w14:paraId="3BEFC613" w14:textId="77777777" w:rsidR="008D4293" w:rsidRDefault="008D4293" w:rsidP="000827E0">
      <w:pPr>
        <w:spacing w:line="360" w:lineRule="auto"/>
        <w:jc w:val="both"/>
        <w:rPr>
          <w:rFonts w:ascii="Arial" w:hAnsi="Arial" w:cs="Arial"/>
          <w:b/>
          <w:bCs/>
          <w:kern w:val="36"/>
          <w:sz w:val="22"/>
          <w:szCs w:val="22"/>
          <w:lang w:eastAsia="zh-CN"/>
        </w:rPr>
      </w:pPr>
    </w:p>
    <w:p w14:paraId="0CCB0B9C" w14:textId="77777777" w:rsidR="00C01EA2" w:rsidRDefault="00C01EA2" w:rsidP="000827E0">
      <w:pPr>
        <w:spacing w:line="360" w:lineRule="auto"/>
        <w:jc w:val="both"/>
        <w:rPr>
          <w:rFonts w:ascii="Arial" w:hAnsi="Arial" w:cs="Arial"/>
          <w:b/>
          <w:bCs/>
          <w:kern w:val="36"/>
          <w:sz w:val="22"/>
          <w:szCs w:val="22"/>
          <w:lang w:eastAsia="zh-CN"/>
        </w:rPr>
      </w:pPr>
    </w:p>
    <w:p w14:paraId="78FE327E" w14:textId="77777777" w:rsidR="00C01EA2" w:rsidRPr="000827E0" w:rsidRDefault="00C01EA2" w:rsidP="000827E0">
      <w:pPr>
        <w:spacing w:line="360" w:lineRule="auto"/>
        <w:jc w:val="both"/>
        <w:rPr>
          <w:rFonts w:ascii="Arial" w:hAnsi="Arial" w:cs="Arial"/>
          <w:b/>
          <w:bCs/>
          <w:kern w:val="36"/>
          <w:sz w:val="22"/>
          <w:szCs w:val="22"/>
          <w:lang w:eastAsia="zh-CN"/>
        </w:rPr>
      </w:pPr>
    </w:p>
    <w:p w14:paraId="10C915A1" w14:textId="77777777" w:rsidR="00C01EA2" w:rsidRPr="00C01EA2" w:rsidRDefault="00C01EA2" w:rsidP="00C01EA2"/>
    <w:p w14:paraId="53C1BF1A" w14:textId="14FD10CF" w:rsidR="00A8282B" w:rsidRPr="000827E0" w:rsidRDefault="0040223E" w:rsidP="000827E0">
      <w:pPr>
        <w:pStyle w:val="Heading2"/>
        <w:rPr>
          <w:lang w:eastAsia="zh-CN"/>
        </w:rPr>
      </w:pPr>
      <w:bookmarkStart w:id="0" w:name="_Toc234858935"/>
      <w:r w:rsidRPr="000827E0">
        <w:lastRenderedPageBreak/>
        <w:t>Section 1: Introducing the Research Paper and Topic Development</w:t>
      </w:r>
      <w:bookmarkEnd w:id="0"/>
    </w:p>
    <w:p w14:paraId="4ACD2582" w14:textId="77777777" w:rsidR="00B84E8F" w:rsidRPr="000827E0" w:rsidRDefault="00B84E8F" w:rsidP="000827E0">
      <w:pPr>
        <w:spacing w:line="360" w:lineRule="auto"/>
        <w:jc w:val="both"/>
        <w:rPr>
          <w:rFonts w:ascii="Arial" w:hAnsi="Arial" w:cs="Arial"/>
          <w:sz w:val="22"/>
          <w:szCs w:val="22"/>
          <w:lang w:eastAsia="zh-CN"/>
        </w:rPr>
      </w:pPr>
    </w:p>
    <w:p w14:paraId="1D0DAC7C" w14:textId="4A2A2B4D" w:rsidR="008753A1" w:rsidRDefault="008753A1" w:rsidP="000827E0">
      <w:pPr>
        <w:spacing w:line="360" w:lineRule="auto"/>
        <w:jc w:val="both"/>
        <w:rPr>
          <w:rFonts w:ascii="Arial" w:hAnsi="Arial" w:cs="Arial"/>
          <w:sz w:val="22"/>
          <w:szCs w:val="22"/>
        </w:rPr>
      </w:pPr>
      <w:r w:rsidRPr="008753A1">
        <w:rPr>
          <w:rFonts w:ascii="Arial" w:hAnsi="Arial" w:cs="Arial"/>
          <w:sz w:val="22"/>
          <w:szCs w:val="22"/>
        </w:rPr>
        <w:t>The paper that has been chosen for this assessment is “She Didn’t Know How to Go Back: School Attendance Problems in the Context of the COVID-19 Pandemic” by Brontë McDonald, Kathryn J. Lester, and Daniel Michelson from the British Journal of Educational Psychology, 2022. The current study is a qualitative study, which investigated the factors contributing to School Attendance Problems (SAPs) of primary school children following COVID-19 pandemic (McDonald, Lester and Michelson, 2023; Heyne et al. 2019) and provided recommendations of what could help school attendance through collaboration with families, schools and community services.</w:t>
      </w:r>
    </w:p>
    <w:p w14:paraId="0A7F267E" w14:textId="16001AB7" w:rsidR="0040223E"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t xml:space="preserve">The research topic was shaped by the increased attendance issues in schools which emerged after schools reopened post-COVID-19 lockdowns (McDonald, Lester and Michelson, 2022). Research had already begun to show that the problem of school attendance is correlated with the negative impacts of education, mental health problems, school dropouts and joblessness later in life (Kearney, 2008; Havik, Bru and Ertesvåg, 2015). But the researchers were able to see there were some significant knowledge gaps. Studies in this area have tended to concentrate on quantitative data, secondary school students or on individual risk factors with very few studies addressing the experiences and perspectives of parents and education professionals, especially for those working in primary school. The COVID-19 pandemic presented new issues (UNESCO, 2021; Department for Education, 2022), such as worries about returning to school, a disruption of everyday life, less interaction between school and families, and greater pressure on children with Special Educational Needs (SEN). </w:t>
      </w:r>
    </w:p>
    <w:p w14:paraId="4AF467BF" w14:textId="77777777" w:rsidR="0040223E"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t xml:space="preserve">The study included primary school-age children who were having problems with school attendance as well as their parents and professionals in primary education in Southern England. Headteachers, teachers, an education psychologist, an education mental health practitioner and an education SEN coordinator participated. The researchers were able to include the perspectives of a range of stakeholders to highlight shared challenges to school attendance and propose the design of feasible interventions that can promote children's wellbeing. </w:t>
      </w:r>
    </w:p>
    <w:p w14:paraId="1D3CD82A" w14:textId="38224AD9" w:rsidR="0040223E"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t xml:space="preserve">It is a significant topic in the context of health and social care within the UK as children's attendance is closely related to their physical health, emotional health and social wellbeing (Department for Education, 2022; NMC, 2018). Long-term health inequalities, educational disadvantage, social isolation, depression and anxiety are potential risks of persistent absence. The results highlight the need for early action, a clear communication between </w:t>
      </w:r>
      <w:r w:rsidRPr="000827E0">
        <w:rPr>
          <w:rFonts w:ascii="Arial" w:hAnsi="Arial" w:cs="Arial"/>
          <w:sz w:val="22"/>
          <w:szCs w:val="22"/>
        </w:rPr>
        <w:lastRenderedPageBreak/>
        <w:t xml:space="preserve">families and schools and collaborative working between education, health and social care practitioners in relation to vulnerable children. </w:t>
      </w:r>
    </w:p>
    <w:p w14:paraId="423D8B90" w14:textId="77777777" w:rsidR="0040223E" w:rsidRPr="000827E0" w:rsidRDefault="0040223E" w:rsidP="000827E0">
      <w:pPr>
        <w:pStyle w:val="Heading2"/>
        <w:rPr>
          <w:lang w:eastAsia="zh-CN"/>
        </w:rPr>
      </w:pPr>
      <w:bookmarkStart w:id="1" w:name="_Toc234858936"/>
      <w:r w:rsidRPr="000827E0">
        <w:t>Section 2: Understanding the Purpose and Research Question</w:t>
      </w:r>
      <w:bookmarkEnd w:id="1"/>
    </w:p>
    <w:p w14:paraId="4E1FF804" w14:textId="77777777" w:rsidR="00B84E8F" w:rsidRPr="000827E0" w:rsidRDefault="00B84E8F" w:rsidP="000827E0">
      <w:pPr>
        <w:spacing w:line="360" w:lineRule="auto"/>
        <w:jc w:val="both"/>
        <w:rPr>
          <w:rFonts w:ascii="Arial" w:hAnsi="Arial" w:cs="Arial"/>
          <w:sz w:val="22"/>
          <w:szCs w:val="22"/>
          <w:lang w:eastAsia="zh-CN"/>
        </w:rPr>
      </w:pPr>
    </w:p>
    <w:p w14:paraId="3B7A9017" w14:textId="77777777" w:rsidR="00545373"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t xml:space="preserve">The main aim of this research was to gain a deeper understanding (McDonald, Lester and Michelson, 2023) of the issue of School Attendance Problems (SAPs) in the primary school setting in the context of the COVID-19 pandemic and what community-based strategies would be effective in supporting children and families impacted by the school attendance problem (McDonald, Lester and Michelson, 2022). The researcher’s questions were: </w:t>
      </w:r>
    </w:p>
    <w:p w14:paraId="67F685A4" w14:textId="77777777" w:rsidR="00545373" w:rsidRPr="000827E0" w:rsidRDefault="0040223E" w:rsidP="000827E0">
      <w:pPr>
        <w:pStyle w:val="ListParagraph"/>
        <w:numPr>
          <w:ilvl w:val="0"/>
          <w:numId w:val="1"/>
        </w:numPr>
        <w:spacing w:line="360" w:lineRule="auto"/>
        <w:jc w:val="both"/>
        <w:rPr>
          <w:rFonts w:ascii="Arial" w:hAnsi="Arial" w:cs="Arial"/>
          <w:sz w:val="22"/>
          <w:szCs w:val="22"/>
        </w:rPr>
      </w:pPr>
      <w:r w:rsidRPr="000827E0">
        <w:rPr>
          <w:rFonts w:ascii="Arial" w:hAnsi="Arial" w:cs="Arial"/>
          <w:sz w:val="22"/>
          <w:szCs w:val="22"/>
        </w:rPr>
        <w:t>What factors are linked to school attendance issues during the COVID-19 pandemic?</w:t>
      </w:r>
    </w:p>
    <w:p w14:paraId="7771C2C3" w14:textId="77777777" w:rsidR="00545373" w:rsidRPr="000827E0" w:rsidRDefault="0040223E" w:rsidP="000827E0">
      <w:pPr>
        <w:pStyle w:val="ListParagraph"/>
        <w:numPr>
          <w:ilvl w:val="0"/>
          <w:numId w:val="1"/>
        </w:numPr>
        <w:spacing w:line="360" w:lineRule="auto"/>
        <w:jc w:val="both"/>
        <w:rPr>
          <w:rFonts w:ascii="Arial" w:hAnsi="Arial" w:cs="Arial"/>
          <w:sz w:val="22"/>
          <w:szCs w:val="22"/>
        </w:rPr>
      </w:pPr>
      <w:r w:rsidRPr="000827E0">
        <w:rPr>
          <w:rFonts w:ascii="Arial" w:hAnsi="Arial" w:cs="Arial"/>
          <w:sz w:val="22"/>
          <w:szCs w:val="22"/>
        </w:rPr>
        <w:t xml:space="preserve">Formal and informal support given and its effectiveness? </w:t>
      </w:r>
    </w:p>
    <w:p w14:paraId="6249990A" w14:textId="77777777" w:rsidR="0040223E" w:rsidRPr="000827E0" w:rsidRDefault="0040223E" w:rsidP="000827E0">
      <w:pPr>
        <w:pStyle w:val="ListParagraph"/>
        <w:numPr>
          <w:ilvl w:val="0"/>
          <w:numId w:val="1"/>
        </w:numPr>
        <w:spacing w:line="360" w:lineRule="auto"/>
        <w:jc w:val="both"/>
        <w:rPr>
          <w:rFonts w:ascii="Arial" w:hAnsi="Arial" w:cs="Arial"/>
          <w:sz w:val="22"/>
          <w:szCs w:val="22"/>
        </w:rPr>
      </w:pPr>
      <w:r w:rsidRPr="000827E0">
        <w:rPr>
          <w:rFonts w:ascii="Arial" w:hAnsi="Arial" w:cs="Arial"/>
          <w:sz w:val="22"/>
          <w:szCs w:val="22"/>
        </w:rPr>
        <w:t xml:space="preserve">What interventions and implementation strategies are needed to better meet the needs of children who have challenges with school attendance? </w:t>
      </w:r>
    </w:p>
    <w:p w14:paraId="3C810B8B" w14:textId="77777777" w:rsidR="00545373" w:rsidRPr="000827E0" w:rsidRDefault="00545373" w:rsidP="000827E0">
      <w:pPr>
        <w:spacing w:line="360" w:lineRule="auto"/>
        <w:jc w:val="both"/>
        <w:rPr>
          <w:rFonts w:ascii="Arial" w:hAnsi="Arial" w:cs="Arial"/>
          <w:sz w:val="22"/>
          <w:szCs w:val="22"/>
        </w:rPr>
      </w:pPr>
    </w:p>
    <w:p w14:paraId="3DA4B773" w14:textId="77777777" w:rsidR="0040223E" w:rsidRPr="000827E0" w:rsidRDefault="0040223E" w:rsidP="000827E0">
      <w:pPr>
        <w:pStyle w:val="Heading2"/>
        <w:rPr>
          <w:lang w:eastAsia="zh-CN"/>
        </w:rPr>
      </w:pPr>
      <w:bookmarkStart w:id="2" w:name="_Toc234858937"/>
      <w:r w:rsidRPr="000827E0">
        <w:t>Section 3: Understanding the Research Methods</w:t>
      </w:r>
      <w:bookmarkEnd w:id="2"/>
      <w:r w:rsidRPr="000827E0">
        <w:t xml:space="preserve">  </w:t>
      </w:r>
    </w:p>
    <w:p w14:paraId="06E80BBD" w14:textId="659CC478" w:rsidR="008753A1" w:rsidRDefault="00000000" w:rsidP="000827E0">
      <w:pPr>
        <w:spacing w:line="360" w:lineRule="auto"/>
        <w:jc w:val="both"/>
        <w:rPr>
          <w:rFonts w:ascii="Arial" w:hAnsi="Arial" w:cs="Arial"/>
          <w:sz w:val="22"/>
          <w:szCs w:val="22"/>
        </w:rPr>
      </w:pPr>
      <w:r w:rsidRPr="000827E0">
        <w:rPr>
          <w:rFonts w:ascii="Arial" w:hAnsi="Arial" w:cs="Arial"/>
          <w:sz w:val="22"/>
          <w:szCs w:val="22"/>
        </w:rPr>
        <w:t xml:space="preserve">Quantitative research deals with collecting data in numeric form which can be measured and analyzed statistically. In quantitative research, the relationship between variables is studied (Polit and Beck, 2021), hypotheses are tested and patterns are found in larger populations (Creswell and Creswell, 2018). Common quantitative data collection techniques are structured questionnaires, experiments and surveys with close-ended questions. </w:t>
      </w:r>
      <w:r w:rsidR="008753A1" w:rsidRPr="008753A1">
        <w:rPr>
          <w:rFonts w:ascii="Arial" w:hAnsi="Arial" w:cs="Arial"/>
          <w:sz w:val="22"/>
          <w:szCs w:val="22"/>
        </w:rPr>
        <w:t>The results are generally presented in tabular, graphical, and statistical format</w:t>
      </w:r>
      <w:r w:rsidR="00A146C5">
        <w:rPr>
          <w:rFonts w:ascii="Arial" w:hAnsi="Arial" w:cs="Arial"/>
          <w:sz w:val="22"/>
          <w:szCs w:val="22"/>
        </w:rPr>
        <w:t xml:space="preserve"> </w:t>
      </w:r>
      <w:r w:rsidR="008753A1" w:rsidRPr="008753A1">
        <w:rPr>
          <w:rFonts w:ascii="Arial" w:hAnsi="Arial" w:cs="Arial"/>
          <w:sz w:val="22"/>
          <w:szCs w:val="22"/>
        </w:rPr>
        <w:t xml:space="preserve">and percentages, enabling generalisation of the results to a larger population. </w:t>
      </w:r>
    </w:p>
    <w:p w14:paraId="54F019A7" w14:textId="61D015FA" w:rsidR="00B84E8F" w:rsidRPr="000827E0" w:rsidRDefault="00000000" w:rsidP="000827E0">
      <w:pPr>
        <w:spacing w:line="360" w:lineRule="auto"/>
        <w:jc w:val="both"/>
        <w:rPr>
          <w:rFonts w:ascii="Arial" w:hAnsi="Arial" w:cs="Arial"/>
          <w:sz w:val="22"/>
          <w:szCs w:val="22"/>
        </w:rPr>
      </w:pPr>
      <w:r w:rsidRPr="000827E0">
        <w:rPr>
          <w:rFonts w:ascii="Arial" w:hAnsi="Arial" w:cs="Arial"/>
          <w:sz w:val="22"/>
          <w:szCs w:val="22"/>
        </w:rPr>
        <w:t xml:space="preserve">Qualitative research on the other hand, is about the feeling, opinions, behaviors and perceptions of people. Qualitative research instead is used to gather descriptive information, for example, through interviews, focus group, observation or open-ended questionnaires (Denzin and Lincoln, 2018) (Bryman, 2016). </w:t>
      </w:r>
    </w:p>
    <w:p w14:paraId="1A14FECD" w14:textId="5F9BB99D" w:rsidR="0040223E"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t>The selected research paper uses a qualitative research approach (McDonald, Lester and Michelson, 2023). The researchers wanted to gain insight into parents and professional’s experiences and perspectives of school attendance difficulties (SAPs) after the COVID-19 pandemic in primary school children. The researchers did not aim to quantify attendance rates, but instead wanted to understand why children were having difficulty returning to school and how this could be supported.</w:t>
      </w:r>
    </w:p>
    <w:p w14:paraId="327FBDDD" w14:textId="71D6719B" w:rsidR="0040223E"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lastRenderedPageBreak/>
        <w:t xml:space="preserve">The researchers used a two-part qualitative research design (McDonald, Lester and Michelson, 2023). In Phase One, qualitative surveys with open-ended questions were given to parents and education professionals. These surveys examined the participant’s experiences of school attendance issues before and during the COVID-19 pandemic, the support they had received and what they felt was needed to enhance that support. The results of these surveys were then used to develop the second stage of the research. Phase Two involved carrying out semi-structured interviews with a smaller number of parents and professionals. </w:t>
      </w:r>
    </w:p>
    <w:p w14:paraId="69A39462" w14:textId="77777777" w:rsidR="0040223E"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t xml:space="preserve">Primary data collection was done in the study and not secondary data collection. Primary data are information gathered first-hand by the researcher for the purpose of the research in order to provide answers to the research questions. These include interviews, questionnaires, surveys, focus groups and observations (Saunders, Lewis and Thornhill, 2019). Primary data is very relevant data because it is gathered specifically for the present research project. </w:t>
      </w:r>
    </w:p>
    <w:p w14:paraId="43807048" w14:textId="77777777" w:rsidR="0040223E" w:rsidRPr="000827E0" w:rsidRDefault="0040223E" w:rsidP="000827E0">
      <w:pPr>
        <w:spacing w:line="360" w:lineRule="auto"/>
        <w:jc w:val="both"/>
        <w:rPr>
          <w:rFonts w:ascii="Arial" w:hAnsi="Arial" w:cs="Arial"/>
          <w:sz w:val="22"/>
          <w:szCs w:val="22"/>
        </w:rPr>
      </w:pPr>
      <w:r w:rsidRPr="000827E0">
        <w:rPr>
          <w:rFonts w:ascii="Arial" w:hAnsi="Arial" w:cs="Arial"/>
          <w:sz w:val="22"/>
          <w:szCs w:val="22"/>
        </w:rPr>
        <w:t xml:space="preserve">This research is primary data (McDonald, Lester and Michelson, 2023) which was obtained directly from participants. Parents of primary school children with school attendance issues were recruited via social media groups and professionals (headteachers, teachers, education psychologists, education mental health practitioners, special educational needs coordinators (SENCOs)) were recruited through schools, local authorities and professional networks in Southern England. There were 29 parents and 19 professionals in Phase One and 10 parents and 12 professionals in Phase Two. The diversity of the participants allowed for the collection of various viewpoints, enhancing the richness and validity of the results (Lincoln and Guba, 1985). </w:t>
      </w:r>
    </w:p>
    <w:p w14:paraId="31605D96" w14:textId="77777777" w:rsidR="0040223E" w:rsidRPr="000827E0" w:rsidRDefault="0040223E" w:rsidP="000827E0">
      <w:pPr>
        <w:pStyle w:val="Heading2"/>
        <w:rPr>
          <w:lang w:eastAsia="zh-CN"/>
        </w:rPr>
      </w:pPr>
      <w:bookmarkStart w:id="3" w:name="_Toc234858938"/>
      <w:r w:rsidRPr="000827E0">
        <w:t>Section 4: Conclusion</w:t>
      </w:r>
      <w:bookmarkEnd w:id="3"/>
    </w:p>
    <w:p w14:paraId="58F31EC1" w14:textId="77777777" w:rsidR="00B84E8F" w:rsidRPr="000827E0" w:rsidRDefault="00B84E8F" w:rsidP="000827E0">
      <w:pPr>
        <w:spacing w:line="360" w:lineRule="auto"/>
        <w:jc w:val="both"/>
        <w:rPr>
          <w:rFonts w:ascii="Arial" w:hAnsi="Arial" w:cs="Arial"/>
          <w:sz w:val="22"/>
          <w:szCs w:val="22"/>
          <w:lang w:eastAsia="zh-CN"/>
        </w:rPr>
      </w:pPr>
    </w:p>
    <w:p w14:paraId="01EFB519" w14:textId="1EDCA6E4" w:rsidR="0040223E" w:rsidRDefault="00A146C5" w:rsidP="000827E0">
      <w:pPr>
        <w:spacing w:line="360" w:lineRule="auto"/>
        <w:jc w:val="both"/>
        <w:rPr>
          <w:rFonts w:ascii="Arial" w:hAnsi="Arial" w:cs="Arial"/>
          <w:sz w:val="22"/>
          <w:szCs w:val="22"/>
        </w:rPr>
      </w:pPr>
      <w:r>
        <w:rPr>
          <w:rFonts w:ascii="Arial" w:hAnsi="Arial" w:cs="Arial"/>
          <w:sz w:val="22"/>
          <w:szCs w:val="22"/>
        </w:rPr>
        <w:t>T</w:t>
      </w:r>
      <w:r w:rsidR="008753A1" w:rsidRPr="008753A1">
        <w:rPr>
          <w:rFonts w:ascii="Arial" w:hAnsi="Arial" w:cs="Arial"/>
          <w:sz w:val="22"/>
          <w:szCs w:val="22"/>
        </w:rPr>
        <w:t xml:space="preserve">his report examined the study "She Didn't Know How to Go Back: School Attendance Issues During the COVID-19 Pandemic" by McDonald, Lester and Michelson (2022) that was selected for this assignment. The report outlined the research topic and explained why there were problems with school attendance (as a consequence of the Covid-19 pandemic), leading to the development of the study as well as the relevance of this in the UK health and social care setting. </w:t>
      </w:r>
      <w:r w:rsidR="0040223E" w:rsidRPr="000827E0">
        <w:rPr>
          <w:rFonts w:ascii="Arial" w:hAnsi="Arial" w:cs="Arial"/>
          <w:sz w:val="22"/>
          <w:szCs w:val="22"/>
        </w:rPr>
        <w:t>It also discussed the research goals and objectives, which were to gain an understanding of the factors that impact on attendance issues in school and the best ways to support children and their families (McDonald, Lester and Michelson, 2022). Moreover, the report discussed the methodology of the research conducted, including quantitative, qualitative, and mixed methods of research and identified the study as mixed methods research which involved primary research using surveys and semi-structured interviews.</w:t>
      </w:r>
    </w:p>
    <w:p w14:paraId="3BD11EB5" w14:textId="77777777" w:rsidR="00C01EA2" w:rsidRPr="000827E0" w:rsidRDefault="00C01EA2" w:rsidP="000827E0">
      <w:pPr>
        <w:spacing w:line="360" w:lineRule="auto"/>
        <w:jc w:val="both"/>
        <w:rPr>
          <w:rFonts w:ascii="Arial" w:hAnsi="Arial" w:cs="Arial"/>
          <w:sz w:val="22"/>
          <w:szCs w:val="22"/>
        </w:rPr>
      </w:pPr>
    </w:p>
    <w:p w14:paraId="64033188" w14:textId="77777777" w:rsidR="00B701D8" w:rsidRPr="000827E0" w:rsidRDefault="00B701D8" w:rsidP="000827E0">
      <w:pPr>
        <w:pStyle w:val="Heading2"/>
        <w:rPr>
          <w:lang w:eastAsia="zh-CN"/>
        </w:rPr>
      </w:pPr>
      <w:bookmarkStart w:id="4" w:name="_Toc234858939"/>
      <w:r w:rsidRPr="000827E0">
        <w:t>Section 5: References</w:t>
      </w:r>
      <w:bookmarkEnd w:id="4"/>
    </w:p>
    <w:p w14:paraId="2E1540B2" w14:textId="77777777" w:rsidR="00A146C5" w:rsidRDefault="00A146C5" w:rsidP="00A146C5">
      <w:pPr>
        <w:pStyle w:val="ListParagraph"/>
        <w:spacing w:line="360" w:lineRule="auto"/>
        <w:jc w:val="both"/>
        <w:rPr>
          <w:rFonts w:ascii="Arial" w:hAnsi="Arial" w:cs="Arial"/>
          <w:b/>
          <w:bCs/>
          <w:sz w:val="22"/>
          <w:szCs w:val="22"/>
          <w:lang w:eastAsia="zh-CN"/>
        </w:rPr>
      </w:pPr>
    </w:p>
    <w:p w14:paraId="77E02DD7" w14:textId="40353A79" w:rsidR="008753A1" w:rsidRPr="00A146C5" w:rsidRDefault="008753A1" w:rsidP="00A146C5">
      <w:pPr>
        <w:pStyle w:val="ListParagraph"/>
        <w:numPr>
          <w:ilvl w:val="0"/>
          <w:numId w:val="4"/>
        </w:numPr>
        <w:spacing w:line="360" w:lineRule="auto"/>
        <w:jc w:val="both"/>
        <w:rPr>
          <w:rFonts w:ascii="Arial" w:hAnsi="Arial" w:cs="Arial"/>
          <w:sz w:val="22"/>
          <w:szCs w:val="22"/>
          <w:lang w:eastAsia="zh-CN"/>
        </w:rPr>
      </w:pPr>
      <w:r w:rsidRPr="00A146C5">
        <w:rPr>
          <w:rFonts w:ascii="Arial" w:hAnsi="Arial" w:cs="Arial"/>
          <w:sz w:val="22"/>
          <w:szCs w:val="22"/>
          <w:lang w:eastAsia="zh-CN"/>
        </w:rPr>
        <w:t xml:space="preserve">Bryman, A. (2016) Social Research Methods. 5th edn. Oxford: OUP. </w:t>
      </w:r>
    </w:p>
    <w:p w14:paraId="655446F6" w14:textId="08C3454A" w:rsidR="008753A1" w:rsidRPr="00A146C5" w:rsidRDefault="008753A1" w:rsidP="00A146C5">
      <w:pPr>
        <w:pStyle w:val="ListParagraph"/>
        <w:numPr>
          <w:ilvl w:val="0"/>
          <w:numId w:val="4"/>
        </w:numPr>
        <w:spacing w:line="360" w:lineRule="auto"/>
        <w:jc w:val="both"/>
        <w:rPr>
          <w:rFonts w:ascii="Arial" w:hAnsi="Arial" w:cs="Arial"/>
          <w:sz w:val="22"/>
          <w:szCs w:val="22"/>
          <w:lang w:eastAsia="zh-CN"/>
        </w:rPr>
      </w:pPr>
      <w:r w:rsidRPr="00A146C5">
        <w:rPr>
          <w:rFonts w:ascii="Arial" w:hAnsi="Arial" w:cs="Arial"/>
          <w:sz w:val="22"/>
          <w:szCs w:val="22"/>
          <w:lang w:eastAsia="zh-CN"/>
        </w:rPr>
        <w:t xml:space="preserve">Creswell, J.W. and Creswell, J.D. (2018) Research Design: Qualitative, Quantitative and Mixed Methods Approaches. 5th edn. Sage Publications, Thousand Oaks, CA. </w:t>
      </w:r>
    </w:p>
    <w:p w14:paraId="5EF62A9D" w14:textId="24CDACC4" w:rsidR="008753A1" w:rsidRPr="00A146C5" w:rsidRDefault="008753A1" w:rsidP="00A146C5">
      <w:pPr>
        <w:pStyle w:val="ListParagraph"/>
        <w:numPr>
          <w:ilvl w:val="0"/>
          <w:numId w:val="4"/>
        </w:numPr>
        <w:spacing w:line="360" w:lineRule="auto"/>
        <w:jc w:val="both"/>
        <w:rPr>
          <w:rFonts w:ascii="Arial" w:hAnsi="Arial" w:cs="Arial"/>
          <w:sz w:val="22"/>
          <w:szCs w:val="22"/>
          <w:lang w:eastAsia="zh-CN"/>
        </w:rPr>
      </w:pPr>
      <w:r w:rsidRPr="00A146C5">
        <w:rPr>
          <w:rFonts w:ascii="Arial" w:hAnsi="Arial" w:cs="Arial"/>
          <w:sz w:val="22"/>
          <w:szCs w:val="22"/>
          <w:lang w:eastAsia="zh-CN"/>
        </w:rPr>
        <w:t xml:space="preserve">Gale, N.K., Heath, G., Cameron, E., Rashid, S. and Redwood, S. (2013) 'Using the framework method for the analysis of qualitative data in multi-disciplinary health research', BMC Medical Research Methodology, 13(1):117. B. McDonald, K.J. Lester and D. Michelson </w:t>
      </w:r>
    </w:p>
    <w:p w14:paraId="2BA2A775" w14:textId="2A51A900"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(2023) 'She didn't know how to go back: School attendance issues during the COVID-19 pandemic: A qualitative study involving multiple stakeholders with parents and professionals', British Journal of Educational Psychology, 93(1), pp.386–401. </w:t>
      </w:r>
    </w:p>
    <w:p w14:paraId="5F30211E" w14:textId="3018283A"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Nursing and Midwifery Council (2018) The Code: Professional Standards of Practice and Behaviour for Nurses, Midwives and Nursing Associates. London: NMC. </w:t>
      </w:r>
    </w:p>
    <w:p w14:paraId="6711CD43" w14:textId="6D870FEF"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Saunders, M., Lewis, P. and Thornhill, A. Research Methods for Business Students, (2019) 8th edn. Harlow: Pearson. </w:t>
      </w:r>
    </w:p>
    <w:p w14:paraId="6C924CF2" w14:textId="20339C9C"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Department for Education (2022) Working together to improve school attendance. London, UK: Department for Education. </w:t>
      </w:r>
    </w:p>
    <w:p w14:paraId="3C2928C6" w14:textId="183E0019"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Denzin, N.K. and Lincoln, Y.S. (2018) The SAGE Handbook of Qualitative Research. 5th edn. London: Sage. </w:t>
      </w:r>
    </w:p>
    <w:p w14:paraId="3EFF7E14" w14:textId="55EAD42E"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Havik, T., Bru, E. and Ertesvåg, S.K. (2015) 'School factors associated with school refusal and truancy', Social Psychology of Education, 18(2), pp.221–240. </w:t>
      </w:r>
    </w:p>
    <w:p w14:paraId="5FAEE2C0" w14:textId="0385DC15"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Heyne, D., Gren-Landell, M., Melvin, G. and Gentle-Genitty, C. (2019) 'Differentiation between school attendance problems', Cognitive and Behavioral Practice, 26(1):8-34. </w:t>
      </w:r>
    </w:p>
    <w:p w14:paraId="1555352E" w14:textId="2FB7F1BF"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Kearney, C.A. (2008) Helping School Refusing Children and their Parents. Oxford: OUP. </w:t>
      </w:r>
    </w:p>
    <w:p w14:paraId="3B49D2CB" w14:textId="0B87E699" w:rsidR="008753A1"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 xml:space="preserve">Lincoln, Y.S. and Guba, E.G. (1985) Naturalistic Inquiry. Beverly Hills: Sage. Polit, D.F., Beck C.T. (2021) Nursing Research: Generating and Assessing Evidence for Nursing Practice. 11th edn. Philadelphia: Wolters Kluwer. </w:t>
      </w:r>
    </w:p>
    <w:p w14:paraId="2A481D89" w14:textId="060A62E1" w:rsidR="00DB6C4E" w:rsidRPr="00A146C5" w:rsidRDefault="008753A1" w:rsidP="00A146C5">
      <w:pPr>
        <w:pStyle w:val="ListParagraph"/>
        <w:numPr>
          <w:ilvl w:val="0"/>
          <w:numId w:val="4"/>
        </w:numPr>
        <w:spacing w:line="360" w:lineRule="auto"/>
        <w:jc w:val="both"/>
        <w:rPr>
          <w:rFonts w:ascii="Arial" w:hAnsi="Arial" w:cs="Arial"/>
          <w:sz w:val="22"/>
          <w:szCs w:val="22"/>
        </w:rPr>
      </w:pPr>
      <w:r w:rsidRPr="00A146C5">
        <w:rPr>
          <w:rFonts w:ascii="Arial" w:hAnsi="Arial" w:cs="Arial"/>
          <w:sz w:val="22"/>
          <w:szCs w:val="22"/>
          <w:lang w:eastAsia="zh-CN"/>
        </w:rPr>
        <w:t>UNESCO (2021) Education: From disruption to recovery. Paris: UNESCO.</w:t>
      </w:r>
    </w:p>
    <w:sectPr w:rsidR="00DB6C4E" w:rsidRPr="00A146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91903"/>
    <w:multiLevelType w:val="hybridMultilevel"/>
    <w:tmpl w:val="621AF0B4"/>
    <w:lvl w:ilvl="0" w:tplc="596CF12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1" w15:restartNumberingAfterBreak="0">
    <w:nsid w:val="185E7323"/>
    <w:multiLevelType w:val="hybridMultilevel"/>
    <w:tmpl w:val="29E0CFAA"/>
    <w:lvl w:ilvl="0" w:tplc="596CF12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2" w15:restartNumberingAfterBreak="0">
    <w:nsid w:val="48E23FE6"/>
    <w:multiLevelType w:val="hybridMultilevel"/>
    <w:tmpl w:val="510EF6B0"/>
    <w:lvl w:ilvl="0" w:tplc="596CF128">
      <w:start w:val="1"/>
      <w:numFmt w:val="decimal"/>
      <w:lvlText w:val="%1-"/>
      <w:lvlJc w:val="left"/>
      <w:pPr>
        <w:ind w:left="720" w:hanging="360"/>
      </w:pPr>
      <w:rPr>
        <w:rFonts w:hint="default"/>
      </w:rPr>
    </w:lvl>
    <w:lvl w:ilvl="1" w:tplc="20000019">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abstractNum w:abstractNumId="3" w15:restartNumberingAfterBreak="0">
    <w:nsid w:val="7A2078C0"/>
    <w:multiLevelType w:val="hybridMultilevel"/>
    <w:tmpl w:val="5A468C72"/>
    <w:lvl w:ilvl="0" w:tplc="596CF128">
      <w:start w:val="1"/>
      <w:numFmt w:val="decimal"/>
      <w:lvlText w:val="%1-"/>
      <w:lvlJc w:val="left"/>
      <w:pPr>
        <w:ind w:left="720" w:hanging="360"/>
      </w:pPr>
      <w:rPr>
        <w:rFonts w:hint="default"/>
      </w:rPr>
    </w:lvl>
    <w:lvl w:ilvl="1" w:tplc="20000019" w:tentative="1">
      <w:start w:val="1"/>
      <w:numFmt w:val="lowerLetter"/>
      <w:lvlText w:val="%2."/>
      <w:lvlJc w:val="left"/>
      <w:pPr>
        <w:ind w:left="1440" w:hanging="360"/>
      </w:pPr>
    </w:lvl>
    <w:lvl w:ilvl="2" w:tplc="2000001B" w:tentative="1">
      <w:start w:val="1"/>
      <w:numFmt w:val="lowerRoman"/>
      <w:lvlText w:val="%3."/>
      <w:lvlJc w:val="right"/>
      <w:pPr>
        <w:ind w:left="2160" w:hanging="180"/>
      </w:pPr>
    </w:lvl>
    <w:lvl w:ilvl="3" w:tplc="2000000F" w:tentative="1">
      <w:start w:val="1"/>
      <w:numFmt w:val="decimal"/>
      <w:lvlText w:val="%4."/>
      <w:lvlJc w:val="left"/>
      <w:pPr>
        <w:ind w:left="2880" w:hanging="360"/>
      </w:pPr>
    </w:lvl>
    <w:lvl w:ilvl="4" w:tplc="20000019" w:tentative="1">
      <w:start w:val="1"/>
      <w:numFmt w:val="lowerLetter"/>
      <w:lvlText w:val="%5."/>
      <w:lvlJc w:val="left"/>
      <w:pPr>
        <w:ind w:left="3600" w:hanging="360"/>
      </w:pPr>
    </w:lvl>
    <w:lvl w:ilvl="5" w:tplc="2000001B" w:tentative="1">
      <w:start w:val="1"/>
      <w:numFmt w:val="lowerRoman"/>
      <w:lvlText w:val="%6."/>
      <w:lvlJc w:val="right"/>
      <w:pPr>
        <w:ind w:left="4320" w:hanging="180"/>
      </w:pPr>
    </w:lvl>
    <w:lvl w:ilvl="6" w:tplc="2000000F" w:tentative="1">
      <w:start w:val="1"/>
      <w:numFmt w:val="decimal"/>
      <w:lvlText w:val="%7."/>
      <w:lvlJc w:val="left"/>
      <w:pPr>
        <w:ind w:left="5040" w:hanging="360"/>
      </w:pPr>
    </w:lvl>
    <w:lvl w:ilvl="7" w:tplc="20000019" w:tentative="1">
      <w:start w:val="1"/>
      <w:numFmt w:val="lowerLetter"/>
      <w:lvlText w:val="%8."/>
      <w:lvlJc w:val="left"/>
      <w:pPr>
        <w:ind w:left="5760" w:hanging="360"/>
      </w:pPr>
    </w:lvl>
    <w:lvl w:ilvl="8" w:tplc="2000001B" w:tentative="1">
      <w:start w:val="1"/>
      <w:numFmt w:val="lowerRoman"/>
      <w:lvlText w:val="%9."/>
      <w:lvlJc w:val="right"/>
      <w:pPr>
        <w:ind w:left="6480" w:hanging="180"/>
      </w:pPr>
    </w:lvl>
  </w:abstractNum>
  <w:num w:numId="1" w16cid:durableId="1580753957">
    <w:abstractNumId w:val="1"/>
  </w:num>
  <w:num w:numId="2" w16cid:durableId="194579509">
    <w:abstractNumId w:val="3"/>
  </w:num>
  <w:num w:numId="3" w16cid:durableId="1954820145">
    <w:abstractNumId w:val="0"/>
  </w:num>
  <w:num w:numId="4" w16cid:durableId="172151647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23E"/>
    <w:rsid w:val="0006395A"/>
    <w:rsid w:val="000827E0"/>
    <w:rsid w:val="00141A71"/>
    <w:rsid w:val="003A408A"/>
    <w:rsid w:val="003A7020"/>
    <w:rsid w:val="0040223E"/>
    <w:rsid w:val="004B2A69"/>
    <w:rsid w:val="00545373"/>
    <w:rsid w:val="006A78CD"/>
    <w:rsid w:val="006D42B9"/>
    <w:rsid w:val="008047DA"/>
    <w:rsid w:val="008753A1"/>
    <w:rsid w:val="008D4293"/>
    <w:rsid w:val="009A342C"/>
    <w:rsid w:val="00A146C5"/>
    <w:rsid w:val="00A8282B"/>
    <w:rsid w:val="00B701D8"/>
    <w:rsid w:val="00B84E8F"/>
    <w:rsid w:val="00C01EA2"/>
    <w:rsid w:val="00C100BC"/>
    <w:rsid w:val="00C94E3B"/>
    <w:rsid w:val="00DB6C4E"/>
    <w:rsid w:val="00F21C05"/>
    <w:rsid w:val="00F64CAE"/>
  </w:rsids>
  <m:mathPr>
    <m:mathFont m:val="Cambria Math"/>
    <m:brkBin m:val="before"/>
    <m:brkBinSub m:val="--"/>
    <m:smallFrac m:val="0"/>
    <m:dispDef/>
    <m:lMargin m:val="0"/>
    <m:rMargin m:val="0"/>
    <m:defJc m:val="centerGroup"/>
    <m:wrapIndent m:val="1440"/>
    <m:intLim m:val="subSup"/>
    <m:naryLim m:val="undOvr"/>
  </m:mathPr>
  <w:themeFontLang/>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AC4CC"/>
  <w15:chartTrackingRefBased/>
  <w15:docId w15:val="{60CB93B1-6006-4595-8918-E7791D97593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223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0223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0223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23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23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23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23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23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23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0223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0223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0223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0223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0223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0223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0223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0223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0223E"/>
    <w:rPr>
      <w:rFonts w:eastAsiaTheme="majorEastAsia" w:cstheme="majorBidi"/>
      <w:color w:val="272727" w:themeColor="text1" w:themeTint="D8"/>
    </w:rPr>
  </w:style>
  <w:style w:type="paragraph" w:styleId="Title">
    <w:name w:val="Title"/>
    <w:basedOn w:val="Normal"/>
    <w:next w:val="Normal"/>
    <w:link w:val="TitleChar"/>
    <w:uiPriority w:val="10"/>
    <w:qFormat/>
    <w:rsid w:val="0040223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23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0223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23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0223E"/>
    <w:pPr>
      <w:spacing w:before="160"/>
      <w:jc w:val="center"/>
    </w:pPr>
    <w:rPr>
      <w:i/>
      <w:iCs/>
      <w:color w:val="404040" w:themeColor="text1" w:themeTint="BF"/>
    </w:rPr>
  </w:style>
  <w:style w:type="character" w:customStyle="1" w:styleId="QuoteChar">
    <w:name w:val="Quote Char"/>
    <w:basedOn w:val="DefaultParagraphFont"/>
    <w:link w:val="Quote"/>
    <w:uiPriority w:val="29"/>
    <w:rsid w:val="0040223E"/>
    <w:rPr>
      <w:i/>
      <w:iCs/>
      <w:color w:val="404040" w:themeColor="text1" w:themeTint="BF"/>
    </w:rPr>
  </w:style>
  <w:style w:type="paragraph" w:styleId="ListParagraph">
    <w:name w:val="List Paragraph"/>
    <w:basedOn w:val="Normal"/>
    <w:uiPriority w:val="34"/>
    <w:qFormat/>
    <w:rsid w:val="0040223E"/>
    <w:pPr>
      <w:ind w:left="720"/>
      <w:contextualSpacing/>
    </w:pPr>
  </w:style>
  <w:style w:type="character" w:styleId="IntenseEmphasis">
    <w:name w:val="Intense Emphasis"/>
    <w:basedOn w:val="DefaultParagraphFont"/>
    <w:uiPriority w:val="21"/>
    <w:qFormat/>
    <w:rsid w:val="0040223E"/>
    <w:rPr>
      <w:i/>
      <w:iCs/>
      <w:color w:val="0F4761" w:themeColor="accent1" w:themeShade="BF"/>
    </w:rPr>
  </w:style>
  <w:style w:type="paragraph" w:styleId="IntenseQuote">
    <w:name w:val="Intense Quote"/>
    <w:basedOn w:val="Normal"/>
    <w:next w:val="Normal"/>
    <w:link w:val="IntenseQuoteChar"/>
    <w:uiPriority w:val="30"/>
    <w:qFormat/>
    <w:rsid w:val="0040223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23E"/>
    <w:rPr>
      <w:i/>
      <w:iCs/>
      <w:color w:val="0F4761" w:themeColor="accent1" w:themeShade="BF"/>
    </w:rPr>
  </w:style>
  <w:style w:type="character" w:styleId="IntenseReference">
    <w:name w:val="Intense Reference"/>
    <w:basedOn w:val="DefaultParagraphFont"/>
    <w:uiPriority w:val="32"/>
    <w:qFormat/>
    <w:rsid w:val="0040223E"/>
    <w:rPr>
      <w:b/>
      <w:bCs/>
      <w:smallCaps/>
      <w:color w:val="0F4761" w:themeColor="accent1" w:themeShade="BF"/>
      <w:spacing w:val="5"/>
    </w:rPr>
  </w:style>
  <w:style w:type="paragraph" w:styleId="TOCHeading">
    <w:name w:val="TOC Heading"/>
    <w:basedOn w:val="Heading1"/>
    <w:next w:val="Normal"/>
    <w:uiPriority w:val="39"/>
    <w:unhideWhenUsed/>
    <w:qFormat/>
    <w:rsid w:val="008D4293"/>
    <w:pPr>
      <w:spacing w:before="240" w:after="0" w:line="259" w:lineRule="auto"/>
      <w:outlineLvl w:val="9"/>
    </w:pPr>
    <w:rPr>
      <w:kern w:val="0"/>
      <w:sz w:val="32"/>
      <w:szCs w:val="32"/>
      <w:lang w:val="en-US"/>
      <w14:ligatures w14:val="none"/>
    </w:rPr>
  </w:style>
  <w:style w:type="paragraph" w:styleId="TOC3">
    <w:name w:val="toc 3"/>
    <w:basedOn w:val="Normal"/>
    <w:next w:val="Normal"/>
    <w:autoRedefine/>
    <w:uiPriority w:val="39"/>
    <w:unhideWhenUsed/>
    <w:rsid w:val="008D4293"/>
    <w:pPr>
      <w:spacing w:after="100"/>
      <w:ind w:left="480"/>
    </w:pPr>
  </w:style>
  <w:style w:type="character" w:styleId="Hyperlink">
    <w:name w:val="Hyperlink"/>
    <w:basedOn w:val="DefaultParagraphFont"/>
    <w:uiPriority w:val="99"/>
    <w:unhideWhenUsed/>
    <w:rsid w:val="008D4293"/>
    <w:rPr>
      <w:color w:val="467886" w:themeColor="hyperlink"/>
      <w:u w:val="single"/>
    </w:rPr>
  </w:style>
  <w:style w:type="paragraph" w:styleId="TOC2">
    <w:name w:val="toc 2"/>
    <w:basedOn w:val="Normal"/>
    <w:next w:val="Normal"/>
    <w:autoRedefine/>
    <w:uiPriority w:val="39"/>
    <w:unhideWhenUsed/>
    <w:rsid w:val="000827E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848C9E1-0C2E-412E-8290-58D63D25077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TotalTime>
  <Pages>5</Pages>
  <Words>1451</Words>
  <Characters>8729</Characters>
  <Application>Microsoft Office Word</Application>
  <DocSecurity>0</DocSecurity>
  <Lines>156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Tooba Ashraf/TEC/ISB</dc:creator>
  <cp:keywords/>
  <dc:description/>
  <cp:lastModifiedBy>Nadia Farooq</cp:lastModifiedBy>
  <cp:revision>7</cp:revision>
  <dcterms:created xsi:type="dcterms:W3CDTF">2026-07-13T13:15:00Z</dcterms:created>
  <dcterms:modified xsi:type="dcterms:W3CDTF">2026-07-21T05:33:00Z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0886e226-cfd0-4c2d-b2ff-bd9be0eaa4b4_Enabled">
    <vt:lpwstr>true</vt:lpwstr>
  </property>
  <property fmtid="{D5CDD505-2E9C-101B-9397-08002B2CF9AE}" pid="3" name="MSIP_Label_0886e226-cfd0-4c2d-b2ff-bd9be0eaa4b4_SetDate">
    <vt:lpwstr>2026-07-04T04:48:07Z</vt:lpwstr>
  </property>
  <property fmtid="{D5CDD505-2E9C-101B-9397-08002B2CF9AE}" pid="4" name="MSIP_Label_0886e226-cfd0-4c2d-b2ff-bd9be0eaa4b4_Method">
    <vt:lpwstr>Standard</vt:lpwstr>
  </property>
  <property fmtid="{D5CDD505-2E9C-101B-9397-08002B2CF9AE}" pid="5" name="MSIP_Label_0886e226-cfd0-4c2d-b2ff-bd9be0eaa4b4_Name">
    <vt:lpwstr>Internal</vt:lpwstr>
  </property>
  <property fmtid="{D5CDD505-2E9C-101B-9397-08002B2CF9AE}" pid="6" name="MSIP_Label_0886e226-cfd0-4c2d-b2ff-bd9be0eaa4b4_SiteId">
    <vt:lpwstr>5764b349-a60c-4df1-8cf5-62d06dd5b2c3</vt:lpwstr>
  </property>
  <property fmtid="{D5CDD505-2E9C-101B-9397-08002B2CF9AE}" pid="7" name="MSIP_Label_0886e226-cfd0-4c2d-b2ff-bd9be0eaa4b4_ActionId">
    <vt:lpwstr>ec35aba9-b7de-4d43-8932-1db067289d38</vt:lpwstr>
  </property>
  <property fmtid="{D5CDD505-2E9C-101B-9397-08002B2CF9AE}" pid="8" name="MSIP_Label_0886e226-cfd0-4c2d-b2ff-bd9be0eaa4b4_ContentBits">
    <vt:lpwstr>0</vt:lpwstr>
  </property>
  <property fmtid="{D5CDD505-2E9C-101B-9397-08002B2CF9AE}" pid="9" name="MSIP_Label_0886e226-cfd0-4c2d-b2ff-bd9be0eaa4b4_Tag">
    <vt:lpwstr>10, 3, 0, 1</vt:lpwstr>
  </property>
</Properties>
</file>