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5094" w:rsidRPr="00066F3B" w:rsidRDefault="00B0039B" w:rsidP="00B0039B">
      <w:pPr>
        <w:spacing w:after="0"/>
        <w:rPr>
          <w:rFonts w:ascii="Tahoma" w:hAnsi="Tahoma" w:cs="Tahoma"/>
          <w:lang w:val="en-US"/>
        </w:rPr>
      </w:pPr>
      <w:bookmarkStart w:id="0" w:name="_GoBack"/>
      <w:bookmarkEnd w:id="0"/>
      <w:r w:rsidRPr="00066F3B">
        <w:rPr>
          <w:noProof/>
          <w:lang w:val="en-US"/>
        </w:rPr>
        <w:drawing>
          <wp:anchor distT="0" distB="0" distL="114300" distR="114300" simplePos="0" relativeHeight="251658240" behindDoc="0" locked="0" layoutInCell="1" allowOverlap="1">
            <wp:simplePos x="0" y="0"/>
            <wp:positionH relativeFrom="column">
              <wp:posOffset>3555659</wp:posOffset>
            </wp:positionH>
            <wp:positionV relativeFrom="paragraph">
              <wp:posOffset>-6501</wp:posOffset>
            </wp:positionV>
            <wp:extent cx="2572603" cy="854246"/>
            <wp:effectExtent l="0" t="0" r="0" b="3175"/>
            <wp:wrapNone/>
            <wp:docPr id="1" name="Image 1" descr="RÃ©sultat de recherche d'images pour &quot;university wales saint david&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Ã©sultat de recherche d'images pour &quot;university wales saint david&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2603" cy="854246"/>
                    </a:xfrm>
                    <a:prstGeom prst="rect">
                      <a:avLst/>
                    </a:prstGeom>
                    <a:noFill/>
                    <a:ln>
                      <a:noFill/>
                    </a:ln>
                  </pic:spPr>
                </pic:pic>
              </a:graphicData>
            </a:graphic>
            <wp14:sizeRelH relativeFrom="page">
              <wp14:pctWidth>0</wp14:pctWidth>
            </wp14:sizeRelH>
            <wp14:sizeRelV relativeFrom="page">
              <wp14:pctHeight>0</wp14:pctHeight>
            </wp14:sizeRelV>
          </wp:anchor>
        </w:drawing>
      </w:r>
      <w:r w:rsidRPr="00066F3B">
        <w:rPr>
          <w:rFonts w:ascii="Tahoma" w:hAnsi="Tahoma" w:cs="Tahoma"/>
          <w:lang w:val="en-US"/>
        </w:rPr>
        <w:t>Younes El Adly</w:t>
      </w:r>
    </w:p>
    <w:p w:rsidR="00B0039B" w:rsidRPr="00066F3B" w:rsidRDefault="00B0039B" w:rsidP="00B0039B">
      <w:pPr>
        <w:spacing w:after="0"/>
        <w:rPr>
          <w:rFonts w:ascii="Tahoma" w:hAnsi="Tahoma" w:cs="Tahoma"/>
          <w:lang w:val="en-US"/>
        </w:rPr>
      </w:pPr>
      <w:r w:rsidRPr="00066F3B">
        <w:rPr>
          <w:rFonts w:ascii="Tahoma" w:hAnsi="Tahoma" w:cs="Tahoma"/>
          <w:lang w:val="en-US"/>
        </w:rPr>
        <w:t>University of Wales Trinity Saint David</w:t>
      </w:r>
    </w:p>
    <w:p w:rsidR="00B0039B" w:rsidRPr="00066F3B" w:rsidRDefault="00B0039B" w:rsidP="00B0039B">
      <w:pPr>
        <w:spacing w:after="0"/>
        <w:rPr>
          <w:rFonts w:ascii="Tahoma" w:hAnsi="Tahoma" w:cs="Tahoma"/>
          <w:lang w:val="en-US"/>
        </w:rPr>
      </w:pPr>
      <w:r w:rsidRPr="00066F3B">
        <w:rPr>
          <w:rFonts w:ascii="Tahoma" w:hAnsi="Tahoma" w:cs="Tahoma"/>
          <w:lang w:val="en-US"/>
        </w:rPr>
        <w:t>Student ID : 1809714</w:t>
      </w:r>
    </w:p>
    <w:p w:rsidR="00B0039B" w:rsidRPr="00066F3B" w:rsidRDefault="003803F6" w:rsidP="00B0039B">
      <w:pPr>
        <w:spacing w:after="0"/>
        <w:rPr>
          <w:rFonts w:ascii="Tahoma" w:hAnsi="Tahoma" w:cs="Tahoma"/>
          <w:lang w:val="en-US"/>
        </w:rPr>
      </w:pPr>
      <w:hyperlink r:id="rId9" w:history="1">
        <w:r w:rsidR="00B0039B" w:rsidRPr="00066F3B">
          <w:rPr>
            <w:rStyle w:val="Lienhypertexte"/>
            <w:rFonts w:ascii="Tahoma" w:hAnsi="Tahoma" w:cs="Tahoma"/>
            <w:lang w:val="en-US"/>
          </w:rPr>
          <w:t>1809714@student.uwtsd.ac.uk</w:t>
        </w:r>
      </w:hyperlink>
    </w:p>
    <w:p w:rsidR="00B0039B" w:rsidRPr="00066F3B" w:rsidRDefault="00B0039B" w:rsidP="00B0039B">
      <w:pPr>
        <w:spacing w:after="0"/>
        <w:rPr>
          <w:rFonts w:ascii="Tahoma" w:hAnsi="Tahoma" w:cs="Tahoma"/>
          <w:lang w:val="en-US"/>
        </w:rPr>
      </w:pPr>
      <w:r w:rsidRPr="00066F3B">
        <w:rPr>
          <w:rFonts w:ascii="Tahoma" w:hAnsi="Tahoma" w:cs="Tahoma"/>
          <w:lang w:val="en-US"/>
        </w:rPr>
        <w:t>MA in Islamic Studies</w:t>
      </w:r>
    </w:p>
    <w:p w:rsidR="00B0039B" w:rsidRPr="00066F3B" w:rsidRDefault="003C397A" w:rsidP="00B0039B">
      <w:pPr>
        <w:spacing w:after="0"/>
        <w:rPr>
          <w:rFonts w:ascii="Segoe UI Historic" w:hAnsi="Segoe UI Historic" w:cs="Segoe UI Historic"/>
          <w:lang w:val="en-US"/>
        </w:rPr>
      </w:pPr>
      <w:r w:rsidRPr="003C397A">
        <w:rPr>
          <w:rFonts w:ascii="Tahoma" w:hAnsi="Tahoma" w:cs="Tahoma"/>
          <w:lang w:val="en-US"/>
        </w:rPr>
        <w:t>Islamic Law in the Contemporary World (TRDL7064)</w:t>
      </w: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0039B" w:rsidRPr="00066F3B" w:rsidRDefault="00B0039B" w:rsidP="00E42364">
      <w:pPr>
        <w:spacing w:after="0"/>
        <w:jc w:val="center"/>
        <w:rPr>
          <w:rFonts w:ascii="Segoe UI Historic" w:hAnsi="Segoe UI Historic" w:cs="Segoe UI Historic"/>
          <w:sz w:val="56"/>
          <w:szCs w:val="56"/>
          <w:lang w:val="en-US"/>
        </w:rPr>
      </w:pPr>
    </w:p>
    <w:p w:rsidR="00B0039B" w:rsidRPr="00066F3B" w:rsidRDefault="00B0039B" w:rsidP="00E42364">
      <w:pPr>
        <w:spacing w:line="480" w:lineRule="auto"/>
        <w:ind w:right="-7" w:firstLine="709"/>
        <w:jc w:val="center"/>
        <w:rPr>
          <w:rFonts w:ascii="Times Dot" w:hAnsi="Times Dot"/>
          <w:b/>
          <w:sz w:val="46"/>
          <w:szCs w:val="96"/>
          <w:lang w:val="en-US"/>
        </w:rPr>
      </w:pPr>
      <w:r w:rsidRPr="00066F3B">
        <w:rPr>
          <w:rFonts w:ascii="Times Dot" w:hAnsi="Times Dot"/>
          <w:b/>
          <w:sz w:val="46"/>
          <w:szCs w:val="96"/>
          <w:lang w:val="en-US"/>
        </w:rPr>
        <w:t xml:space="preserve">ASSIGNMENT </w:t>
      </w:r>
      <w:r w:rsidR="003C397A">
        <w:rPr>
          <w:rFonts w:ascii="Times Dot" w:hAnsi="Times Dot"/>
          <w:b/>
          <w:sz w:val="46"/>
          <w:szCs w:val="96"/>
          <w:lang w:val="en-US"/>
        </w:rPr>
        <w:t>2</w:t>
      </w:r>
    </w:p>
    <w:p w:rsidR="00B0039B" w:rsidRDefault="00E42364" w:rsidP="00E42364">
      <w:pPr>
        <w:spacing w:line="480" w:lineRule="auto"/>
        <w:ind w:right="-7" w:firstLine="708"/>
        <w:jc w:val="center"/>
        <w:rPr>
          <w:rFonts w:ascii="Times Dot" w:hAnsi="Times Dot"/>
          <w:sz w:val="28"/>
          <w:szCs w:val="28"/>
          <w:lang w:val="en-US"/>
        </w:rPr>
      </w:pPr>
      <w:r>
        <w:rPr>
          <w:rFonts w:ascii="Times Dot" w:hAnsi="Times Dot"/>
          <w:sz w:val="28"/>
          <w:szCs w:val="28"/>
          <w:lang w:val="en-US"/>
        </w:rPr>
        <w:t>PORTOFOLIO 1 :</w:t>
      </w:r>
    </w:p>
    <w:p w:rsidR="00E42364" w:rsidRDefault="003C397A" w:rsidP="00E42364">
      <w:pPr>
        <w:spacing w:line="480" w:lineRule="auto"/>
        <w:ind w:right="-7" w:firstLine="708"/>
        <w:jc w:val="center"/>
        <w:rPr>
          <w:rFonts w:ascii="Times Dot" w:hAnsi="Times Dot"/>
          <w:sz w:val="28"/>
          <w:szCs w:val="28"/>
          <w:lang w:val="en-US"/>
        </w:rPr>
      </w:pPr>
      <w:r>
        <w:rPr>
          <w:rFonts w:ascii="Times Dot" w:hAnsi="Times Dot"/>
          <w:sz w:val="28"/>
          <w:szCs w:val="28"/>
          <w:lang w:val="en-US"/>
        </w:rPr>
        <w:t>Fiqhu Naw</w:t>
      </w:r>
      <w:r w:rsidR="00B47C80" w:rsidRPr="00B47C80">
        <w:t xml:space="preserve"> </w:t>
      </w:r>
      <w:r w:rsidR="00B47C80" w:rsidRPr="00B47C80">
        <w:rPr>
          <w:rFonts w:ascii="Times Dot" w:hAnsi="Times Dot"/>
          <w:sz w:val="28"/>
          <w:szCs w:val="28"/>
          <w:lang w:val="en-US"/>
        </w:rPr>
        <w:t>ā</w:t>
      </w:r>
      <w:r>
        <w:rPr>
          <w:rFonts w:ascii="Times Dot" w:hAnsi="Times Dot"/>
          <w:sz w:val="28"/>
          <w:szCs w:val="28"/>
          <w:lang w:val="en-US"/>
        </w:rPr>
        <w:t>zil</w:t>
      </w:r>
    </w:p>
    <w:p w:rsidR="00933893" w:rsidRDefault="00933893" w:rsidP="00933893">
      <w:pPr>
        <w:spacing w:line="480" w:lineRule="auto"/>
        <w:ind w:right="-7" w:firstLine="708"/>
        <w:jc w:val="center"/>
        <w:rPr>
          <w:rFonts w:ascii="Times Dot" w:hAnsi="Times Dot"/>
          <w:sz w:val="28"/>
          <w:szCs w:val="28"/>
          <w:lang w:val="en-US"/>
        </w:rPr>
      </w:pPr>
    </w:p>
    <w:p w:rsidR="00B17619" w:rsidRPr="000D5E0B" w:rsidRDefault="00B17619" w:rsidP="00B0039B">
      <w:pPr>
        <w:spacing w:line="480" w:lineRule="auto"/>
        <w:ind w:right="-7"/>
        <w:rPr>
          <w:rFonts w:ascii="Segoe UI" w:hAnsi="Segoe UI" w:cs="Segoe UI"/>
          <w:color w:val="008000"/>
          <w:shd w:val="clear" w:color="auto" w:fill="FFF6AE"/>
          <w:lang w:val="en-US"/>
        </w:rPr>
      </w:pPr>
    </w:p>
    <w:p w:rsidR="007101B1" w:rsidRDefault="007101B1" w:rsidP="00B0039B">
      <w:pPr>
        <w:spacing w:line="480" w:lineRule="auto"/>
        <w:ind w:right="-7"/>
        <w:rPr>
          <w:rFonts w:ascii="Times Dot" w:hAnsi="Times Dot"/>
          <w:b/>
          <w:smallCaps/>
          <w:sz w:val="28"/>
          <w:szCs w:val="28"/>
          <w:lang w:val="en-US"/>
        </w:rPr>
      </w:pPr>
    </w:p>
    <w:p w:rsidR="007101B1" w:rsidRDefault="007101B1" w:rsidP="00B0039B">
      <w:pPr>
        <w:spacing w:line="480" w:lineRule="auto"/>
        <w:ind w:right="-7"/>
        <w:rPr>
          <w:rFonts w:ascii="Times Dot" w:hAnsi="Times Dot"/>
          <w:b/>
          <w:smallCaps/>
          <w:sz w:val="28"/>
          <w:szCs w:val="28"/>
          <w:lang w:val="en-US"/>
        </w:rPr>
      </w:pPr>
    </w:p>
    <w:p w:rsidR="00E42364" w:rsidRDefault="00E42364" w:rsidP="00B0039B">
      <w:pPr>
        <w:spacing w:line="480" w:lineRule="auto"/>
        <w:ind w:right="-7"/>
        <w:rPr>
          <w:rFonts w:ascii="Times Dot" w:hAnsi="Times Dot"/>
          <w:b/>
          <w:smallCaps/>
          <w:sz w:val="28"/>
          <w:szCs w:val="28"/>
          <w:lang w:val="en-US"/>
        </w:rPr>
      </w:pPr>
    </w:p>
    <w:p w:rsidR="00F955EC" w:rsidRPr="00066F3B" w:rsidRDefault="00F955EC" w:rsidP="00B0039B">
      <w:pPr>
        <w:spacing w:line="480" w:lineRule="auto"/>
        <w:ind w:right="-7"/>
        <w:rPr>
          <w:rFonts w:ascii="Times Dot" w:hAnsi="Times Dot"/>
          <w:b/>
          <w:smallCaps/>
          <w:sz w:val="28"/>
          <w:szCs w:val="28"/>
          <w:lang w:val="en-US"/>
        </w:rPr>
      </w:pPr>
    </w:p>
    <w:p w:rsidR="00783A2D" w:rsidRDefault="00783A2D" w:rsidP="00783A2D">
      <w:pPr>
        <w:spacing w:line="480" w:lineRule="auto"/>
        <w:ind w:right="-7"/>
        <w:rPr>
          <w:rFonts w:ascii="Times Dot" w:hAnsi="Times Dot"/>
          <w:b/>
          <w:smallCaps/>
          <w:sz w:val="28"/>
          <w:szCs w:val="28"/>
          <w:lang w:val="en-US"/>
        </w:rPr>
      </w:pPr>
      <w:bookmarkStart w:id="1" w:name="_Hlk536014763"/>
      <w:r>
        <w:rPr>
          <w:rFonts w:ascii="Times Dot" w:hAnsi="Times Dot"/>
          <w:b/>
          <w:smallCaps/>
          <w:sz w:val="28"/>
          <w:szCs w:val="28"/>
          <w:lang w:val="en-US"/>
        </w:rPr>
        <w:t xml:space="preserve">Written with the style of </w:t>
      </w:r>
      <w:r w:rsidRPr="00F2129C">
        <w:rPr>
          <w:rFonts w:ascii="Times Dot" w:hAnsi="Times Dot"/>
          <w:b/>
          <w:smallCaps/>
          <w:sz w:val="28"/>
          <w:szCs w:val="28"/>
          <w:lang w:val="en-US"/>
        </w:rPr>
        <w:t>the Brill Encyclopaedia of Islam</w:t>
      </w:r>
    </w:p>
    <w:p w:rsidR="00783A2D" w:rsidRPr="00EC4D7E" w:rsidRDefault="00C95FBA" w:rsidP="00783A2D">
      <w:pPr>
        <w:pStyle w:val="Titre1"/>
        <w:shd w:val="clear" w:color="auto" w:fill="E6E6E6"/>
        <w:spacing w:before="0" w:beforeAutospacing="0" w:after="0" w:afterAutospacing="0" w:line="267" w:lineRule="atLeast"/>
        <w:rPr>
          <w:lang w:val="en-US"/>
        </w:rPr>
      </w:pPr>
      <w:bookmarkStart w:id="2" w:name="_Hlk536022614"/>
      <w:bookmarkStart w:id="3" w:name="_Hlk536014781"/>
      <w:bookmarkEnd w:id="1"/>
      <w:r w:rsidRPr="00C95FBA">
        <w:rPr>
          <w:rFonts w:ascii="Georgia" w:hAnsi="Georgia"/>
          <w:b w:val="0"/>
          <w:bCs w:val="0"/>
          <w:color w:val="000000"/>
          <w:sz w:val="36"/>
          <w:szCs w:val="36"/>
          <w:lang w:val="en-US"/>
        </w:rPr>
        <w:lastRenderedPageBreak/>
        <w:t xml:space="preserve">Fiqhu Naw āzil </w:t>
      </w:r>
      <w:r w:rsidR="00783A2D" w:rsidRPr="00EC4D7E">
        <w:rPr>
          <w:rFonts w:ascii="Georgia" w:hAnsi="Georgia"/>
          <w:b w:val="0"/>
          <w:bCs w:val="0"/>
          <w:color w:val="555555"/>
          <w:sz w:val="18"/>
          <w:szCs w:val="18"/>
          <w:lang w:val="en-US"/>
        </w:rPr>
        <w:t>(</w:t>
      </w:r>
      <w:r w:rsidR="00534137">
        <w:rPr>
          <w:rFonts w:ascii="Georgia" w:hAnsi="Georgia"/>
          <w:b w:val="0"/>
          <w:bCs w:val="0"/>
          <w:color w:val="555555"/>
          <w:sz w:val="18"/>
          <w:szCs w:val="18"/>
          <w:lang w:val="en-US"/>
        </w:rPr>
        <w:t>498</w:t>
      </w:r>
      <w:r w:rsidR="00783A2D" w:rsidRPr="00EC4D7E">
        <w:rPr>
          <w:rFonts w:ascii="Georgia" w:hAnsi="Georgia"/>
          <w:b w:val="0"/>
          <w:bCs w:val="0"/>
          <w:color w:val="555555"/>
          <w:sz w:val="18"/>
          <w:szCs w:val="18"/>
          <w:lang w:val="en-US"/>
        </w:rPr>
        <w:t xml:space="preserve"> words)</w:t>
      </w:r>
    </w:p>
    <w:p w:rsidR="00783A2D" w:rsidRPr="00C95FBA" w:rsidRDefault="00783A2D" w:rsidP="00783A2D">
      <w:pPr>
        <w:pStyle w:val="sumpara"/>
        <w:spacing w:before="0" w:beforeAutospacing="0" w:after="240" w:afterAutospacing="0"/>
        <w:rPr>
          <w:rFonts w:ascii="Georgia" w:hAnsi="Georgia"/>
          <w:i/>
          <w:iCs/>
          <w:color w:val="222222"/>
          <w:lang w:val="en-US"/>
        </w:rPr>
      </w:pPr>
    </w:p>
    <w:p w:rsidR="006E4228" w:rsidRDefault="00C95FBA" w:rsidP="00894153">
      <w:pPr>
        <w:pStyle w:val="sumpara"/>
        <w:spacing w:before="0" w:beforeAutospacing="0" w:after="240" w:afterAutospacing="0"/>
        <w:rPr>
          <w:rFonts w:ascii="Georgia" w:hAnsi="Georgia"/>
          <w:color w:val="222222"/>
          <w:lang w:val="en-US"/>
        </w:rPr>
      </w:pPr>
      <w:r w:rsidRPr="00C95FBA">
        <w:rPr>
          <w:rFonts w:ascii="Georgia" w:hAnsi="Georgia"/>
          <w:i/>
          <w:iCs/>
          <w:color w:val="222222"/>
          <w:lang w:val="en-US"/>
        </w:rPr>
        <w:t>Fiqhu Nawāzil</w:t>
      </w:r>
      <w:r>
        <w:rPr>
          <w:rFonts w:ascii="Georgia" w:hAnsi="Georgia"/>
          <w:color w:val="222222"/>
          <w:lang w:val="en-US"/>
        </w:rPr>
        <w:t xml:space="preserve"> represents the legal Islamic science based upon real recent cases. This science has been spread more especially in Western Islamic World and more precisely in Northern Africa. </w:t>
      </w:r>
      <w:r w:rsidR="00894153" w:rsidRPr="00C95FBA">
        <w:rPr>
          <w:rFonts w:ascii="Georgia" w:hAnsi="Georgia"/>
          <w:i/>
          <w:iCs/>
          <w:color w:val="222222"/>
          <w:lang w:val="en-US"/>
        </w:rPr>
        <w:t>Nawāzil</w:t>
      </w:r>
      <w:r w:rsidR="00894153">
        <w:rPr>
          <w:rFonts w:ascii="Georgia" w:hAnsi="Georgia"/>
          <w:i/>
          <w:iCs/>
          <w:color w:val="222222"/>
          <w:lang w:val="en-US"/>
        </w:rPr>
        <w:t xml:space="preserve"> </w:t>
      </w:r>
      <w:r w:rsidR="00894153" w:rsidRPr="00894153">
        <w:rPr>
          <w:rFonts w:ascii="Georgia" w:hAnsi="Georgia"/>
          <w:color w:val="222222"/>
          <w:lang w:val="en-US"/>
        </w:rPr>
        <w:t>is the plural of</w:t>
      </w:r>
      <w:r w:rsidR="00894153">
        <w:rPr>
          <w:rFonts w:ascii="Georgia" w:hAnsi="Georgia"/>
          <w:i/>
          <w:iCs/>
          <w:color w:val="222222"/>
          <w:lang w:val="en-US"/>
        </w:rPr>
        <w:t xml:space="preserve"> </w:t>
      </w:r>
      <w:r w:rsidR="00894153" w:rsidRPr="00C95FBA">
        <w:rPr>
          <w:rFonts w:ascii="Georgia" w:hAnsi="Georgia"/>
          <w:i/>
          <w:iCs/>
          <w:color w:val="222222"/>
          <w:lang w:val="en-US"/>
        </w:rPr>
        <w:t>Nāzil</w:t>
      </w:r>
      <w:r w:rsidR="00894153">
        <w:rPr>
          <w:rFonts w:ascii="Georgia" w:hAnsi="Georgia"/>
          <w:i/>
          <w:iCs/>
          <w:color w:val="222222"/>
          <w:lang w:val="en-US"/>
        </w:rPr>
        <w:t xml:space="preserve">a </w:t>
      </w:r>
      <w:r w:rsidR="00894153" w:rsidRPr="00894153">
        <w:rPr>
          <w:rFonts w:ascii="Georgia" w:hAnsi="Georgia"/>
          <w:color w:val="222222"/>
          <w:lang w:val="en-US"/>
        </w:rPr>
        <w:t xml:space="preserve">which represents the new situation in the Islamic community which never occurred before and which can not directly be linked to the </w:t>
      </w:r>
      <w:r w:rsidR="00894153">
        <w:rPr>
          <w:rFonts w:ascii="Georgia" w:hAnsi="Georgia"/>
          <w:i/>
          <w:iCs/>
          <w:color w:val="222222"/>
          <w:lang w:val="en-US"/>
        </w:rPr>
        <w:t xml:space="preserve">Quran </w:t>
      </w:r>
      <w:r w:rsidR="00894153" w:rsidRPr="00894153">
        <w:rPr>
          <w:rFonts w:ascii="Georgia" w:hAnsi="Georgia"/>
          <w:color w:val="222222"/>
          <w:lang w:val="en-US"/>
        </w:rPr>
        <w:t>or the</w:t>
      </w:r>
      <w:r w:rsidR="00894153">
        <w:rPr>
          <w:rFonts w:ascii="Georgia" w:hAnsi="Georgia"/>
          <w:i/>
          <w:iCs/>
          <w:color w:val="222222"/>
          <w:lang w:val="en-US"/>
        </w:rPr>
        <w:t xml:space="preserve"> Sunnah.</w:t>
      </w:r>
      <w:r w:rsidR="00894153">
        <w:rPr>
          <w:rFonts w:ascii="Georgia" w:hAnsi="Georgia"/>
          <w:color w:val="222222"/>
          <w:lang w:val="en-US"/>
        </w:rPr>
        <w:t xml:space="preserve"> </w:t>
      </w:r>
      <w:r w:rsidR="00C20BEF" w:rsidRPr="00C95FBA">
        <w:rPr>
          <w:rFonts w:ascii="Georgia" w:hAnsi="Georgia"/>
          <w:i/>
          <w:iCs/>
          <w:color w:val="222222"/>
          <w:lang w:val="en-US"/>
        </w:rPr>
        <w:t>Fiqhu Nawāzil</w:t>
      </w:r>
      <w:r w:rsidR="00C20BEF">
        <w:rPr>
          <w:rFonts w:ascii="Georgia" w:hAnsi="Georgia"/>
          <w:color w:val="222222"/>
          <w:lang w:val="en-US"/>
        </w:rPr>
        <w:t xml:space="preserve">  is also called </w:t>
      </w:r>
      <w:r w:rsidR="00C20BEF" w:rsidRPr="00C95FBA">
        <w:rPr>
          <w:rFonts w:ascii="Georgia" w:hAnsi="Georgia"/>
          <w:i/>
          <w:iCs/>
          <w:color w:val="222222"/>
          <w:lang w:val="en-US"/>
        </w:rPr>
        <w:t xml:space="preserve">Fiqhu </w:t>
      </w:r>
      <w:r w:rsidR="00C20BEF">
        <w:rPr>
          <w:rFonts w:ascii="Georgia" w:hAnsi="Georgia"/>
          <w:i/>
          <w:iCs/>
          <w:color w:val="222222"/>
          <w:lang w:val="en-US"/>
        </w:rPr>
        <w:t xml:space="preserve">Waqi’ </w:t>
      </w:r>
      <w:r w:rsidR="00C20BEF" w:rsidRPr="00C20BEF">
        <w:rPr>
          <w:rFonts w:ascii="Georgia" w:hAnsi="Georgia"/>
          <w:color w:val="222222"/>
          <w:lang w:val="en-US"/>
        </w:rPr>
        <w:t xml:space="preserve">(the Islamic jurisdiction of </w:t>
      </w:r>
      <w:r w:rsidR="00C20BEF">
        <w:rPr>
          <w:rFonts w:ascii="Georgia" w:hAnsi="Georgia"/>
          <w:color w:val="222222"/>
          <w:lang w:val="en-US"/>
        </w:rPr>
        <w:t xml:space="preserve"> the present real context</w:t>
      </w:r>
      <w:r w:rsidR="00C20BEF" w:rsidRPr="00C20BEF">
        <w:rPr>
          <w:rFonts w:ascii="Georgia" w:hAnsi="Georgia"/>
          <w:color w:val="222222"/>
          <w:lang w:val="en-US"/>
        </w:rPr>
        <w:t>)</w:t>
      </w:r>
      <w:r w:rsidR="00C20BEF">
        <w:rPr>
          <w:rFonts w:ascii="Georgia" w:hAnsi="Georgia"/>
          <w:i/>
          <w:iCs/>
          <w:color w:val="222222"/>
          <w:lang w:val="en-US"/>
        </w:rPr>
        <w:t xml:space="preserve"> </w:t>
      </w:r>
      <w:r w:rsidR="00C20BEF" w:rsidRPr="00C20BEF">
        <w:rPr>
          <w:rFonts w:ascii="Georgia" w:hAnsi="Georgia"/>
          <w:color w:val="222222"/>
          <w:lang w:val="en-US"/>
        </w:rPr>
        <w:t>or</w:t>
      </w:r>
      <w:r w:rsidR="00C20BEF">
        <w:rPr>
          <w:rFonts w:ascii="Georgia" w:hAnsi="Georgia"/>
          <w:i/>
          <w:iCs/>
          <w:color w:val="222222"/>
          <w:lang w:val="en-US"/>
        </w:rPr>
        <w:t xml:space="preserve"> Fiqhu al-Haw</w:t>
      </w:r>
      <w:r w:rsidR="00C20BEF" w:rsidRPr="00C95FBA">
        <w:rPr>
          <w:rFonts w:ascii="Georgia" w:hAnsi="Georgia"/>
          <w:i/>
          <w:iCs/>
          <w:color w:val="222222"/>
          <w:lang w:val="en-US"/>
        </w:rPr>
        <w:t>ā</w:t>
      </w:r>
      <w:r w:rsidR="00C20BEF">
        <w:rPr>
          <w:rFonts w:ascii="Georgia" w:hAnsi="Georgia"/>
          <w:i/>
          <w:iCs/>
          <w:color w:val="222222"/>
          <w:lang w:val="en-US"/>
        </w:rPr>
        <w:t xml:space="preserve">dith </w:t>
      </w:r>
      <w:r w:rsidR="00C20BEF" w:rsidRPr="00C20BEF">
        <w:rPr>
          <w:rFonts w:ascii="Georgia" w:hAnsi="Georgia"/>
          <w:color w:val="222222"/>
          <w:lang w:val="en-US"/>
        </w:rPr>
        <w:t xml:space="preserve">(the Islamic jurisdiction of </w:t>
      </w:r>
      <w:r w:rsidR="00C20BEF">
        <w:rPr>
          <w:rFonts w:ascii="Georgia" w:hAnsi="Georgia"/>
          <w:color w:val="222222"/>
          <w:lang w:val="en-US"/>
        </w:rPr>
        <w:t xml:space="preserve"> recent events</w:t>
      </w:r>
      <w:r w:rsidR="00C20BEF" w:rsidRPr="00C20BEF">
        <w:rPr>
          <w:rFonts w:ascii="Georgia" w:hAnsi="Georgia"/>
          <w:color w:val="222222"/>
          <w:lang w:val="en-US"/>
        </w:rPr>
        <w:t>)</w:t>
      </w:r>
      <w:r w:rsidR="00C20BEF">
        <w:rPr>
          <w:rFonts w:ascii="Georgia" w:hAnsi="Georgia"/>
          <w:i/>
          <w:iCs/>
          <w:color w:val="222222"/>
          <w:lang w:val="en-US"/>
        </w:rPr>
        <w:t xml:space="preserve">. </w:t>
      </w:r>
      <w:r>
        <w:rPr>
          <w:rFonts w:ascii="Georgia" w:hAnsi="Georgia"/>
          <w:color w:val="222222"/>
          <w:lang w:val="en-US"/>
        </w:rPr>
        <w:t xml:space="preserve">The first aim of this science was to gather in books </w:t>
      </w:r>
      <w:r w:rsidR="00DF3595">
        <w:rPr>
          <w:rFonts w:ascii="Georgia" w:hAnsi="Georgia"/>
          <w:color w:val="222222"/>
          <w:lang w:val="en-US"/>
        </w:rPr>
        <w:t>recent</w:t>
      </w:r>
      <w:r>
        <w:rPr>
          <w:rFonts w:ascii="Georgia" w:hAnsi="Georgia"/>
          <w:color w:val="222222"/>
          <w:lang w:val="en-US"/>
        </w:rPr>
        <w:t xml:space="preserve"> legal positions of great Islamic judges in order to allow other judges to use their position and legal judgements</w:t>
      </w:r>
      <w:r w:rsidR="006E4228">
        <w:rPr>
          <w:rFonts w:ascii="Georgia" w:hAnsi="Georgia"/>
          <w:color w:val="222222"/>
          <w:lang w:val="en-US"/>
        </w:rPr>
        <w:t xml:space="preserve"> and to copy it (</w:t>
      </w:r>
      <w:r w:rsidR="006E4228" w:rsidRPr="006E4228">
        <w:rPr>
          <w:rFonts w:ascii="Georgia" w:hAnsi="Georgia"/>
          <w:i/>
          <w:iCs/>
          <w:color w:val="222222"/>
          <w:lang w:val="en-US"/>
        </w:rPr>
        <w:t>Ta</w:t>
      </w:r>
      <w:r w:rsidR="006E4228" w:rsidRPr="006E4228">
        <w:rPr>
          <w:rFonts w:ascii="Cambria" w:hAnsi="Cambria" w:cs="Cambria"/>
          <w:i/>
          <w:iCs/>
          <w:color w:val="222222"/>
          <w:lang w:val="en-US"/>
        </w:rPr>
        <w:t>ḳ</w:t>
      </w:r>
      <w:r w:rsidR="006E4228" w:rsidRPr="006E4228">
        <w:rPr>
          <w:rFonts w:ascii="Georgia" w:hAnsi="Georgia"/>
          <w:i/>
          <w:iCs/>
          <w:color w:val="222222"/>
          <w:lang w:val="en-US"/>
        </w:rPr>
        <w:t>l</w:t>
      </w:r>
      <w:r w:rsidR="006E4228" w:rsidRPr="006E4228">
        <w:rPr>
          <w:rFonts w:ascii="Georgia" w:hAnsi="Georgia" w:cs="Georgia"/>
          <w:i/>
          <w:iCs/>
          <w:color w:val="222222"/>
          <w:lang w:val="en-US"/>
        </w:rPr>
        <w:t>ī</w:t>
      </w:r>
      <w:r w:rsidR="006E4228" w:rsidRPr="006E4228">
        <w:rPr>
          <w:rFonts w:ascii="Georgia" w:hAnsi="Georgia"/>
          <w:i/>
          <w:iCs/>
          <w:color w:val="222222"/>
          <w:lang w:val="en-US"/>
        </w:rPr>
        <w:t>d</w:t>
      </w:r>
      <w:r w:rsidR="006E4228">
        <w:rPr>
          <w:rFonts w:ascii="Georgia" w:hAnsi="Georgia"/>
          <w:color w:val="222222"/>
          <w:lang w:val="en-US"/>
        </w:rPr>
        <w:t>) if they are confronted to the same case</w:t>
      </w:r>
      <w:r>
        <w:rPr>
          <w:rFonts w:ascii="Georgia" w:hAnsi="Georgia"/>
          <w:color w:val="222222"/>
          <w:lang w:val="en-US"/>
        </w:rPr>
        <w:t xml:space="preserve">. </w:t>
      </w:r>
      <w:r w:rsidRPr="00C95FBA">
        <w:rPr>
          <w:rFonts w:ascii="Georgia" w:hAnsi="Georgia"/>
          <w:i/>
          <w:iCs/>
          <w:color w:val="222222"/>
          <w:lang w:val="en-US"/>
        </w:rPr>
        <w:t>Fiqhu Nawāzil</w:t>
      </w:r>
      <w:r>
        <w:rPr>
          <w:rFonts w:ascii="Georgia" w:hAnsi="Georgia"/>
          <w:i/>
          <w:iCs/>
          <w:color w:val="222222"/>
          <w:lang w:val="en-US"/>
        </w:rPr>
        <w:t xml:space="preserve"> </w:t>
      </w:r>
      <w:r w:rsidRPr="006E4228">
        <w:rPr>
          <w:rFonts w:ascii="Georgia" w:hAnsi="Georgia"/>
          <w:color w:val="222222"/>
          <w:lang w:val="en-US"/>
        </w:rPr>
        <w:t xml:space="preserve">is considered by a </w:t>
      </w:r>
      <w:r w:rsidR="006E4228">
        <w:rPr>
          <w:rFonts w:ascii="Georgia" w:hAnsi="Georgia"/>
          <w:color w:val="222222"/>
          <w:lang w:val="en-US"/>
        </w:rPr>
        <w:t xml:space="preserve">particular domain of fiqh specialized in modern questions and issues with which Mulism community is confronted. </w:t>
      </w:r>
    </w:p>
    <w:p w:rsidR="00783A2D" w:rsidRDefault="006E4228" w:rsidP="00C95FBA">
      <w:pPr>
        <w:pStyle w:val="sumpara"/>
        <w:spacing w:before="0" w:beforeAutospacing="0" w:after="240" w:afterAutospacing="0"/>
        <w:rPr>
          <w:rFonts w:ascii="Georgia" w:hAnsi="Georgia"/>
          <w:color w:val="222222"/>
          <w:lang w:val="en-US"/>
        </w:rPr>
      </w:pPr>
      <w:r>
        <w:rPr>
          <w:rFonts w:ascii="Georgia" w:hAnsi="Georgia"/>
          <w:color w:val="222222"/>
          <w:lang w:val="en-US"/>
        </w:rPr>
        <w:t xml:space="preserve">As Ibn </w:t>
      </w:r>
      <w:r w:rsidRPr="006E4228">
        <w:rPr>
          <w:rFonts w:ascii="Georgia" w:hAnsi="Georgia"/>
          <w:color w:val="222222"/>
          <w:lang w:val="en-US"/>
        </w:rPr>
        <w:t>Abd al-Bār claims,</w:t>
      </w:r>
      <w:r>
        <w:rPr>
          <w:rFonts w:ascii="Georgia" w:hAnsi="Georgia"/>
          <w:color w:val="222222"/>
          <w:lang w:val="en-US"/>
        </w:rPr>
        <w:t xml:space="preserve"> is based on a personal interpretation (</w:t>
      </w:r>
      <w:r w:rsidRPr="006E4228">
        <w:rPr>
          <w:rFonts w:ascii="Georgia" w:hAnsi="Georgia"/>
          <w:color w:val="222222"/>
          <w:lang w:val="en-US"/>
        </w:rPr>
        <w:t>Id</w:t>
      </w:r>
      <w:r w:rsidRPr="006E4228">
        <w:rPr>
          <w:color w:val="222222"/>
          <w:lang w:val="en-US"/>
        </w:rPr>
        <w:t>̲</w:t>
      </w:r>
      <w:r w:rsidRPr="006E4228">
        <w:rPr>
          <w:rFonts w:ascii="Georgia" w:hAnsi="Georgia"/>
          <w:color w:val="222222"/>
          <w:lang w:val="en-US"/>
        </w:rPr>
        <w:t>j</w:t>
      </w:r>
      <w:r w:rsidRPr="006E4228">
        <w:rPr>
          <w:color w:val="222222"/>
          <w:lang w:val="en-US"/>
        </w:rPr>
        <w:t>̲</w:t>
      </w:r>
      <w:r w:rsidRPr="006E4228">
        <w:rPr>
          <w:rFonts w:ascii="Georgia" w:hAnsi="Georgia"/>
          <w:color w:val="222222"/>
          <w:lang w:val="en-US"/>
        </w:rPr>
        <w:t>tih</w:t>
      </w:r>
      <w:r w:rsidRPr="006E4228">
        <w:rPr>
          <w:rFonts w:ascii="Georgia" w:hAnsi="Georgia" w:cs="Georgia"/>
          <w:color w:val="222222"/>
          <w:lang w:val="en-US"/>
        </w:rPr>
        <w:t>ā</w:t>
      </w:r>
      <w:r w:rsidRPr="006E4228">
        <w:rPr>
          <w:rFonts w:ascii="Georgia" w:hAnsi="Georgia"/>
          <w:color w:val="222222"/>
          <w:lang w:val="en-US"/>
        </w:rPr>
        <w:t>d</w:t>
      </w:r>
      <w:r>
        <w:rPr>
          <w:rFonts w:ascii="Georgia" w:hAnsi="Georgia"/>
          <w:color w:val="222222"/>
          <w:lang w:val="en-US"/>
        </w:rPr>
        <w:t>) and opinion of a scholar when no primary source (Quran and Sunnah) can answer to a present problematic.</w:t>
      </w:r>
      <w:r w:rsidR="00894153">
        <w:rPr>
          <w:rFonts w:ascii="Georgia" w:hAnsi="Georgia"/>
          <w:color w:val="222222"/>
          <w:lang w:val="en-US"/>
        </w:rPr>
        <w:t xml:space="preserve"> The condition of the existence of the problematic is mandatory according to scholars.</w:t>
      </w:r>
      <w:r w:rsidR="00F256A5">
        <w:rPr>
          <w:rFonts w:ascii="Georgia" w:hAnsi="Georgia"/>
          <w:color w:val="222222"/>
          <w:lang w:val="en-US"/>
        </w:rPr>
        <w:t xml:space="preserve"> Also, the scholar or judge who providea legal opinion (F</w:t>
      </w:r>
      <w:r w:rsidR="00F256A5" w:rsidRPr="006E4228">
        <w:rPr>
          <w:rFonts w:ascii="Georgia" w:hAnsi="Georgia" w:cs="Georgia"/>
          <w:color w:val="222222"/>
          <w:lang w:val="en-US"/>
        </w:rPr>
        <w:t>ā</w:t>
      </w:r>
      <w:r w:rsidR="00F256A5">
        <w:rPr>
          <w:rFonts w:ascii="Georgia" w:hAnsi="Georgia"/>
          <w:color w:val="222222"/>
          <w:lang w:val="en-US"/>
        </w:rPr>
        <w:t xml:space="preserve">twa) must know the social situation of the claimant and the context in which he lives. For instance, it is not possible to a scholar living in Bangladesh to answer to a </w:t>
      </w:r>
      <w:r w:rsidR="00F256A5" w:rsidRPr="00C95FBA">
        <w:rPr>
          <w:rFonts w:ascii="Georgia" w:hAnsi="Georgia"/>
          <w:i/>
          <w:iCs/>
          <w:color w:val="222222"/>
          <w:lang w:val="en-US"/>
        </w:rPr>
        <w:t>Nāzil</w:t>
      </w:r>
      <w:r w:rsidR="00F256A5">
        <w:rPr>
          <w:rFonts w:ascii="Georgia" w:hAnsi="Georgia"/>
          <w:i/>
          <w:iCs/>
          <w:color w:val="222222"/>
          <w:lang w:val="en-US"/>
        </w:rPr>
        <w:t>a</w:t>
      </w:r>
      <w:r w:rsidR="00F256A5">
        <w:rPr>
          <w:rFonts w:ascii="Georgia" w:hAnsi="Georgia"/>
          <w:color w:val="222222"/>
          <w:lang w:val="en-US"/>
        </w:rPr>
        <w:t xml:space="preserve">  which specially occurred to Muslims living in Mauritania.</w:t>
      </w:r>
    </w:p>
    <w:p w:rsidR="006E4228" w:rsidRDefault="00894153" w:rsidP="00C95FBA">
      <w:pPr>
        <w:pStyle w:val="sumpara"/>
        <w:spacing w:before="0" w:beforeAutospacing="0" w:after="240" w:afterAutospacing="0"/>
        <w:rPr>
          <w:rFonts w:ascii="Georgia" w:hAnsi="Georgia"/>
          <w:color w:val="222222"/>
          <w:lang w:val="en-US"/>
        </w:rPr>
      </w:pPr>
      <w:r w:rsidRPr="00C95FBA">
        <w:rPr>
          <w:rFonts w:ascii="Georgia" w:hAnsi="Georgia"/>
          <w:i/>
          <w:iCs/>
          <w:color w:val="222222"/>
          <w:lang w:val="en-US"/>
        </w:rPr>
        <w:t>Fiqhu Nawāzil</w:t>
      </w:r>
      <w:r>
        <w:rPr>
          <w:rFonts w:ascii="Georgia" w:hAnsi="Georgia"/>
          <w:i/>
          <w:iCs/>
          <w:color w:val="222222"/>
          <w:lang w:val="en-US"/>
        </w:rPr>
        <w:t xml:space="preserve"> </w:t>
      </w:r>
      <w:r w:rsidRPr="00894153">
        <w:rPr>
          <w:rFonts w:ascii="Georgia" w:hAnsi="Georgia"/>
          <w:color w:val="222222"/>
          <w:lang w:val="en-US"/>
        </w:rPr>
        <w:t>mainl</w:t>
      </w:r>
      <w:r>
        <w:rPr>
          <w:rFonts w:ascii="Georgia" w:hAnsi="Georgia"/>
          <w:color w:val="222222"/>
          <w:lang w:val="en-US"/>
        </w:rPr>
        <w:t xml:space="preserve">y discuss and deals with financial modern issues, medical questions or new phenomenon that recently appear and that mix good and bad Islamic principles, the return to scholars in order to adjudicate is considered as mandatory in Islam (Quran, Surah An Nahl, v. 43). The principle of </w:t>
      </w:r>
      <w:r w:rsidRPr="00C95FBA">
        <w:rPr>
          <w:rFonts w:ascii="Georgia" w:hAnsi="Georgia"/>
          <w:i/>
          <w:iCs/>
          <w:color w:val="222222"/>
          <w:lang w:val="en-US"/>
        </w:rPr>
        <w:t>Nawāzil</w:t>
      </w:r>
      <w:r>
        <w:rPr>
          <w:rFonts w:ascii="Georgia" w:hAnsi="Georgia"/>
          <w:i/>
          <w:iCs/>
          <w:color w:val="222222"/>
          <w:lang w:val="en-US"/>
        </w:rPr>
        <w:t xml:space="preserve"> </w:t>
      </w:r>
      <w:r w:rsidRPr="00894153">
        <w:rPr>
          <w:rFonts w:ascii="Georgia" w:hAnsi="Georgia"/>
          <w:color w:val="222222"/>
          <w:lang w:val="en-US"/>
        </w:rPr>
        <w:t>is</w:t>
      </w:r>
      <w:r>
        <w:rPr>
          <w:rFonts w:ascii="Georgia" w:hAnsi="Georgia"/>
          <w:color w:val="222222"/>
          <w:lang w:val="en-US"/>
        </w:rPr>
        <w:t xml:space="preserve"> </w:t>
      </w:r>
      <w:r w:rsidR="00937C6E">
        <w:rPr>
          <w:rFonts w:ascii="Georgia" w:hAnsi="Georgia"/>
          <w:color w:val="222222"/>
          <w:lang w:val="en-US"/>
        </w:rPr>
        <w:t>proofed by</w:t>
      </w:r>
      <w:r>
        <w:rPr>
          <w:rFonts w:ascii="Georgia" w:hAnsi="Georgia"/>
          <w:color w:val="222222"/>
          <w:lang w:val="en-US"/>
        </w:rPr>
        <w:t xml:space="preserve"> the hadith : “If a </w:t>
      </w:r>
      <w:r w:rsidR="00DF3595">
        <w:rPr>
          <w:rFonts w:ascii="Georgia" w:hAnsi="Georgia"/>
          <w:color w:val="222222"/>
          <w:lang w:val="en-US"/>
        </w:rPr>
        <w:t>judge</w:t>
      </w:r>
      <w:r>
        <w:rPr>
          <w:rFonts w:ascii="Georgia" w:hAnsi="Georgia"/>
          <w:color w:val="222222"/>
          <w:lang w:val="en-US"/>
        </w:rPr>
        <w:t xml:space="preserve"> make an </w:t>
      </w:r>
      <w:r w:rsidR="00DF3595" w:rsidRPr="00DF3595">
        <w:rPr>
          <w:rFonts w:ascii="Georgia" w:hAnsi="Georgia"/>
          <w:color w:val="222222"/>
          <w:lang w:val="en-US"/>
        </w:rPr>
        <w:t>Id</w:t>
      </w:r>
      <w:r w:rsidR="00DF3595" w:rsidRPr="00DF3595">
        <w:rPr>
          <w:color w:val="222222"/>
          <w:lang w:val="en-US"/>
        </w:rPr>
        <w:t>̲</w:t>
      </w:r>
      <w:r w:rsidR="00DF3595" w:rsidRPr="00DF3595">
        <w:rPr>
          <w:rFonts w:ascii="Georgia" w:hAnsi="Georgia"/>
          <w:color w:val="222222"/>
          <w:lang w:val="en-US"/>
        </w:rPr>
        <w:t>j</w:t>
      </w:r>
      <w:r w:rsidR="00DF3595" w:rsidRPr="00DF3595">
        <w:rPr>
          <w:color w:val="222222"/>
          <w:lang w:val="en-US"/>
        </w:rPr>
        <w:t>̲</w:t>
      </w:r>
      <w:r w:rsidR="00DF3595" w:rsidRPr="00DF3595">
        <w:rPr>
          <w:rFonts w:ascii="Georgia" w:hAnsi="Georgia"/>
          <w:color w:val="222222"/>
          <w:lang w:val="en-US"/>
        </w:rPr>
        <w:t>tih</w:t>
      </w:r>
      <w:r w:rsidR="00DF3595" w:rsidRPr="00DF3595">
        <w:rPr>
          <w:rFonts w:ascii="Georgia" w:hAnsi="Georgia" w:cs="Georgia"/>
          <w:color w:val="222222"/>
          <w:lang w:val="en-US"/>
        </w:rPr>
        <w:t>ā</w:t>
      </w:r>
      <w:r w:rsidR="00DF3595" w:rsidRPr="00DF3595">
        <w:rPr>
          <w:rFonts w:ascii="Georgia" w:hAnsi="Georgia"/>
          <w:color w:val="222222"/>
          <w:lang w:val="en-US"/>
        </w:rPr>
        <w:t>d</w:t>
      </w:r>
      <w:r w:rsidR="00DF3595">
        <w:rPr>
          <w:rFonts w:ascii="Georgia" w:hAnsi="Georgia"/>
          <w:color w:val="222222"/>
          <w:lang w:val="en-US"/>
        </w:rPr>
        <w:t xml:space="preserve"> and go wrong he will have one reward for his effort, if he is right, he will be rewarder for all who follow him” (Bukhari, n°1716)</w:t>
      </w:r>
      <w:r w:rsidR="00F256A5">
        <w:rPr>
          <w:rFonts w:ascii="Georgia" w:hAnsi="Georgia"/>
          <w:color w:val="222222"/>
          <w:lang w:val="en-US"/>
        </w:rPr>
        <w:t>.</w:t>
      </w:r>
    </w:p>
    <w:p w:rsidR="00F256A5" w:rsidRDefault="00F256A5" w:rsidP="00C95FBA">
      <w:pPr>
        <w:pStyle w:val="sumpara"/>
        <w:spacing w:before="0" w:beforeAutospacing="0" w:after="240" w:afterAutospacing="0"/>
        <w:rPr>
          <w:rFonts w:ascii="Georgia" w:hAnsi="Georgia"/>
          <w:color w:val="222222"/>
          <w:lang w:val="en-US"/>
        </w:rPr>
      </w:pPr>
      <w:r>
        <w:rPr>
          <w:rFonts w:ascii="Georgia" w:hAnsi="Georgia"/>
          <w:color w:val="222222"/>
          <w:lang w:val="en-US"/>
        </w:rPr>
        <w:t xml:space="preserve">According to scholars, </w:t>
      </w:r>
      <w:r w:rsidRPr="00C95FBA">
        <w:rPr>
          <w:rFonts w:ascii="Georgia" w:hAnsi="Georgia"/>
          <w:i/>
          <w:iCs/>
          <w:color w:val="222222"/>
          <w:lang w:val="en-US"/>
        </w:rPr>
        <w:t>Nawāzil</w:t>
      </w:r>
      <w:r>
        <w:rPr>
          <w:rFonts w:ascii="Georgia" w:hAnsi="Georgia"/>
          <w:color w:val="222222"/>
          <w:lang w:val="en-US"/>
        </w:rPr>
        <w:t xml:space="preserve">  are divided in three categories:</w:t>
      </w:r>
    </w:p>
    <w:p w:rsidR="00F256A5" w:rsidRDefault="00F256A5" w:rsidP="00937C6E">
      <w:pPr>
        <w:pStyle w:val="sumpara"/>
        <w:numPr>
          <w:ilvl w:val="0"/>
          <w:numId w:val="6"/>
        </w:numPr>
        <w:spacing w:before="0" w:beforeAutospacing="0" w:after="0" w:afterAutospacing="0"/>
        <w:rPr>
          <w:rFonts w:ascii="Georgia" w:hAnsi="Georgia"/>
          <w:color w:val="222222"/>
          <w:lang w:val="en-US"/>
        </w:rPr>
      </w:pPr>
      <w:r w:rsidRPr="00C95FBA">
        <w:rPr>
          <w:rFonts w:ascii="Georgia" w:hAnsi="Georgia"/>
          <w:i/>
          <w:iCs/>
          <w:color w:val="222222"/>
          <w:lang w:val="en-US"/>
        </w:rPr>
        <w:t>Nawāzil</w:t>
      </w:r>
      <w:r>
        <w:rPr>
          <w:rFonts w:ascii="Georgia" w:hAnsi="Georgia"/>
          <w:color w:val="222222"/>
          <w:lang w:val="en-US"/>
        </w:rPr>
        <w:t xml:space="preserve"> which are relied to traditional Fiqh, such as the prayer in the plane for instance</w:t>
      </w:r>
      <w:r w:rsidR="00C20BEF">
        <w:rPr>
          <w:rFonts w:ascii="Georgia" w:hAnsi="Georgia"/>
          <w:color w:val="222222"/>
          <w:lang w:val="en-US"/>
        </w:rPr>
        <w:t xml:space="preserve"> or the uses of modern transactions contracts in finance.</w:t>
      </w:r>
    </w:p>
    <w:p w:rsidR="00F256A5" w:rsidRDefault="00F256A5" w:rsidP="00937C6E">
      <w:pPr>
        <w:pStyle w:val="sumpara"/>
        <w:numPr>
          <w:ilvl w:val="0"/>
          <w:numId w:val="6"/>
        </w:numPr>
        <w:spacing w:before="0" w:beforeAutospacing="0" w:after="0" w:afterAutospacing="0"/>
        <w:rPr>
          <w:rFonts w:ascii="Georgia" w:hAnsi="Georgia"/>
          <w:color w:val="222222"/>
          <w:lang w:val="en-US"/>
        </w:rPr>
      </w:pPr>
      <w:r w:rsidRPr="00C95FBA">
        <w:rPr>
          <w:rFonts w:ascii="Georgia" w:hAnsi="Georgia"/>
          <w:i/>
          <w:iCs/>
          <w:color w:val="222222"/>
          <w:lang w:val="en-US"/>
        </w:rPr>
        <w:t>Nawāzil</w:t>
      </w:r>
      <w:r w:rsidRPr="00F256A5">
        <w:rPr>
          <w:rFonts w:ascii="Georgia" w:hAnsi="Georgia"/>
          <w:color w:val="222222"/>
          <w:lang w:val="en-US"/>
        </w:rPr>
        <w:t xml:space="preserve"> which are relied to sexual gender such as contraceptive methods for women.</w:t>
      </w:r>
    </w:p>
    <w:p w:rsidR="00F256A5" w:rsidRDefault="00F256A5" w:rsidP="00937C6E">
      <w:pPr>
        <w:pStyle w:val="sumpara"/>
        <w:numPr>
          <w:ilvl w:val="0"/>
          <w:numId w:val="6"/>
        </w:numPr>
        <w:spacing w:before="0" w:beforeAutospacing="0" w:after="0" w:afterAutospacing="0"/>
        <w:rPr>
          <w:rFonts w:ascii="Georgia" w:hAnsi="Georgia"/>
          <w:color w:val="222222"/>
          <w:lang w:val="en-US"/>
        </w:rPr>
      </w:pPr>
      <w:r w:rsidRPr="00C95FBA">
        <w:rPr>
          <w:rFonts w:ascii="Georgia" w:hAnsi="Georgia"/>
          <w:i/>
          <w:iCs/>
          <w:color w:val="222222"/>
          <w:lang w:val="en-US"/>
        </w:rPr>
        <w:t>Nawāzil</w:t>
      </w:r>
      <w:r>
        <w:rPr>
          <w:rFonts w:ascii="Georgia" w:hAnsi="Georgia"/>
          <w:i/>
          <w:iCs/>
          <w:color w:val="222222"/>
          <w:lang w:val="en-US"/>
        </w:rPr>
        <w:t xml:space="preserve"> </w:t>
      </w:r>
      <w:r w:rsidRPr="00937C6E">
        <w:rPr>
          <w:rFonts w:ascii="Georgia" w:hAnsi="Georgia"/>
          <w:color w:val="222222"/>
          <w:lang w:val="en-US"/>
        </w:rPr>
        <w:t xml:space="preserve">which are relied to very singular cases or to general </w:t>
      </w:r>
      <w:r w:rsidR="00937C6E" w:rsidRPr="00937C6E">
        <w:rPr>
          <w:rFonts w:ascii="Georgia" w:hAnsi="Georgia"/>
          <w:color w:val="222222"/>
          <w:lang w:val="en-US"/>
        </w:rPr>
        <w:t>tools which have been spread in Mankind. For</w:t>
      </w:r>
      <w:r w:rsidR="00937C6E">
        <w:rPr>
          <w:rFonts w:ascii="Georgia" w:hAnsi="Georgia"/>
          <w:color w:val="222222"/>
          <w:lang w:val="en-US"/>
        </w:rPr>
        <w:t xml:space="preserve"> the singular case, the question of pureness after </w:t>
      </w:r>
      <w:r w:rsidR="00937C6E" w:rsidRPr="00937C6E">
        <w:rPr>
          <w:rFonts w:ascii="Georgia" w:hAnsi="Georgia"/>
          <w:color w:val="222222"/>
          <w:lang w:val="en-US"/>
        </w:rPr>
        <w:t>dialysis</w:t>
      </w:r>
      <w:r w:rsidR="00937C6E">
        <w:rPr>
          <w:rFonts w:ascii="Georgia" w:hAnsi="Georgia"/>
          <w:color w:val="222222"/>
          <w:lang w:val="en-US"/>
        </w:rPr>
        <w:t xml:space="preserve"> has been asked and for the general tools, the question of using astronomical calculation in order to establish the Islamic calendar or times for prayer have also been asked.</w:t>
      </w:r>
    </w:p>
    <w:p w:rsidR="00937C6E" w:rsidRPr="00937C6E" w:rsidRDefault="00937C6E" w:rsidP="00C95FBA">
      <w:pPr>
        <w:pStyle w:val="sumpara"/>
        <w:spacing w:before="0" w:beforeAutospacing="0" w:after="240" w:afterAutospacing="0"/>
        <w:rPr>
          <w:lang w:val="en-US"/>
        </w:rPr>
      </w:pPr>
      <w:r w:rsidRPr="00C20BEF">
        <w:rPr>
          <w:rFonts w:ascii="Georgia" w:hAnsi="Georgia"/>
          <w:color w:val="222222"/>
          <w:lang w:val="en-US"/>
        </w:rPr>
        <w:t>Answering to</w:t>
      </w:r>
      <w:r w:rsidRPr="00937C6E">
        <w:rPr>
          <w:i/>
          <w:iCs/>
          <w:lang w:val="en-US"/>
        </w:rPr>
        <w:t xml:space="preserve"> </w:t>
      </w:r>
      <w:r w:rsidRPr="00937C6E">
        <w:rPr>
          <w:rFonts w:ascii="Georgia" w:hAnsi="Georgia"/>
          <w:i/>
          <w:iCs/>
          <w:color w:val="222222"/>
          <w:lang w:val="en-US"/>
        </w:rPr>
        <w:t>Nawāzil</w:t>
      </w:r>
      <w:r w:rsidRPr="00937C6E">
        <w:rPr>
          <w:rFonts w:ascii="Georgia" w:hAnsi="Georgia"/>
          <w:color w:val="222222"/>
          <w:lang w:val="en-US"/>
        </w:rPr>
        <w:t xml:space="preserve"> issues is allowable to all scholars, only reputed and high placed scholars</w:t>
      </w:r>
      <w:r>
        <w:rPr>
          <w:rFonts w:ascii="Georgia" w:hAnsi="Georgia"/>
          <w:color w:val="222222"/>
          <w:lang w:val="en-US"/>
        </w:rPr>
        <w:t xml:space="preserve"> who reached the rank of official </w:t>
      </w:r>
      <w:r w:rsidRPr="00937C6E">
        <w:rPr>
          <w:rFonts w:ascii="Georgia" w:hAnsi="Georgia"/>
          <w:i/>
          <w:iCs/>
          <w:color w:val="222222"/>
          <w:lang w:val="en-US"/>
        </w:rPr>
        <w:t xml:space="preserve">Mufti </w:t>
      </w:r>
      <w:r>
        <w:rPr>
          <w:rFonts w:ascii="Georgia" w:hAnsi="Georgia"/>
          <w:color w:val="222222"/>
          <w:lang w:val="en-US"/>
        </w:rPr>
        <w:t xml:space="preserve">or </w:t>
      </w:r>
      <w:r w:rsidRPr="00937C6E">
        <w:rPr>
          <w:rFonts w:ascii="Georgia" w:hAnsi="Georgia"/>
          <w:i/>
          <w:iCs/>
          <w:color w:val="222222"/>
          <w:lang w:val="en-US"/>
        </w:rPr>
        <w:t xml:space="preserve">Mudjtahid </w:t>
      </w:r>
      <w:r w:rsidRPr="00937C6E">
        <w:rPr>
          <w:rFonts w:ascii="Georgia" w:hAnsi="Georgia"/>
          <w:color w:val="222222"/>
          <w:lang w:val="en-US"/>
        </w:rPr>
        <w:t>in a country are allowed to provide religious views and notices (</w:t>
      </w:r>
      <w:r w:rsidRPr="00937C6E">
        <w:rPr>
          <w:rFonts w:ascii="Georgia" w:hAnsi="Georgia"/>
          <w:i/>
          <w:iCs/>
          <w:color w:val="222222"/>
          <w:lang w:val="en-US"/>
        </w:rPr>
        <w:t>Fatāwa</w:t>
      </w:r>
      <w:r w:rsidRPr="00937C6E">
        <w:rPr>
          <w:rFonts w:ascii="Georgia" w:hAnsi="Georgia"/>
          <w:color w:val="222222"/>
          <w:lang w:val="en-US"/>
        </w:rPr>
        <w:t>)</w:t>
      </w:r>
      <w:r>
        <w:rPr>
          <w:rFonts w:ascii="Georgia" w:hAnsi="Georgia"/>
          <w:color w:val="222222"/>
          <w:lang w:val="en-US"/>
        </w:rPr>
        <w:t>.</w:t>
      </w:r>
      <w:r w:rsidR="00C20BEF">
        <w:rPr>
          <w:rFonts w:ascii="Georgia" w:hAnsi="Georgia"/>
          <w:color w:val="222222"/>
          <w:lang w:val="en-US"/>
        </w:rPr>
        <w:t xml:space="preserve"> Despite that rule, </w:t>
      </w:r>
      <w:r w:rsidR="00534137">
        <w:rPr>
          <w:rFonts w:ascii="Georgia" w:hAnsi="Georgia"/>
          <w:color w:val="222222"/>
          <w:lang w:val="en-US"/>
        </w:rPr>
        <w:t>several discrepancies</w:t>
      </w:r>
      <w:r w:rsidRPr="00937C6E">
        <w:rPr>
          <w:rFonts w:ascii="Georgia" w:hAnsi="Georgia"/>
          <w:color w:val="222222"/>
          <w:lang w:val="en-US"/>
        </w:rPr>
        <w:t xml:space="preserve"> </w:t>
      </w:r>
      <w:r w:rsidR="00C20BEF">
        <w:rPr>
          <w:rFonts w:ascii="Georgia" w:hAnsi="Georgia"/>
          <w:color w:val="222222"/>
          <w:lang w:val="en-US"/>
        </w:rPr>
        <w:t xml:space="preserve">occurred among scholars </w:t>
      </w:r>
      <w:r w:rsidR="00534137">
        <w:rPr>
          <w:rFonts w:ascii="Georgia" w:hAnsi="Georgia"/>
          <w:color w:val="222222"/>
          <w:lang w:val="en-US"/>
        </w:rPr>
        <w:t>which create a huge confusion in Muslim population who do not know whom to turn.</w:t>
      </w:r>
    </w:p>
    <w:p w:rsidR="00783A2D" w:rsidRPr="00F2129C" w:rsidRDefault="00783A2D" w:rsidP="00783A2D">
      <w:pPr>
        <w:pStyle w:val="byline"/>
        <w:spacing w:before="0" w:beforeAutospacing="0" w:after="240" w:afterAutospacing="0"/>
        <w:rPr>
          <w:rFonts w:ascii="Brill" w:hAnsi="Brill"/>
          <w:color w:val="222222"/>
          <w:lang w:val="en-US"/>
        </w:rPr>
      </w:pPr>
      <w:r w:rsidRPr="00681855">
        <w:rPr>
          <w:rFonts w:ascii="Brill" w:hAnsi="Brill"/>
          <w:color w:val="222222"/>
          <w:lang w:val="en-US"/>
        </w:rPr>
        <w:t>(Y.</w:t>
      </w:r>
      <w:r>
        <w:rPr>
          <w:rFonts w:ascii="Brill" w:hAnsi="Brill"/>
          <w:color w:val="222222"/>
          <w:lang w:val="en-US"/>
        </w:rPr>
        <w:t xml:space="preserve"> </w:t>
      </w:r>
      <w:r w:rsidRPr="00681855">
        <w:rPr>
          <w:rFonts w:ascii="Brill" w:hAnsi="Brill"/>
          <w:color w:val="222222"/>
          <w:lang w:val="en-US"/>
        </w:rPr>
        <w:t>EL ADLY)</w:t>
      </w:r>
    </w:p>
    <w:p w:rsidR="00783A2D" w:rsidRPr="00F2129C" w:rsidRDefault="00783A2D" w:rsidP="00783A2D">
      <w:pPr>
        <w:pStyle w:val="Titre2"/>
        <w:spacing w:before="0" w:after="240" w:line="267" w:lineRule="atLeast"/>
        <w:rPr>
          <w:rFonts w:ascii="Times New Roman" w:hAnsi="Times New Roman"/>
          <w:color w:val="11216E"/>
          <w:lang w:val="en-US"/>
        </w:rPr>
      </w:pPr>
      <w:r w:rsidRPr="00F2129C">
        <w:rPr>
          <w:b/>
          <w:bCs/>
          <w:color w:val="11216E"/>
          <w:lang w:val="en-US"/>
        </w:rPr>
        <w:lastRenderedPageBreak/>
        <w:t>Bibliography</w:t>
      </w:r>
    </w:p>
    <w:p w:rsidR="00783A2D" w:rsidRDefault="00534137" w:rsidP="00783A2D">
      <w:pPr>
        <w:pStyle w:val="bibl"/>
        <w:spacing w:before="0" w:beforeAutospacing="0" w:after="240" w:afterAutospacing="0"/>
        <w:rPr>
          <w:rFonts w:ascii="Brill" w:hAnsi="Brill"/>
          <w:color w:val="222222"/>
          <w:lang w:val="en-US"/>
        </w:rPr>
      </w:pPr>
      <w:r>
        <w:rPr>
          <w:rFonts w:ascii="Brill" w:hAnsi="Brill"/>
          <w:color w:val="222222"/>
          <w:lang w:val="en-US"/>
        </w:rPr>
        <w:t>Shamsu Deen Muhamad Ibn Qayyim Al Jawziyya</w:t>
      </w:r>
      <w:r w:rsidRPr="004C560D">
        <w:rPr>
          <w:rFonts w:ascii="Brill" w:hAnsi="Brill"/>
          <w:i/>
          <w:iCs/>
          <w:color w:val="222222"/>
          <w:lang w:val="en-US"/>
        </w:rPr>
        <w:t>, I’lam al-M</w:t>
      </w:r>
      <w:r w:rsidR="00F428AA" w:rsidRPr="004C560D">
        <w:rPr>
          <w:rFonts w:ascii="Brill" w:hAnsi="Brill"/>
          <w:i/>
          <w:iCs/>
          <w:color w:val="222222"/>
          <w:lang w:val="en-US"/>
        </w:rPr>
        <w:t>ū</w:t>
      </w:r>
      <w:r w:rsidRPr="004C560D">
        <w:rPr>
          <w:rFonts w:ascii="Brill" w:hAnsi="Brill"/>
          <w:i/>
          <w:iCs/>
          <w:color w:val="222222"/>
          <w:lang w:val="en-US"/>
        </w:rPr>
        <w:t>waqi’in</w:t>
      </w:r>
      <w:r>
        <w:rPr>
          <w:rFonts w:ascii="Brill" w:hAnsi="Brill"/>
          <w:color w:val="222222"/>
          <w:lang w:val="en-US"/>
        </w:rPr>
        <w:t xml:space="preserve">, </w:t>
      </w:r>
      <w:r w:rsidR="00F428AA">
        <w:rPr>
          <w:rFonts w:ascii="Brill" w:hAnsi="Brill"/>
          <w:color w:val="222222"/>
          <w:lang w:val="en-US"/>
        </w:rPr>
        <w:t>Beiruth 1998, 2 -101</w:t>
      </w:r>
    </w:p>
    <w:bookmarkEnd w:id="2"/>
    <w:bookmarkEnd w:id="3"/>
    <w:p w:rsidR="00783A2D" w:rsidRDefault="00F428AA" w:rsidP="00783A2D">
      <w:pPr>
        <w:pStyle w:val="bibl"/>
        <w:spacing w:after="240"/>
        <w:rPr>
          <w:rFonts w:ascii="Brill" w:hAnsi="Brill"/>
          <w:color w:val="222222"/>
          <w:lang w:val="en-US"/>
        </w:rPr>
      </w:pPr>
      <w:r>
        <w:rPr>
          <w:rFonts w:ascii="Brill" w:hAnsi="Brill"/>
          <w:color w:val="222222"/>
          <w:lang w:val="en-US"/>
        </w:rPr>
        <w:t xml:space="preserve">Idris Bin Muhamad al-Alamî, </w:t>
      </w:r>
      <w:r w:rsidRPr="004C560D">
        <w:rPr>
          <w:rFonts w:ascii="Brill" w:hAnsi="Brill"/>
          <w:i/>
          <w:iCs/>
          <w:color w:val="222222"/>
          <w:lang w:val="en-US"/>
        </w:rPr>
        <w:t>Fiqh</w:t>
      </w:r>
      <w:bookmarkStart w:id="4" w:name="_Hlk536032614"/>
      <w:r w:rsidRPr="004C560D">
        <w:rPr>
          <w:rFonts w:ascii="Brill" w:hAnsi="Brill"/>
          <w:i/>
          <w:iCs/>
          <w:color w:val="222222"/>
          <w:lang w:val="en-US"/>
        </w:rPr>
        <w:t>ū</w:t>
      </w:r>
      <w:bookmarkEnd w:id="4"/>
      <w:r w:rsidRPr="004C560D">
        <w:rPr>
          <w:rFonts w:ascii="Brill" w:hAnsi="Brill"/>
          <w:i/>
          <w:iCs/>
          <w:color w:val="222222"/>
          <w:lang w:val="en-US"/>
        </w:rPr>
        <w:t xml:space="preserve"> Nawazil fi al-Gharb al-Islami</w:t>
      </w:r>
      <w:r>
        <w:rPr>
          <w:rFonts w:ascii="Brill" w:hAnsi="Brill"/>
          <w:color w:val="222222"/>
          <w:lang w:val="en-US"/>
        </w:rPr>
        <w:t>, Rabat, 2016, 104</w:t>
      </w:r>
    </w:p>
    <w:p w:rsidR="00F428AA" w:rsidRPr="00F428AA" w:rsidRDefault="00F428AA" w:rsidP="00F428AA">
      <w:pPr>
        <w:pStyle w:val="bibl"/>
        <w:spacing w:after="240"/>
        <w:rPr>
          <w:rFonts w:ascii="Brill" w:hAnsi="Brill"/>
          <w:color w:val="222222"/>
          <w:lang w:val="en-US"/>
        </w:rPr>
      </w:pPr>
      <w:r w:rsidRPr="00F428AA">
        <w:rPr>
          <w:rFonts w:ascii="Brill" w:hAnsi="Brill"/>
          <w:color w:val="222222"/>
          <w:lang w:val="en-US"/>
        </w:rPr>
        <w:t>Judicial pluralism under the “Berber empires” (last quarter of the 11th century C.E. – first half of the 13th century C.E.)</w:t>
      </w:r>
      <w:r>
        <w:rPr>
          <w:rFonts w:ascii="Brill" w:hAnsi="Brill"/>
          <w:color w:val="222222"/>
          <w:lang w:val="en-US"/>
        </w:rPr>
        <w:t xml:space="preserve">, Elise Voguet, </w:t>
      </w:r>
      <w:r w:rsidRPr="00F428AA">
        <w:rPr>
          <w:rFonts w:ascii="Brill" w:hAnsi="Brill"/>
          <w:color w:val="222222"/>
          <w:lang w:val="en-US"/>
        </w:rPr>
        <w:t>Bulletin d’études orientales 2015/1 (Tome LXIII)</w:t>
      </w:r>
    </w:p>
    <w:p w:rsidR="00F428AA" w:rsidRPr="00F428AA" w:rsidRDefault="00F428AA" w:rsidP="00F428AA">
      <w:pPr>
        <w:pStyle w:val="bibl"/>
        <w:spacing w:after="240"/>
        <w:rPr>
          <w:rFonts w:ascii="Brill" w:hAnsi="Brill"/>
          <w:color w:val="222222"/>
        </w:rPr>
      </w:pPr>
      <w:r w:rsidRPr="00F428AA">
        <w:rPr>
          <w:rFonts w:ascii="Brill" w:hAnsi="Brill"/>
          <w:color w:val="222222"/>
        </w:rPr>
        <w:t>Le pluralisme judiciaire en Occident musulman médiéval et la place du cadi dans l’organisation judiciaire</w:t>
      </w:r>
      <w:r>
        <w:rPr>
          <w:rFonts w:ascii="Brill" w:hAnsi="Brill"/>
          <w:color w:val="222222"/>
        </w:rPr>
        <w:t xml:space="preserve"> </w:t>
      </w:r>
      <w:r w:rsidRPr="00F428AA">
        <w:rPr>
          <w:rFonts w:ascii="Brill" w:hAnsi="Brill"/>
          <w:color w:val="222222"/>
        </w:rPr>
        <w:t>Dans Bulletin d’études orientales 2015/1 (Tome LXIII)</w:t>
      </w:r>
    </w:p>
    <w:p w:rsidR="006A0119" w:rsidRPr="00F428AA" w:rsidRDefault="00D2021F" w:rsidP="006A0119">
      <w:pPr>
        <w:jc w:val="both"/>
        <w:rPr>
          <w:rFonts w:ascii="Arial" w:eastAsia="Times New Roman" w:hAnsi="Arial" w:cs="Arial"/>
          <w:color w:val="000000"/>
          <w:sz w:val="20"/>
          <w:szCs w:val="20"/>
          <w:lang w:eastAsia="fr-FR"/>
        </w:rPr>
      </w:pPr>
      <w:r w:rsidRPr="00F428AA">
        <w:rPr>
          <w:rFonts w:ascii="Arial" w:eastAsia="Times New Roman" w:hAnsi="Arial" w:cs="Arial"/>
          <w:color w:val="000000"/>
          <w:sz w:val="20"/>
          <w:szCs w:val="20"/>
          <w:lang w:eastAsia="fr-FR"/>
        </w:rPr>
        <w:t xml:space="preserve"> </w:t>
      </w:r>
    </w:p>
    <w:sectPr w:rsidR="006A0119" w:rsidRPr="00F428AA" w:rsidSect="007A6C6C">
      <w:footerReference w:type="default" r:id="rId10"/>
      <w:pgSz w:w="11906" w:h="16838"/>
      <w:pgMar w:top="1417" w:right="1417" w:bottom="1417" w:left="1417" w:header="708" w:footer="227"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803F6" w:rsidRDefault="003803F6" w:rsidP="00D71E6D">
      <w:pPr>
        <w:spacing w:after="0" w:line="240" w:lineRule="auto"/>
      </w:pPr>
      <w:r>
        <w:separator/>
      </w:r>
    </w:p>
  </w:endnote>
  <w:endnote w:type="continuationSeparator" w:id="0">
    <w:p w:rsidR="003803F6" w:rsidRDefault="003803F6" w:rsidP="00D71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Historic">
    <w:panose1 w:val="020B0502040204020203"/>
    <w:charset w:val="00"/>
    <w:family w:val="swiss"/>
    <w:pitch w:val="variable"/>
    <w:sig w:usb0="800001EF" w:usb1="02000002" w:usb2="0060C080" w:usb3="00000000" w:csb0="00000001" w:csb1="00000000"/>
  </w:font>
  <w:font w:name="Times Dot">
    <w:altName w:val="Times New Roman"/>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 w:name="Brill">
    <w:altName w:val="Cambria"/>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78602572"/>
      <w:docPartObj>
        <w:docPartGallery w:val="Page Numbers (Bottom of Page)"/>
        <w:docPartUnique/>
      </w:docPartObj>
    </w:sdtPr>
    <w:sdtEndPr/>
    <w:sdtContent>
      <w:p w:rsidR="00783A2D" w:rsidRDefault="00783A2D" w:rsidP="00783A2D">
        <w:pPr>
          <w:pStyle w:val="Pieddepage"/>
          <w:jc w:val="center"/>
          <w:rPr>
            <w:rFonts w:ascii="Tahoma" w:hAnsi="Tahoma" w:cs="Tahoma"/>
            <w:sz w:val="16"/>
            <w:szCs w:val="16"/>
            <w:lang w:val="en-US"/>
          </w:rPr>
        </w:pPr>
        <w:r w:rsidRPr="005021CE">
          <w:rPr>
            <w:rFonts w:ascii="Tahoma" w:hAnsi="Tahoma" w:cs="Tahoma"/>
            <w:sz w:val="16"/>
            <w:szCs w:val="16"/>
            <w:lang w:val="en-US"/>
          </w:rPr>
          <w:t>TRDL7064</w:t>
        </w:r>
        <w:r w:rsidRPr="00E42364">
          <w:rPr>
            <w:rFonts w:ascii="Tahoma" w:hAnsi="Tahoma" w:cs="Tahoma"/>
            <w:sz w:val="16"/>
            <w:szCs w:val="16"/>
            <w:lang w:val="en-US"/>
          </w:rPr>
          <w:t xml:space="preserve"> </w:t>
        </w:r>
        <w:r>
          <w:rPr>
            <w:rFonts w:ascii="Tahoma" w:hAnsi="Tahoma" w:cs="Tahoma"/>
            <w:sz w:val="16"/>
            <w:szCs w:val="16"/>
            <w:lang w:val="en-US"/>
          </w:rPr>
          <w:t>–</w:t>
        </w:r>
        <w:r w:rsidRPr="00E42364">
          <w:rPr>
            <w:rFonts w:ascii="Tahoma" w:hAnsi="Tahoma" w:cs="Tahoma"/>
            <w:sz w:val="16"/>
            <w:szCs w:val="16"/>
            <w:lang w:val="en-US"/>
          </w:rPr>
          <w:t xml:space="preserve"> Islam</w:t>
        </w:r>
        <w:r>
          <w:rPr>
            <w:rFonts w:ascii="Tahoma" w:hAnsi="Tahoma" w:cs="Tahoma"/>
            <w:sz w:val="16"/>
            <w:szCs w:val="16"/>
            <w:lang w:val="en-US"/>
          </w:rPr>
          <w:t>ic Law</w:t>
        </w:r>
      </w:p>
      <w:p w:rsidR="00C84ED5" w:rsidRPr="00783A2D" w:rsidRDefault="00C84ED5" w:rsidP="00783A2D">
        <w:pPr>
          <w:pStyle w:val="Pieddepage"/>
          <w:jc w:val="center"/>
          <w:rPr>
            <w:rFonts w:ascii="Tahoma" w:hAnsi="Tahoma" w:cs="Tahoma"/>
            <w:sz w:val="16"/>
            <w:szCs w:val="16"/>
            <w:lang w:val="en-US"/>
          </w:rPr>
        </w:pPr>
        <w:r w:rsidRPr="00783A2D">
          <w:rPr>
            <w:rFonts w:ascii="Tahoma" w:hAnsi="Tahoma" w:cs="Tahoma"/>
            <w:sz w:val="16"/>
            <w:szCs w:val="16"/>
            <w:lang w:val="en-US"/>
          </w:rPr>
          <w:t>Younes El Adly</w:t>
        </w:r>
      </w:p>
      <w:p w:rsidR="00C84ED5" w:rsidRPr="00783A2D" w:rsidRDefault="00C84ED5">
        <w:pPr>
          <w:pStyle w:val="Pieddepage"/>
          <w:jc w:val="right"/>
          <w:rPr>
            <w:lang w:val="en-US"/>
          </w:rPr>
        </w:pPr>
      </w:p>
      <w:p w:rsidR="00C84ED5" w:rsidRDefault="00C84ED5">
        <w:pPr>
          <w:pStyle w:val="Pieddepage"/>
          <w:jc w:val="right"/>
        </w:pPr>
        <w:r>
          <w:fldChar w:fldCharType="begin"/>
        </w:r>
        <w:r>
          <w:instrText>PAGE   \* MERGEFORMAT</w:instrText>
        </w:r>
        <w:r>
          <w:fldChar w:fldCharType="separate"/>
        </w:r>
        <w:r w:rsidR="00087963">
          <w:rPr>
            <w:noProof/>
          </w:rPr>
          <w:t>1</w:t>
        </w:r>
        <w:r>
          <w:fldChar w:fldCharType="end"/>
        </w:r>
      </w:p>
    </w:sdtContent>
  </w:sdt>
  <w:p w:rsidR="00C84ED5" w:rsidRPr="00D71E6D" w:rsidRDefault="00C84ED5" w:rsidP="00D71E6D">
    <w:pPr>
      <w:spacing w:after="0"/>
      <w:jc w:val="center"/>
      <w:rPr>
        <w:rFonts w:ascii="Tahoma" w:hAnsi="Tahoma" w:cs="Tahoma"/>
        <w:sz w:val="14"/>
        <w:szCs w:val="1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803F6" w:rsidRDefault="003803F6" w:rsidP="00D71E6D">
      <w:pPr>
        <w:spacing w:after="0" w:line="240" w:lineRule="auto"/>
      </w:pPr>
      <w:r>
        <w:separator/>
      </w:r>
    </w:p>
  </w:footnote>
  <w:footnote w:type="continuationSeparator" w:id="0">
    <w:p w:rsidR="003803F6" w:rsidRDefault="003803F6" w:rsidP="00D71E6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0873F9"/>
    <w:multiLevelType w:val="hybridMultilevel"/>
    <w:tmpl w:val="ABB246B0"/>
    <w:lvl w:ilvl="0" w:tplc="572CA6B2">
      <w:numFmt w:val="bullet"/>
      <w:lvlText w:val="-"/>
      <w:lvlJc w:val="left"/>
      <w:pPr>
        <w:ind w:left="720" w:hanging="360"/>
      </w:pPr>
      <w:rPr>
        <w:rFonts w:ascii="Georgia" w:eastAsia="Times New Roman" w:hAnsi="Georgia" w:cs="Times New Roman"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2BDB1F9E"/>
    <w:multiLevelType w:val="hybridMultilevel"/>
    <w:tmpl w:val="43463D70"/>
    <w:lvl w:ilvl="0" w:tplc="BBE619E8">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33C2622B"/>
    <w:multiLevelType w:val="hybridMultilevel"/>
    <w:tmpl w:val="0A7A2B68"/>
    <w:lvl w:ilvl="0" w:tplc="3C62C3E0">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 w15:restartNumberingAfterBreak="0">
    <w:nsid w:val="453A01F4"/>
    <w:multiLevelType w:val="hybridMultilevel"/>
    <w:tmpl w:val="D7600E42"/>
    <w:lvl w:ilvl="0" w:tplc="6DBE7ACE">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15:restartNumberingAfterBreak="0">
    <w:nsid w:val="61DC0EB9"/>
    <w:multiLevelType w:val="hybridMultilevel"/>
    <w:tmpl w:val="B1DA92C6"/>
    <w:lvl w:ilvl="0" w:tplc="2E3C3A22">
      <w:start w:val="1"/>
      <w:numFmt w:val="decimal"/>
      <w:lvlText w:val="%1."/>
      <w:lvlJc w:val="left"/>
      <w:pPr>
        <w:ind w:left="1065" w:hanging="705"/>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5" w15:restartNumberingAfterBreak="0">
    <w:nsid w:val="6E00380A"/>
    <w:multiLevelType w:val="hybridMultilevel"/>
    <w:tmpl w:val="CA3CDAAE"/>
    <w:lvl w:ilvl="0" w:tplc="49A83B5C">
      <w:start w:val="1"/>
      <w:numFmt w:val="decimal"/>
      <w:lvlText w:val="%1-"/>
      <w:lvlJc w:val="left"/>
      <w:pPr>
        <w:ind w:left="720" w:hanging="360"/>
      </w:pPr>
      <w:rPr>
        <w:rFonts w:hint="default"/>
      </w:rPr>
    </w:lvl>
    <w:lvl w:ilvl="1" w:tplc="040C0019">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4"/>
  </w:num>
  <w:num w:numId="2">
    <w:abstractNumId w:val="5"/>
  </w:num>
  <w:num w:numId="3">
    <w:abstractNumId w:val="1"/>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ar-SA" w:vendorID="64" w:dllVersion="6" w:nlCheck="1" w:checkStyle="0"/>
  <w:activeWritingStyle w:appName="MSWord" w:lang="en-US" w:vendorID="64" w:dllVersion="6" w:nlCheck="1" w:checkStyle="1"/>
  <w:activeWritingStyle w:appName="MSWord" w:lang="fr-FR" w:vendorID="64" w:dllVersion="6" w:nlCheck="1" w:checkStyle="1"/>
  <w:activeWritingStyle w:appName="MSWord" w:lang="en-US" w:vendorID="64" w:dllVersion="0" w:nlCheck="1" w:checkStyle="0"/>
  <w:activeWritingStyle w:appName="MSWord" w:lang="fr-FR" w:vendorID="64" w:dllVersion="0" w:nlCheck="1" w:checkStyle="0"/>
  <w:activeWritingStyle w:appName="MSWord" w:lang="ar-SA" w:vendorID="64" w:dllVersion="0" w:nlCheck="1" w:checkStyle="0"/>
  <w:activeWritingStyle w:appName="MSWord" w:lang="en-US" w:vendorID="64" w:dllVersion="131078" w:nlCheck="1" w:checkStyle="1"/>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039B"/>
    <w:rsid w:val="00020EB3"/>
    <w:rsid w:val="000405EB"/>
    <w:rsid w:val="00057EB0"/>
    <w:rsid w:val="000634B8"/>
    <w:rsid w:val="00066F3B"/>
    <w:rsid w:val="00087963"/>
    <w:rsid w:val="000B350D"/>
    <w:rsid w:val="000D5E0B"/>
    <w:rsid w:val="00105304"/>
    <w:rsid w:val="00126F0F"/>
    <w:rsid w:val="0015404C"/>
    <w:rsid w:val="001562C8"/>
    <w:rsid w:val="00194567"/>
    <w:rsid w:val="001B372E"/>
    <w:rsid w:val="001B6662"/>
    <w:rsid w:val="001C2B31"/>
    <w:rsid w:val="001C6D19"/>
    <w:rsid w:val="0021257B"/>
    <w:rsid w:val="0023502F"/>
    <w:rsid w:val="002646B2"/>
    <w:rsid w:val="00276EB3"/>
    <w:rsid w:val="002D4D21"/>
    <w:rsid w:val="002E1670"/>
    <w:rsid w:val="00300F39"/>
    <w:rsid w:val="003104D8"/>
    <w:rsid w:val="0032602D"/>
    <w:rsid w:val="00326E0B"/>
    <w:rsid w:val="0036500B"/>
    <w:rsid w:val="003803F6"/>
    <w:rsid w:val="00396D86"/>
    <w:rsid w:val="003A4563"/>
    <w:rsid w:val="003C1A33"/>
    <w:rsid w:val="003C397A"/>
    <w:rsid w:val="003C5E19"/>
    <w:rsid w:val="003D3433"/>
    <w:rsid w:val="003F4BED"/>
    <w:rsid w:val="003F76C8"/>
    <w:rsid w:val="00454362"/>
    <w:rsid w:val="0046635C"/>
    <w:rsid w:val="00473D33"/>
    <w:rsid w:val="004B34EC"/>
    <w:rsid w:val="004C511E"/>
    <w:rsid w:val="004C560D"/>
    <w:rsid w:val="004F5C52"/>
    <w:rsid w:val="00516A2B"/>
    <w:rsid w:val="00534137"/>
    <w:rsid w:val="005456C7"/>
    <w:rsid w:val="00565094"/>
    <w:rsid w:val="0058371D"/>
    <w:rsid w:val="00590D5F"/>
    <w:rsid w:val="005D4190"/>
    <w:rsid w:val="005E4D58"/>
    <w:rsid w:val="005F118A"/>
    <w:rsid w:val="00612578"/>
    <w:rsid w:val="00630935"/>
    <w:rsid w:val="0063260C"/>
    <w:rsid w:val="006A0119"/>
    <w:rsid w:val="006E4228"/>
    <w:rsid w:val="00700927"/>
    <w:rsid w:val="007101B1"/>
    <w:rsid w:val="00783A2D"/>
    <w:rsid w:val="00792E11"/>
    <w:rsid w:val="007A6C6C"/>
    <w:rsid w:val="008076EA"/>
    <w:rsid w:val="00831BE8"/>
    <w:rsid w:val="0085455C"/>
    <w:rsid w:val="00855746"/>
    <w:rsid w:val="00882408"/>
    <w:rsid w:val="00894153"/>
    <w:rsid w:val="00932499"/>
    <w:rsid w:val="00933893"/>
    <w:rsid w:val="00937C6E"/>
    <w:rsid w:val="00977BA9"/>
    <w:rsid w:val="009C0F2B"/>
    <w:rsid w:val="009D2622"/>
    <w:rsid w:val="009F5FC5"/>
    <w:rsid w:val="00A27364"/>
    <w:rsid w:val="00A33118"/>
    <w:rsid w:val="00A524FD"/>
    <w:rsid w:val="00A665D8"/>
    <w:rsid w:val="00A77FB3"/>
    <w:rsid w:val="00A93647"/>
    <w:rsid w:val="00B0039B"/>
    <w:rsid w:val="00B1539C"/>
    <w:rsid w:val="00B17619"/>
    <w:rsid w:val="00B47C80"/>
    <w:rsid w:val="00B70A94"/>
    <w:rsid w:val="00B974D1"/>
    <w:rsid w:val="00BA3F46"/>
    <w:rsid w:val="00BD4D63"/>
    <w:rsid w:val="00BF39A4"/>
    <w:rsid w:val="00C0366F"/>
    <w:rsid w:val="00C06551"/>
    <w:rsid w:val="00C20BEF"/>
    <w:rsid w:val="00C45D98"/>
    <w:rsid w:val="00C4778A"/>
    <w:rsid w:val="00C50E57"/>
    <w:rsid w:val="00C63C65"/>
    <w:rsid w:val="00C67009"/>
    <w:rsid w:val="00C84E6F"/>
    <w:rsid w:val="00C84ED5"/>
    <w:rsid w:val="00C95FBA"/>
    <w:rsid w:val="00CA31E6"/>
    <w:rsid w:val="00CA57D7"/>
    <w:rsid w:val="00CB74D6"/>
    <w:rsid w:val="00CD441D"/>
    <w:rsid w:val="00D2021F"/>
    <w:rsid w:val="00D2448A"/>
    <w:rsid w:val="00D2592C"/>
    <w:rsid w:val="00D71E6D"/>
    <w:rsid w:val="00D84977"/>
    <w:rsid w:val="00DB4E8A"/>
    <w:rsid w:val="00DF3595"/>
    <w:rsid w:val="00E16600"/>
    <w:rsid w:val="00E228BB"/>
    <w:rsid w:val="00E42364"/>
    <w:rsid w:val="00E47E51"/>
    <w:rsid w:val="00E65C12"/>
    <w:rsid w:val="00E75FBF"/>
    <w:rsid w:val="00E832FD"/>
    <w:rsid w:val="00EE01DE"/>
    <w:rsid w:val="00F256A5"/>
    <w:rsid w:val="00F374F8"/>
    <w:rsid w:val="00F428AA"/>
    <w:rsid w:val="00F50B9B"/>
    <w:rsid w:val="00F639BD"/>
    <w:rsid w:val="00F730E9"/>
    <w:rsid w:val="00F80188"/>
    <w:rsid w:val="00F90ECC"/>
    <w:rsid w:val="00F94DA1"/>
    <w:rsid w:val="00F955EC"/>
    <w:rsid w:val="00FC3BEB"/>
  </w:rsids>
  <m:mathPr>
    <m:mathFont m:val="Cambria Math"/>
    <m:brkBin m:val="before"/>
    <m:brkBinSub m:val="--"/>
    <m:smallFrac m:val="0"/>
    <m:dispDef/>
    <m:lMargin m:val="0"/>
    <m:rMargin m:val="0"/>
    <m:defJc m:val="centerGroup"/>
    <m:wrapIndent m:val="1440"/>
    <m:intLim m:val="subSup"/>
    <m:naryLim m:val="undOvr"/>
  </m:mathPr>
  <w:themeFontLang w:val="fr-FR"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538C3CEE-AF0C-42BE-808E-314E35623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re1">
    <w:name w:val="heading 1"/>
    <w:basedOn w:val="Normal"/>
    <w:link w:val="Titre1Car"/>
    <w:uiPriority w:val="9"/>
    <w:qFormat/>
    <w:rsid w:val="00590D5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fr-FR"/>
    </w:rPr>
  </w:style>
  <w:style w:type="paragraph" w:styleId="Titre2">
    <w:name w:val="heading 2"/>
    <w:basedOn w:val="Normal"/>
    <w:next w:val="Normal"/>
    <w:link w:val="Titre2Car"/>
    <w:uiPriority w:val="9"/>
    <w:semiHidden/>
    <w:unhideWhenUsed/>
    <w:qFormat/>
    <w:rsid w:val="00783A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B0039B"/>
    <w:rPr>
      <w:color w:val="0563C1" w:themeColor="hyperlink"/>
      <w:u w:val="single"/>
    </w:rPr>
  </w:style>
  <w:style w:type="character" w:customStyle="1" w:styleId="Mentionnonrsolue1">
    <w:name w:val="Mention non résolue1"/>
    <w:basedOn w:val="Policepardfaut"/>
    <w:uiPriority w:val="99"/>
    <w:semiHidden/>
    <w:unhideWhenUsed/>
    <w:rsid w:val="00B0039B"/>
    <w:rPr>
      <w:color w:val="605E5C"/>
      <w:shd w:val="clear" w:color="auto" w:fill="E1DFDD"/>
    </w:rPr>
  </w:style>
  <w:style w:type="paragraph" w:styleId="Paragraphedeliste">
    <w:name w:val="List Paragraph"/>
    <w:basedOn w:val="Normal"/>
    <w:uiPriority w:val="34"/>
    <w:qFormat/>
    <w:rsid w:val="00B17619"/>
    <w:pPr>
      <w:ind w:left="720"/>
      <w:contextualSpacing/>
    </w:pPr>
  </w:style>
  <w:style w:type="paragraph" w:styleId="En-tte">
    <w:name w:val="header"/>
    <w:basedOn w:val="Normal"/>
    <w:link w:val="En-tteCar"/>
    <w:uiPriority w:val="99"/>
    <w:unhideWhenUsed/>
    <w:rsid w:val="00D71E6D"/>
    <w:pPr>
      <w:tabs>
        <w:tab w:val="center" w:pos="4536"/>
        <w:tab w:val="right" w:pos="9072"/>
      </w:tabs>
      <w:spacing w:after="0" w:line="240" w:lineRule="auto"/>
    </w:pPr>
  </w:style>
  <w:style w:type="character" w:customStyle="1" w:styleId="En-tteCar">
    <w:name w:val="En-tête Car"/>
    <w:basedOn w:val="Policepardfaut"/>
    <w:link w:val="En-tte"/>
    <w:uiPriority w:val="99"/>
    <w:rsid w:val="00D71E6D"/>
  </w:style>
  <w:style w:type="paragraph" w:styleId="Pieddepage">
    <w:name w:val="footer"/>
    <w:basedOn w:val="Normal"/>
    <w:link w:val="PieddepageCar"/>
    <w:uiPriority w:val="99"/>
    <w:unhideWhenUsed/>
    <w:rsid w:val="00D71E6D"/>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D71E6D"/>
  </w:style>
  <w:style w:type="paragraph" w:styleId="Notedebasdepage">
    <w:name w:val="footnote text"/>
    <w:basedOn w:val="Normal"/>
    <w:link w:val="NotedebasdepageCar"/>
    <w:uiPriority w:val="99"/>
    <w:unhideWhenUsed/>
    <w:rsid w:val="00C06551"/>
    <w:pPr>
      <w:spacing w:after="0" w:line="240" w:lineRule="auto"/>
    </w:pPr>
    <w:rPr>
      <w:sz w:val="20"/>
      <w:szCs w:val="20"/>
    </w:rPr>
  </w:style>
  <w:style w:type="character" w:customStyle="1" w:styleId="NotedebasdepageCar">
    <w:name w:val="Note de bas de page Car"/>
    <w:basedOn w:val="Policepardfaut"/>
    <w:link w:val="Notedebasdepage"/>
    <w:uiPriority w:val="99"/>
    <w:rsid w:val="00C06551"/>
    <w:rPr>
      <w:sz w:val="20"/>
      <w:szCs w:val="20"/>
    </w:rPr>
  </w:style>
  <w:style w:type="character" w:styleId="Appelnotedebasdep">
    <w:name w:val="footnote reference"/>
    <w:basedOn w:val="Policepardfaut"/>
    <w:uiPriority w:val="99"/>
    <w:semiHidden/>
    <w:unhideWhenUsed/>
    <w:rsid w:val="00C06551"/>
    <w:rPr>
      <w:vertAlign w:val="superscript"/>
    </w:rPr>
  </w:style>
  <w:style w:type="character" w:customStyle="1" w:styleId="Titre1Car">
    <w:name w:val="Titre 1 Car"/>
    <w:basedOn w:val="Policepardfaut"/>
    <w:link w:val="Titre1"/>
    <w:uiPriority w:val="9"/>
    <w:rsid w:val="00590D5F"/>
    <w:rPr>
      <w:rFonts w:ascii="Times New Roman" w:eastAsia="Times New Roman" w:hAnsi="Times New Roman" w:cs="Times New Roman"/>
      <w:b/>
      <w:bCs/>
      <w:kern w:val="36"/>
      <w:sz w:val="48"/>
      <w:szCs w:val="48"/>
      <w:lang w:eastAsia="fr-FR"/>
    </w:rPr>
  </w:style>
  <w:style w:type="character" w:customStyle="1" w:styleId="addmd">
    <w:name w:val="addmd"/>
    <w:basedOn w:val="Policepardfaut"/>
    <w:rsid w:val="00590D5F"/>
  </w:style>
  <w:style w:type="character" w:customStyle="1" w:styleId="Titre2Car">
    <w:name w:val="Titre 2 Car"/>
    <w:basedOn w:val="Policepardfaut"/>
    <w:link w:val="Titre2"/>
    <w:uiPriority w:val="9"/>
    <w:semiHidden/>
    <w:rsid w:val="00783A2D"/>
    <w:rPr>
      <w:rFonts w:asciiTheme="majorHAnsi" w:eastAsiaTheme="majorEastAsia" w:hAnsiTheme="majorHAnsi" w:cstheme="majorBidi"/>
      <w:color w:val="2F5496" w:themeColor="accent1" w:themeShade="BF"/>
      <w:sz w:val="26"/>
      <w:szCs w:val="26"/>
    </w:rPr>
  </w:style>
  <w:style w:type="character" w:customStyle="1" w:styleId="metrics">
    <w:name w:val="metrics"/>
    <w:basedOn w:val="Policepardfaut"/>
    <w:rsid w:val="00783A2D"/>
  </w:style>
  <w:style w:type="paragraph" w:customStyle="1" w:styleId="sumpara">
    <w:name w:val="sumpara"/>
    <w:basedOn w:val="Normal"/>
    <w:rsid w:val="00783A2D"/>
    <w:pPr>
      <w:spacing w:before="100" w:beforeAutospacing="1" w:after="100" w:afterAutospacing="1" w:line="240" w:lineRule="auto"/>
    </w:pPr>
    <w:rPr>
      <w:rFonts w:ascii="Times New Roman" w:eastAsia="Times New Roman" w:hAnsi="Times New Roman" w:cs="Times New Roman"/>
      <w:sz w:val="24"/>
      <w:szCs w:val="24"/>
      <w:lang w:eastAsia="fr-FR"/>
    </w:rPr>
  </w:style>
  <w:style w:type="paragraph" w:customStyle="1" w:styleId="byline">
    <w:name w:val="byline"/>
    <w:basedOn w:val="Normal"/>
    <w:rsid w:val="00783A2D"/>
    <w:pPr>
      <w:spacing w:before="100" w:beforeAutospacing="1" w:after="100" w:afterAutospacing="1" w:line="240" w:lineRule="auto"/>
    </w:pPr>
    <w:rPr>
      <w:rFonts w:ascii="Times New Roman" w:eastAsia="Times New Roman" w:hAnsi="Times New Roman" w:cs="Times New Roman"/>
      <w:sz w:val="24"/>
      <w:szCs w:val="24"/>
      <w:lang w:eastAsia="fr-FR"/>
    </w:rPr>
  </w:style>
  <w:style w:type="paragraph" w:customStyle="1" w:styleId="bibl">
    <w:name w:val="bibl"/>
    <w:basedOn w:val="Normal"/>
    <w:rsid w:val="00783A2D"/>
    <w:pPr>
      <w:spacing w:before="100" w:beforeAutospacing="1" w:after="100" w:afterAutospacing="1" w:line="240" w:lineRule="auto"/>
    </w:pPr>
    <w:rPr>
      <w:rFonts w:ascii="Times New Roman" w:eastAsia="Times New Roman" w:hAnsi="Times New Roman" w:cs="Times New Roman"/>
      <w:sz w:val="24"/>
      <w:szCs w:val="24"/>
      <w:lang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2887856">
      <w:bodyDiv w:val="1"/>
      <w:marLeft w:val="0"/>
      <w:marRight w:val="0"/>
      <w:marTop w:val="0"/>
      <w:marBottom w:val="0"/>
      <w:divBdr>
        <w:top w:val="none" w:sz="0" w:space="0" w:color="auto"/>
        <w:left w:val="none" w:sz="0" w:space="0" w:color="auto"/>
        <w:bottom w:val="none" w:sz="0" w:space="0" w:color="auto"/>
        <w:right w:val="none" w:sz="0" w:space="0" w:color="auto"/>
      </w:divBdr>
    </w:div>
    <w:div w:id="2118523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1809714@student.uwtsd.ac.uk"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8F35BE-6023-44E3-8517-E16BC7192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D81FC703</Template>
  <TotalTime>0</TotalTime>
  <Pages>3</Pages>
  <Words>582</Words>
  <Characters>3323</Characters>
  <Application>Microsoft Office Word</Application>
  <DocSecurity>0</DocSecurity>
  <Lines>27</Lines>
  <Paragraphs>7</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3898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younes youyou</dc:creator>
  <cp:keywords/>
  <dc:description/>
  <cp:lastModifiedBy>HAMDADOU Ines (G729933)</cp:lastModifiedBy>
  <cp:revision>2</cp:revision>
  <dcterms:created xsi:type="dcterms:W3CDTF">2019-01-24T10:05:00Z</dcterms:created>
  <dcterms:modified xsi:type="dcterms:W3CDTF">2019-01-24T10:05:00Z</dcterms:modified>
</cp:coreProperties>
</file>