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C2ABF" w14:textId="77777777" w:rsidR="00E93B6B" w:rsidRPr="00D06BAC" w:rsidRDefault="00E93B6B" w:rsidP="00D06BAC">
      <w:pPr>
        <w:spacing w:before="4000" w:line="360" w:lineRule="auto"/>
      </w:pPr>
    </w:p>
    <w:p w14:paraId="2140E291" w14:textId="77777777" w:rsidR="00E93B6B" w:rsidRPr="00D06BAC" w:rsidRDefault="00000000" w:rsidP="00D06BAC">
      <w:pPr>
        <w:spacing w:after="200" w:line="360" w:lineRule="auto"/>
        <w:jc w:val="center"/>
      </w:pPr>
      <w:r w:rsidRPr="00D06BAC">
        <w:rPr>
          <w:b/>
          <w:bCs/>
          <w:sz w:val="40"/>
          <w:szCs w:val="40"/>
        </w:rPr>
        <w:t>Sentiment Analysis Using Transformer-Based</w:t>
      </w:r>
    </w:p>
    <w:p w14:paraId="51408DD8" w14:textId="77777777" w:rsidR="00E93B6B" w:rsidRPr="00D06BAC" w:rsidRDefault="00000000" w:rsidP="00D06BAC">
      <w:pPr>
        <w:spacing w:after="400" w:line="360" w:lineRule="auto"/>
        <w:jc w:val="center"/>
      </w:pPr>
      <w:r w:rsidRPr="00D06BAC">
        <w:rPr>
          <w:b/>
          <w:bCs/>
          <w:sz w:val="40"/>
          <w:szCs w:val="40"/>
        </w:rPr>
        <w:t>Language Models</w:t>
      </w:r>
    </w:p>
    <w:p w14:paraId="348E8803" w14:textId="77777777" w:rsidR="00E93B6B" w:rsidRPr="00D06BAC" w:rsidRDefault="00000000" w:rsidP="00D06BAC">
      <w:pPr>
        <w:spacing w:after="200" w:line="360" w:lineRule="auto"/>
        <w:jc w:val="center"/>
      </w:pPr>
      <w:r w:rsidRPr="00D06BAC">
        <w:rPr>
          <w:i/>
          <w:iCs/>
          <w:sz w:val="26"/>
          <w:szCs w:val="26"/>
        </w:rPr>
        <w:t>A Comparative Study of Traditional and Deep Learning Approaches</w:t>
      </w:r>
    </w:p>
    <w:p w14:paraId="5B04AE2F" w14:textId="77777777" w:rsidR="00E93B6B" w:rsidRPr="00D06BAC" w:rsidRDefault="00E93B6B" w:rsidP="00D06BAC">
      <w:pPr>
        <w:spacing w:before="600" w:line="360" w:lineRule="auto"/>
      </w:pPr>
    </w:p>
    <w:p w14:paraId="0484A3BA" w14:textId="77777777" w:rsidR="00D80983" w:rsidRPr="00D06BAC" w:rsidRDefault="00D80983" w:rsidP="00D06BAC">
      <w:pPr>
        <w:spacing w:line="360" w:lineRule="auto"/>
        <w:rPr>
          <w:b/>
          <w:bCs/>
          <w:sz w:val="28"/>
          <w:szCs w:val="28"/>
        </w:rPr>
      </w:pPr>
      <w:r w:rsidRPr="00D06BAC">
        <w:br w:type="page"/>
      </w:r>
    </w:p>
    <w:p w14:paraId="76A5ABD9" w14:textId="0D049995" w:rsidR="00E93B6B" w:rsidRPr="00D06BAC" w:rsidRDefault="00000000" w:rsidP="00D06BAC">
      <w:pPr>
        <w:pStyle w:val="Heading1"/>
        <w:spacing w:line="360" w:lineRule="auto"/>
        <w:rPr>
          <w:color w:val="auto"/>
        </w:rPr>
      </w:pPr>
      <w:r w:rsidRPr="00D06BAC">
        <w:rPr>
          <w:color w:val="auto"/>
        </w:rPr>
        <w:lastRenderedPageBreak/>
        <w:t>Abstract</w:t>
      </w:r>
    </w:p>
    <w:p w14:paraId="4CBE944D" w14:textId="717D0757" w:rsidR="00E93B6B" w:rsidRPr="00D06BAC" w:rsidRDefault="004F4055" w:rsidP="00D06BAC">
      <w:pPr>
        <w:spacing w:after="200" w:line="360" w:lineRule="auto"/>
        <w:jc w:val="both"/>
      </w:pPr>
      <w:r w:rsidRPr="00D06BAC">
        <w:t>In this report, a traditional machine learning pipeline and a modern transformer-based deep learning model are compared with each other based on the sentiment classification of movie reviews using artificial intelligence. The authors of the study use the IMDB Reviews data set consisting of 50,000 labelled reviews and create two different models: the Term Frequency-Inverse Document Frequency (TF-IDF) vectorisation with Logistic Regression and a fine-tuned DistilBERT transformer model. The experimental results indicate that the DistilBERT model results in an F1- score of 0.9107, which is a 1.87 percentage point higher than the Logistic Regression baseline of 0.8920 when tested on a general test set. Analysis of interpretability through SHAP values and attention weight visualisation shows internal differences in the process of making each architecture arrive at its predictions. The traditional model has straightforward, coefficients-based descriptions, and transformer represents more contextual semantics at the expense of diminished explanations. The practical suggestions are made regarding the implementation of the sentiment analysis systems, finding the balance between the accuracy, computational cost, and the transparency demands.</w:t>
      </w:r>
    </w:p>
    <w:p w14:paraId="464C1A2D" w14:textId="77777777" w:rsidR="00E93B6B" w:rsidRPr="00D06BAC" w:rsidRDefault="00000000" w:rsidP="00D06BAC">
      <w:pPr>
        <w:spacing w:line="360" w:lineRule="auto"/>
      </w:pPr>
      <w:r w:rsidRPr="00D06BAC">
        <w:br w:type="page"/>
      </w:r>
    </w:p>
    <w:p w14:paraId="7094FFC5" w14:textId="77777777" w:rsidR="00E93B6B" w:rsidRPr="00D06BAC" w:rsidRDefault="00000000" w:rsidP="00D06BAC">
      <w:pPr>
        <w:pStyle w:val="Heading1"/>
        <w:spacing w:line="360" w:lineRule="auto"/>
        <w:rPr>
          <w:color w:val="auto"/>
        </w:rPr>
      </w:pPr>
      <w:r w:rsidRPr="00D06BAC">
        <w:rPr>
          <w:color w:val="auto"/>
        </w:rPr>
        <w:lastRenderedPageBreak/>
        <w:t>1. Introduction and Problem Statement</w:t>
      </w:r>
    </w:p>
    <w:p w14:paraId="1B97B7F5" w14:textId="77777777" w:rsidR="004F4055" w:rsidRPr="00D06BAC" w:rsidRDefault="004F4055" w:rsidP="00D06BAC">
      <w:pPr>
        <w:spacing w:after="200" w:line="360" w:lineRule="auto"/>
        <w:jc w:val="both"/>
      </w:pPr>
      <w:r w:rsidRPr="00D06BAC">
        <w:t>Sentiment analysis, the process of recognizing subjective opinion in text using computation, has become an essential part of the contemporary artificial intelligence use in commerce, governance, and the health of people (Wankhade, Rao and Kulkarni, 2022, p. 2). With an increased use of digital tools in the interaction with customers, the possibility to automatically determine the positive or negative sentiment of textual information allows monitoring the overall opinion of the masses, which cannot be done by hours of analysis history.</w:t>
      </w:r>
    </w:p>
    <w:p w14:paraId="2678FB5C" w14:textId="77777777" w:rsidR="004F4055" w:rsidRPr="00D06BAC" w:rsidRDefault="004F4055" w:rsidP="00D06BAC">
      <w:pPr>
        <w:spacing w:after="200" w:line="360" w:lineRule="auto"/>
        <w:jc w:val="both"/>
      </w:pPr>
      <w:r w:rsidRPr="00D06BAC">
        <w:t>Conventional methods of classifying sentiments have generally been based on hand-written feature extraction algorithms like TF-IDF coupled with linear feature classifiers like the Logistic Regression classifier and the Support Vector machine. Although they are computationally efficient and interpretable, these approaches view text as an unstructured set of words and thus they do not consider word sequence, context, and distant interdependence (Yadav and Vishwakarma, 2020, p. 4). Transformer architectures and especially Bidirectional Encoder Representations from Transformers (BERT) have offered a solid basis that has dramatically changed the natural language processing landscape by including self-attention mechanisms that encode two-way context cultural connections among tokens (Vaswani et al., 2023, p. 3).</w:t>
      </w:r>
    </w:p>
    <w:p w14:paraId="542F4239" w14:textId="0A4FCB99" w:rsidR="00E93B6B" w:rsidRPr="00D06BAC" w:rsidRDefault="004F4055" w:rsidP="00D06BAC">
      <w:pPr>
        <w:spacing w:after="200" w:line="360" w:lineRule="auto"/>
        <w:jc w:val="both"/>
      </w:pPr>
      <w:r w:rsidRPr="00D06BAC">
        <w:t>The understanding that is discussed in this report is whether there is any meaningful improvement in performance of transformer-based models over traditional machine learning methods in binary sentiment classification at what cost in terms of computation power and understanding. The following are the objectives of the study: to preprocessing and prepare the IMDB Reviews dataset to the two modelling paradigms; to implement and optimize a TF-IDF with Logistic Regression model and a fine-tuned DistilBERT model; to evaluate and compare the models based on standard classification metrics; to interpret the model related to SHAP values and attention visualisation; and to draw the possible recommendations related to the deployment of sentiment analysis systems.</w:t>
      </w:r>
    </w:p>
    <w:p w14:paraId="340C69A3" w14:textId="77777777" w:rsidR="00E93B6B" w:rsidRPr="00D06BAC" w:rsidRDefault="00000000" w:rsidP="00D06BAC">
      <w:pPr>
        <w:pStyle w:val="Heading1"/>
        <w:spacing w:line="360" w:lineRule="auto"/>
        <w:rPr>
          <w:color w:val="auto"/>
        </w:rPr>
      </w:pPr>
      <w:r w:rsidRPr="00D06BAC">
        <w:rPr>
          <w:color w:val="auto"/>
        </w:rPr>
        <w:t>2. Related Work</w:t>
      </w:r>
    </w:p>
    <w:p w14:paraId="3912CA7D" w14:textId="77777777" w:rsidR="004F4055" w:rsidRPr="00D06BAC" w:rsidRDefault="004F4055" w:rsidP="00D06BAC">
      <w:pPr>
        <w:spacing w:after="200" w:line="360" w:lineRule="auto"/>
        <w:jc w:val="both"/>
      </w:pPr>
      <w:r w:rsidRPr="00D06BAC">
        <w:t xml:space="preserve">Sentiment analysis has adopted a significant level of methodological development over the last ten years. Wankhade, Rao and Kulkarni (2022, pp. 5-12) give an exhaustive overview of sentiment analysis algorithms, which point out that the classic machine learning algorithms, </w:t>
      </w:r>
      <w:r w:rsidRPr="00D06BAC">
        <w:lastRenderedPageBreak/>
        <w:t>like Naive Bayes, Logistic Regression, and SVM, played the traditional role of the foundation of text classification systems. Such methods generally use a bag-of-words or TF-IDF model, in which the documents are represented as sparse numeric vectors in terms of the frequency statistics of the terms. Although useful in most cases, these representations automatically lose sequential and context information.</w:t>
      </w:r>
    </w:p>
    <w:p w14:paraId="20EEF1C8" w14:textId="77777777" w:rsidR="004F4055" w:rsidRPr="00D06BAC" w:rsidRDefault="004F4055" w:rsidP="00D06BAC">
      <w:pPr>
        <w:spacing w:after="200" w:line="360" w:lineRule="auto"/>
        <w:jc w:val="both"/>
      </w:pPr>
      <w:r w:rsidRPr="00D06BAC">
        <w:t>The launch of the transformer architecture by Vaswani et al. (2023, pp. 1-5) changed the game changer of natural language processing. The self attention scheme allows models to assign importance of each of the tokens in a sequence with respect to all other tokens in that sequence and hence the depiction of both local and global reliance without duplication. this was extended by Bert which was proposed by Devlin et al. (2019, p. 2) whereby it trains bidirectionally on large corpora, enabling the use of large-scale corpora to achieve state-of-the-art in a wide range of NLP tasks. Later efforts by Sanh et al. (2020, pp. 1-4) proposed a DistilBERT, a distilled version of BERT with preserves more or less of its performance, but with its model size of 40 percent smaller and inference speed 60 percent faster, which is more resource-appropriate.</w:t>
      </w:r>
    </w:p>
    <w:p w14:paraId="09BE4D5E" w14:textId="77777777" w:rsidR="004F4055" w:rsidRPr="00D06BAC" w:rsidRDefault="004F4055" w:rsidP="00D06BAC">
      <w:pPr>
        <w:spacing w:after="200" w:line="360" w:lineRule="auto"/>
        <w:jc w:val="both"/>
      </w:pPr>
      <w:r w:rsidRPr="00D06BAC">
        <w:t>The latest comparison works have always shown that, sentiments analysis models based on transformer outperforms the traditional models. A comparison between BERT variants and traditional classifiers was made by Abas et al. (2022, pp. 8-10) and it was found that the accuracy of BERT variants outperformed traditional classifiers by far, especially with a negation, sarcasm, or complex syntax text. Speaking of interpretability, Jain and Wallace (2021, pp. 3-6) advised that attention weights do not always represent faithful interpretations of model predictions, which is why they should be used complemented with SHAP. Formalising SHAP Lundberg and Lee (2020, pp. 2-5) based SHAP on a single network of interpretability, based on cooperative game theory Shapley values.</w:t>
      </w:r>
    </w:p>
    <w:p w14:paraId="24F4559C" w14:textId="64AABC1A" w:rsidR="00E93B6B" w:rsidRPr="00D06BAC" w:rsidRDefault="004F4055" w:rsidP="00D06BAC">
      <w:pPr>
        <w:spacing w:after="200" w:line="360" w:lineRule="auto"/>
        <w:jc w:val="both"/>
      </w:pPr>
      <w:r w:rsidRPr="00D06BAC">
        <w:t>Maas et al. (2021, p. 1) dataset containing the IMDB Reviews data is one of the most popular ones as a benchmark in binary sentiment classification. It has 50,000 movie reviews divided by training and testing partitions in a balanced number of positive and negative categories. Its extensive use makes it easy to compare it with published baselines, as well as guarantees reproducibility of methods.</w:t>
      </w:r>
    </w:p>
    <w:p w14:paraId="4C84FAC4" w14:textId="77777777" w:rsidR="00E93B6B" w:rsidRPr="00D06BAC" w:rsidRDefault="00000000" w:rsidP="00D06BAC">
      <w:pPr>
        <w:pStyle w:val="Heading1"/>
        <w:spacing w:line="360" w:lineRule="auto"/>
        <w:rPr>
          <w:color w:val="auto"/>
        </w:rPr>
      </w:pPr>
      <w:r w:rsidRPr="00D06BAC">
        <w:rPr>
          <w:color w:val="auto"/>
        </w:rPr>
        <w:t>3. Methodology</w:t>
      </w:r>
    </w:p>
    <w:p w14:paraId="24951AC7" w14:textId="77777777" w:rsidR="00E93B6B" w:rsidRPr="00D06BAC" w:rsidRDefault="00000000" w:rsidP="00D06BAC">
      <w:pPr>
        <w:pStyle w:val="Heading2"/>
        <w:spacing w:line="360" w:lineRule="auto"/>
        <w:rPr>
          <w:color w:val="auto"/>
        </w:rPr>
      </w:pPr>
      <w:r w:rsidRPr="00D06BAC">
        <w:rPr>
          <w:color w:val="auto"/>
        </w:rPr>
        <w:t>3.1 Data Preparation and Exploration</w:t>
      </w:r>
    </w:p>
    <w:p w14:paraId="07311B83" w14:textId="07DB1F50" w:rsidR="00E93B6B" w:rsidRPr="00D06BAC" w:rsidRDefault="004F4055" w:rsidP="00D06BAC">
      <w:pPr>
        <w:spacing w:after="200" w:line="360" w:lineRule="auto"/>
        <w:jc w:val="both"/>
      </w:pPr>
      <w:r w:rsidRPr="00D06BAC">
        <w:lastRenderedPageBreak/>
        <w:t>The IMDB Reviews dataset was loaded through the Hugging Face Datasets library which gave a 25,000 training and a 25,000 test sample of perfect balance in class distribution consisting of 12,500 positive and 12,500 negative reviews per partition. When using exploratory data analysis, the mean length of the review was found to be 233.8 with a standard deviation of 173.7 with a median value of 174 and maximum of 2,470 words. The class balance as expressed in figure 1 shows that there was no class imbalance remediation which was required.</w:t>
      </w:r>
    </w:p>
    <w:p w14:paraId="01F9348E" w14:textId="77777777" w:rsidR="00E93B6B" w:rsidRPr="00D06BAC" w:rsidRDefault="00000000" w:rsidP="00D06BAC">
      <w:pPr>
        <w:spacing w:before="120" w:after="80" w:line="360" w:lineRule="auto"/>
        <w:jc w:val="center"/>
      </w:pPr>
      <w:r w:rsidRPr="00D06BAC">
        <w:rPr>
          <w:noProof/>
        </w:rPr>
        <w:drawing>
          <wp:inline distT="0" distB="0" distL="0" distR="0" wp14:anchorId="78029333" wp14:editId="15D60956">
            <wp:extent cx="4953000" cy="1619250"/>
            <wp:effectExtent l="0" t="0" r="0" b="0"/>
            <wp:docPr id="1" name="fig_0_cell7.png" descr="fig_0_cell7.png" title="fig_0_cell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953000" cy="1619250"/>
                    </a:xfrm>
                    <a:prstGeom prst="rect">
                      <a:avLst/>
                    </a:prstGeom>
                  </pic:spPr>
                </pic:pic>
              </a:graphicData>
            </a:graphic>
          </wp:inline>
        </w:drawing>
      </w:r>
    </w:p>
    <w:p w14:paraId="5061D565" w14:textId="77777777" w:rsidR="00E93B6B" w:rsidRPr="00D06BAC" w:rsidRDefault="00000000" w:rsidP="00D06BAC">
      <w:pPr>
        <w:spacing w:after="240" w:line="360" w:lineRule="auto"/>
        <w:jc w:val="center"/>
      </w:pPr>
      <w:r w:rsidRPr="00D06BAC">
        <w:rPr>
          <w:i/>
          <w:iCs/>
          <w:sz w:val="20"/>
          <w:szCs w:val="20"/>
        </w:rPr>
        <w:t>Figure 1. Class distribution across training and test partitions of the IMDB Reviews dataset.</w:t>
      </w:r>
    </w:p>
    <w:p w14:paraId="54446B2B" w14:textId="070D6F92" w:rsidR="00E93B6B" w:rsidRPr="00D06BAC" w:rsidRDefault="004F4055" w:rsidP="00D06BAC">
      <w:pPr>
        <w:spacing w:after="200" w:line="360" w:lineRule="auto"/>
        <w:jc w:val="both"/>
      </w:pPr>
      <w:r w:rsidRPr="00D06BAC">
        <w:t>Figure 2 will show the distribution of the lengths of the reviews and the change of these lengths with sentiment categories. The distributions are skewed to the right where most of the reviews do lie between 100 and 300 words. There is no difference in length distinctions of positive and negative reviews indicating that the length of the review is not a valid discriminative item.</w:t>
      </w:r>
    </w:p>
    <w:p w14:paraId="5FD03B8B" w14:textId="77777777" w:rsidR="00E93B6B" w:rsidRPr="00D06BAC" w:rsidRDefault="00000000" w:rsidP="00D06BAC">
      <w:pPr>
        <w:spacing w:before="120" w:after="80" w:line="360" w:lineRule="auto"/>
        <w:jc w:val="center"/>
      </w:pPr>
      <w:r w:rsidRPr="00D06BAC">
        <w:rPr>
          <w:noProof/>
        </w:rPr>
        <w:drawing>
          <wp:inline distT="0" distB="0" distL="0" distR="0" wp14:anchorId="4F30DAD1" wp14:editId="20477512">
            <wp:extent cx="5143500" cy="1476375"/>
            <wp:effectExtent l="0" t="0" r="0" b="0"/>
            <wp:docPr id="827266263" name="fig_1_cell8.png" descr="fig_1_cell8.png" title="fig_1_cell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143500" cy="1476375"/>
                    </a:xfrm>
                    <a:prstGeom prst="rect">
                      <a:avLst/>
                    </a:prstGeom>
                  </pic:spPr>
                </pic:pic>
              </a:graphicData>
            </a:graphic>
          </wp:inline>
        </w:drawing>
      </w:r>
    </w:p>
    <w:p w14:paraId="5289250D" w14:textId="77777777" w:rsidR="00E93B6B" w:rsidRPr="00D06BAC" w:rsidRDefault="00000000" w:rsidP="00D06BAC">
      <w:pPr>
        <w:spacing w:after="240" w:line="360" w:lineRule="auto"/>
        <w:jc w:val="center"/>
      </w:pPr>
      <w:r w:rsidRPr="00D06BAC">
        <w:rPr>
          <w:i/>
          <w:iCs/>
          <w:sz w:val="20"/>
          <w:szCs w:val="20"/>
        </w:rPr>
        <w:t>Figure 2. Distribution of review word counts (left) and comparison by sentiment class (right).</w:t>
      </w:r>
    </w:p>
    <w:p w14:paraId="725F5097" w14:textId="7410D3BD" w:rsidR="00E93B6B" w:rsidRPr="00D06BAC" w:rsidRDefault="004F4055" w:rsidP="00D06BAC">
      <w:pPr>
        <w:spacing w:after="200" w:line="360" w:lineRule="auto"/>
        <w:jc w:val="both"/>
      </w:pPr>
      <w:r w:rsidRPr="00D06BAC">
        <w:t>As demonstrated in Figure 3, word cloud visualisation and frequency analysis of words indicated specific lexical pronouncing in the classes of sentiments. The frequency of terms like great, love, best in the positive reviews was higher and the terms like bad, waste, and boring prevailed in negative reviews. These trends give us first indications that lexical characteristics have favorable meaning cues.</w:t>
      </w:r>
    </w:p>
    <w:p w14:paraId="4DA3AE23" w14:textId="77777777" w:rsidR="00E93B6B" w:rsidRPr="00D06BAC" w:rsidRDefault="00000000" w:rsidP="00D06BAC">
      <w:pPr>
        <w:spacing w:before="120" w:after="80" w:line="360" w:lineRule="auto"/>
        <w:jc w:val="center"/>
      </w:pPr>
      <w:r w:rsidRPr="00D06BAC">
        <w:rPr>
          <w:noProof/>
        </w:rPr>
        <w:lastRenderedPageBreak/>
        <w:drawing>
          <wp:inline distT="0" distB="0" distL="0" distR="0" wp14:anchorId="7062F1A7" wp14:editId="1EDD83C3">
            <wp:extent cx="4953000" cy="3048000"/>
            <wp:effectExtent l="0" t="0" r="0" b="0"/>
            <wp:docPr id="1435176935" name="fig_2_cell9.png" descr="fig_2_cell9.png" title="fig_2_cell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953000" cy="3048000"/>
                    </a:xfrm>
                    <a:prstGeom prst="rect">
                      <a:avLst/>
                    </a:prstGeom>
                  </pic:spPr>
                </pic:pic>
              </a:graphicData>
            </a:graphic>
          </wp:inline>
        </w:drawing>
      </w:r>
    </w:p>
    <w:p w14:paraId="1B5C432B" w14:textId="77777777" w:rsidR="00E93B6B" w:rsidRPr="00D06BAC" w:rsidRDefault="00000000" w:rsidP="00D06BAC">
      <w:pPr>
        <w:spacing w:after="240" w:line="360" w:lineRule="auto"/>
        <w:jc w:val="center"/>
      </w:pPr>
      <w:r w:rsidRPr="00D06BAC">
        <w:rPr>
          <w:i/>
          <w:iCs/>
          <w:sz w:val="20"/>
          <w:szCs w:val="20"/>
        </w:rPr>
        <w:t>Figure 3. Top 20 words and word clouds for positive (left) and negative (right) reviews.</w:t>
      </w:r>
    </w:p>
    <w:p w14:paraId="3D8982EA" w14:textId="77777777" w:rsidR="00E93B6B" w:rsidRPr="00D06BAC" w:rsidRDefault="00000000" w:rsidP="00D06BAC">
      <w:pPr>
        <w:pStyle w:val="Heading2"/>
        <w:spacing w:line="360" w:lineRule="auto"/>
        <w:rPr>
          <w:color w:val="auto"/>
        </w:rPr>
      </w:pPr>
      <w:r w:rsidRPr="00D06BAC">
        <w:rPr>
          <w:color w:val="auto"/>
        </w:rPr>
        <w:t>3.2 Preprocessing</w:t>
      </w:r>
    </w:p>
    <w:p w14:paraId="4A88550A" w14:textId="77777777" w:rsidR="004F4055" w:rsidRPr="00D06BAC" w:rsidRDefault="004F4055" w:rsidP="00D06BAC">
      <w:pPr>
        <w:spacing w:after="200" w:line="360" w:lineRule="auto"/>
        <w:jc w:val="both"/>
      </w:pPr>
      <w:r w:rsidRPr="00D06BAC">
        <w:t>Two separate pipelines of preprocessing were adopted so as to match the needs of each modelling paradigm. To the standard ML pipeline text had been made lowercase, HTML tags had been stripped, non-alphabetic characters had been stripped, stopwords had been removed with the NLTK English stopwords list and the rest of the tokens were lemmatised with the WordNet lemmatiser. TF-IDF was also then used to clean up the text with the following set of parameters: a vocabulary limit of 20,000 features, unigram and bigram features, scaling term frequencies with sublinear frequency, minimum document frequency of 5 and a maximum document frequency of 0.95 to eliminate overly common words.</w:t>
      </w:r>
    </w:p>
    <w:p w14:paraId="6E14158D" w14:textId="26880EF1" w:rsidR="00E93B6B" w:rsidRPr="00D06BAC" w:rsidRDefault="004F4055" w:rsidP="00D06BAC">
      <w:pPr>
        <w:spacing w:after="200" w:line="360" w:lineRule="auto"/>
        <w:jc w:val="both"/>
      </w:pPr>
      <w:r w:rsidRPr="00D06BAC">
        <w:t>In the case of the transformer-based pipeline, only simple preprocessing was done that only involves deletion of HTML tags. The design choice is based on the accepted best practice in BERT-family models, as the original casing, punctuations, and grammatical constructions are retained in the further models because the subword division is performed within the WordPiece tokeniser (Sanh et al., 2020, p. 2). DistilBERT tokeniser was set with 256 tokens as its maximum sequence length, truncation was used to truncate the long reviews and padding was used to pad short reviews.</w:t>
      </w:r>
    </w:p>
    <w:p w14:paraId="138BB28B" w14:textId="77777777" w:rsidR="00E93B6B" w:rsidRPr="00D06BAC" w:rsidRDefault="00000000" w:rsidP="00D06BAC">
      <w:pPr>
        <w:pStyle w:val="Heading2"/>
        <w:spacing w:line="360" w:lineRule="auto"/>
        <w:rPr>
          <w:color w:val="auto"/>
        </w:rPr>
      </w:pPr>
      <w:r w:rsidRPr="00D06BAC">
        <w:rPr>
          <w:color w:val="auto"/>
        </w:rPr>
        <w:t>3.3 Model Design and Training</w:t>
      </w:r>
    </w:p>
    <w:p w14:paraId="3C3733D7" w14:textId="77777777" w:rsidR="004F4055" w:rsidRPr="00D06BAC" w:rsidRDefault="004F4055" w:rsidP="00D06BAC">
      <w:pPr>
        <w:spacing w:after="200" w:line="360" w:lineRule="auto"/>
        <w:jc w:val="both"/>
      </w:pPr>
      <w:r w:rsidRPr="00D06BAC">
        <w:lastRenderedPageBreak/>
        <w:t>The former had TF-IDF vectorisation and Logistic Regression. Five-fold cross-validation through the GridSearchCV optimisation was performed on the values of regularisation strength of 0.1, 1.0, and 10.0 with L2 regularisation penalty and Solver LBFGS-optimisation. The best values detected were C=1.0 and L2 regularisation which gave a cross-validated F1-score of 0.8695. The model has been trained based on the entire training partition of 25, 000 samples.</w:t>
      </w:r>
    </w:p>
    <w:p w14:paraId="3B20DC82" w14:textId="2CCC90EE" w:rsidR="00E93B6B" w:rsidRPr="00D06BAC" w:rsidRDefault="004F4055" w:rsidP="00D06BAC">
      <w:pPr>
        <w:spacing w:after="200" w:line="360" w:lineRule="auto"/>
        <w:jc w:val="both"/>
      </w:pPr>
      <w:r w:rsidRPr="00D06BAC">
        <w:t>In the second model, a binary sequence classification probing model, DistilBERT (distilbert-base-uncased) with 66.9 million parameters was used in a binary fashion. Because of the limitations of the Google Colab platform with Tesla T4 GPU, a stratified sample of 10,000 training samples and 5,000 test samples was used, with equal class representation. Three epochs were used to train the model with AdamW and a learning rate of 2x10-5, weight decay of 0.01, gradient clipping to a maximum norm of 1.0, a batch size of 16, and linear learning rate schedule with 10% warm up steps. These are the hyper parameters based on a set of policies of BERT fine-tuning (Devlin et al., 2019, p. 13).</w:t>
      </w:r>
    </w:p>
    <w:p w14:paraId="76B82EC8" w14:textId="77777777" w:rsidR="00E93B6B" w:rsidRPr="00D06BAC" w:rsidRDefault="00000000" w:rsidP="00D06BAC">
      <w:pPr>
        <w:pStyle w:val="Heading1"/>
        <w:spacing w:line="360" w:lineRule="auto"/>
        <w:rPr>
          <w:color w:val="auto"/>
        </w:rPr>
      </w:pPr>
      <w:r w:rsidRPr="00D06BAC">
        <w:rPr>
          <w:color w:val="auto"/>
        </w:rPr>
        <w:t>4. Results and Evaluation</w:t>
      </w:r>
    </w:p>
    <w:p w14:paraId="12E79A68" w14:textId="77777777" w:rsidR="00E93B6B" w:rsidRPr="00D06BAC" w:rsidRDefault="00000000" w:rsidP="00D06BAC">
      <w:pPr>
        <w:pStyle w:val="Heading2"/>
        <w:spacing w:line="360" w:lineRule="auto"/>
        <w:rPr>
          <w:color w:val="auto"/>
        </w:rPr>
      </w:pPr>
      <w:r w:rsidRPr="00D06BAC">
        <w:rPr>
          <w:color w:val="auto"/>
        </w:rPr>
        <w:t>4.1 Logistic Regression Performance</w:t>
      </w:r>
    </w:p>
    <w:p w14:paraId="5A1B430C" w14:textId="52800761" w:rsidR="00E93B6B" w:rsidRPr="00D06BAC" w:rsidRDefault="004F4055" w:rsidP="00D06BAC">
      <w:pPr>
        <w:spacing w:after="200" w:line="360" w:lineRule="auto"/>
        <w:jc w:val="both"/>
      </w:pPr>
      <w:r w:rsidRPr="00D06BAC">
        <w:t>TF-IDF with Logistic Regression model got an accuracy, precision, recall and F1-score at 0.8896, 0.8875, 0.8922 and 0.8898 respectively, on the entire 25,000 sample test data. The confusion matrix provided in Figure 4 shows the relatively balanced distribution of the errors, with 1,384 and 1375 cases of false negative and false positive respectively, showing that there is no significant bias in favor of any of these two sentiments.</w:t>
      </w:r>
    </w:p>
    <w:p w14:paraId="62E81732" w14:textId="77777777" w:rsidR="00E93B6B" w:rsidRPr="00D06BAC" w:rsidRDefault="00000000" w:rsidP="00D06BAC">
      <w:pPr>
        <w:spacing w:before="120" w:after="80" w:line="360" w:lineRule="auto"/>
        <w:jc w:val="center"/>
      </w:pPr>
      <w:r w:rsidRPr="00D06BAC">
        <w:rPr>
          <w:noProof/>
        </w:rPr>
        <w:drawing>
          <wp:inline distT="0" distB="0" distL="0" distR="0" wp14:anchorId="33149F7D" wp14:editId="39375B79">
            <wp:extent cx="3048000" cy="2476500"/>
            <wp:effectExtent l="0" t="0" r="0" b="0"/>
            <wp:docPr id="1314165400" name="fig_3_cell15.png" descr="fig_3_cell15.png" title="fig_3_cell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048000" cy="2476500"/>
                    </a:xfrm>
                    <a:prstGeom prst="rect">
                      <a:avLst/>
                    </a:prstGeom>
                  </pic:spPr>
                </pic:pic>
              </a:graphicData>
            </a:graphic>
          </wp:inline>
        </w:drawing>
      </w:r>
    </w:p>
    <w:p w14:paraId="7CCED252" w14:textId="77777777" w:rsidR="00E93B6B" w:rsidRPr="00D06BAC" w:rsidRDefault="00000000" w:rsidP="00D06BAC">
      <w:pPr>
        <w:spacing w:after="240" w:line="360" w:lineRule="auto"/>
        <w:jc w:val="center"/>
      </w:pPr>
      <w:r w:rsidRPr="00D06BAC">
        <w:rPr>
          <w:i/>
          <w:iCs/>
          <w:sz w:val="20"/>
          <w:szCs w:val="20"/>
        </w:rPr>
        <w:t>Figure 4. Confusion matrix for the TF-IDF + Logistic Regression model on the full test set.</w:t>
      </w:r>
    </w:p>
    <w:p w14:paraId="256788FB" w14:textId="46B4D6B1" w:rsidR="00E93B6B" w:rsidRPr="00D06BAC" w:rsidRDefault="004F4055" w:rsidP="00D06BAC">
      <w:pPr>
        <w:spacing w:after="200" w:line="360" w:lineRule="auto"/>
        <w:jc w:val="both"/>
      </w:pPr>
      <w:r w:rsidRPr="00D06BAC">
        <w:lastRenderedPageBreak/>
        <w:t>The coefficient results of the model, as portrayed in Figure 5, indicate the most meaningful features of every category of sentiment. Strongly positive features consist of the terms of great, excellent and perfect, and the strong negative features are waste, worst, and awful. The fact that such coefficients can be interpreted makes up one of the strongest points of the linear modelling technique, since the impact of a feature in the prediction can be easily viewed directly.</w:t>
      </w:r>
    </w:p>
    <w:p w14:paraId="0FFEBBF6" w14:textId="77777777" w:rsidR="00E93B6B" w:rsidRPr="00D06BAC" w:rsidRDefault="00000000" w:rsidP="00D06BAC">
      <w:pPr>
        <w:spacing w:before="120" w:after="80" w:line="360" w:lineRule="auto"/>
        <w:jc w:val="center"/>
      </w:pPr>
      <w:r w:rsidRPr="00D06BAC">
        <w:rPr>
          <w:noProof/>
        </w:rPr>
        <w:drawing>
          <wp:inline distT="0" distB="0" distL="0" distR="0" wp14:anchorId="1BBCFB5D" wp14:editId="3C03E06C">
            <wp:extent cx="5143500" cy="2190750"/>
            <wp:effectExtent l="0" t="0" r="0" b="0"/>
            <wp:docPr id="1057082379" name="fig_4_cell16.png" descr="fig_4_cell16.png" title="fig_4_cell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143500" cy="2190750"/>
                    </a:xfrm>
                    <a:prstGeom prst="rect">
                      <a:avLst/>
                    </a:prstGeom>
                  </pic:spPr>
                </pic:pic>
              </a:graphicData>
            </a:graphic>
          </wp:inline>
        </w:drawing>
      </w:r>
    </w:p>
    <w:p w14:paraId="3A7D7760" w14:textId="77777777" w:rsidR="00E93B6B" w:rsidRPr="00D06BAC" w:rsidRDefault="00000000" w:rsidP="00D06BAC">
      <w:pPr>
        <w:spacing w:after="240" w:line="360" w:lineRule="auto"/>
        <w:jc w:val="center"/>
      </w:pPr>
      <w:r w:rsidRPr="00D06BAC">
        <w:rPr>
          <w:i/>
          <w:iCs/>
          <w:sz w:val="20"/>
          <w:szCs w:val="20"/>
        </w:rPr>
        <w:t>Figure 5. Top 20 most influential TF-IDF features for positive (left) and negative (right) sentiment.</w:t>
      </w:r>
    </w:p>
    <w:p w14:paraId="7A5981C0" w14:textId="77777777" w:rsidR="00E93B6B" w:rsidRPr="00D06BAC" w:rsidRDefault="00000000" w:rsidP="00D06BAC">
      <w:pPr>
        <w:pStyle w:val="Heading2"/>
        <w:spacing w:line="360" w:lineRule="auto"/>
        <w:rPr>
          <w:color w:val="auto"/>
        </w:rPr>
      </w:pPr>
      <w:r w:rsidRPr="00D06BAC">
        <w:rPr>
          <w:color w:val="auto"/>
        </w:rPr>
        <w:t>4.2 DistilBERT Performance</w:t>
      </w:r>
    </w:p>
    <w:p w14:paraId="56D3A7D2" w14:textId="4C655C64" w:rsidR="00E93B6B" w:rsidRPr="00D06BAC" w:rsidRDefault="004F4055" w:rsidP="00D06BAC">
      <w:pPr>
        <w:spacing w:after="200" w:line="360" w:lineRule="auto"/>
        <w:jc w:val="both"/>
      </w:pPr>
      <w:r w:rsidRPr="00D06BAC">
        <w:t>The fine-tuned DistilBERT represented the continuous improvement in the three training epochs. The drop in training loss went down as shown by the difference between 0.3729 in epoch one and 0.1121 in epoch three and an increase in training accuracy as it went up to 96.75 as compared to 82.67. The validation accuracy increased to 91.06% and the difference between the training and validation performance slightly increased during the last epoch indicating the beginning of slightly mild overfitting. The training and validation curves are shown in figure 6 depending on the epochs.</w:t>
      </w:r>
    </w:p>
    <w:p w14:paraId="10DA13E9" w14:textId="77777777" w:rsidR="00E93B6B" w:rsidRPr="00D06BAC" w:rsidRDefault="00000000" w:rsidP="00D06BAC">
      <w:pPr>
        <w:spacing w:before="120" w:after="80" w:line="360" w:lineRule="auto"/>
        <w:jc w:val="center"/>
      </w:pPr>
      <w:r w:rsidRPr="00D06BAC">
        <w:rPr>
          <w:noProof/>
        </w:rPr>
        <w:drawing>
          <wp:inline distT="0" distB="0" distL="0" distR="0" wp14:anchorId="7BC56D91" wp14:editId="600947D0">
            <wp:extent cx="4953000" cy="1619250"/>
            <wp:effectExtent l="0" t="0" r="0" b="0"/>
            <wp:docPr id="873722749" name="fig_5_cell22.png" descr="fig_5_cell22.png" title="fig_5_cell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953000" cy="1619250"/>
                    </a:xfrm>
                    <a:prstGeom prst="rect">
                      <a:avLst/>
                    </a:prstGeom>
                  </pic:spPr>
                </pic:pic>
              </a:graphicData>
            </a:graphic>
          </wp:inline>
        </w:drawing>
      </w:r>
    </w:p>
    <w:p w14:paraId="193A8559" w14:textId="77777777" w:rsidR="00E93B6B" w:rsidRPr="00D06BAC" w:rsidRDefault="00000000" w:rsidP="00D06BAC">
      <w:pPr>
        <w:spacing w:after="240" w:line="360" w:lineRule="auto"/>
        <w:jc w:val="center"/>
      </w:pPr>
      <w:r w:rsidRPr="00D06BAC">
        <w:rPr>
          <w:i/>
          <w:iCs/>
          <w:sz w:val="20"/>
          <w:szCs w:val="20"/>
        </w:rPr>
        <w:t>Figure 6. DistilBERT training and validation loss (left) and accuracy (right) across three epochs.</w:t>
      </w:r>
    </w:p>
    <w:p w14:paraId="751A678B" w14:textId="2F15B4BB" w:rsidR="00E93B6B" w:rsidRPr="00D06BAC" w:rsidRDefault="004F4055" w:rsidP="00D06BAC">
      <w:pPr>
        <w:spacing w:after="200" w:line="360" w:lineRule="auto"/>
        <w:jc w:val="both"/>
      </w:pPr>
      <w:r w:rsidRPr="00D06BAC">
        <w:lastRenderedPageBreak/>
        <w:t>On the test subset of size 5000, DistilBERT obtained accuracy of 0.9106, precision of 0.9098, recall of 0.9116 and F1-score of 0.9107. Figure 7, whose confusion matrix demonstrates the confusion, further indicates that the number of false negatives and the number of false positives are equal at 226 and 221, respectively.</w:t>
      </w:r>
    </w:p>
    <w:p w14:paraId="110332E4" w14:textId="77777777" w:rsidR="00E93B6B" w:rsidRPr="00D06BAC" w:rsidRDefault="00000000" w:rsidP="00D06BAC">
      <w:pPr>
        <w:spacing w:before="120" w:after="80" w:line="360" w:lineRule="auto"/>
        <w:jc w:val="center"/>
      </w:pPr>
      <w:r w:rsidRPr="00D06BAC">
        <w:rPr>
          <w:noProof/>
        </w:rPr>
        <w:drawing>
          <wp:inline distT="0" distB="0" distL="0" distR="0" wp14:anchorId="5F14E561" wp14:editId="3FB0ACE1">
            <wp:extent cx="3048000" cy="2476500"/>
            <wp:effectExtent l="0" t="0" r="0" b="0"/>
            <wp:docPr id="386410163" name="fig_6_cell24.png" descr="fig_6_cell24.png" title="fig_6_cell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048000" cy="2476500"/>
                    </a:xfrm>
                    <a:prstGeom prst="rect">
                      <a:avLst/>
                    </a:prstGeom>
                  </pic:spPr>
                </pic:pic>
              </a:graphicData>
            </a:graphic>
          </wp:inline>
        </w:drawing>
      </w:r>
    </w:p>
    <w:p w14:paraId="42C3FDD0" w14:textId="77777777" w:rsidR="00E93B6B" w:rsidRPr="00D06BAC" w:rsidRDefault="00000000" w:rsidP="00D06BAC">
      <w:pPr>
        <w:spacing w:after="240" w:line="360" w:lineRule="auto"/>
        <w:jc w:val="center"/>
      </w:pPr>
      <w:r w:rsidRPr="00D06BAC">
        <w:rPr>
          <w:i/>
          <w:iCs/>
          <w:sz w:val="20"/>
          <w:szCs w:val="20"/>
        </w:rPr>
        <w:t>Figure 7. Confusion matrix for the fine-tuned DistilBERT model on the test subset.</w:t>
      </w:r>
    </w:p>
    <w:p w14:paraId="73ECFC1C" w14:textId="77777777" w:rsidR="00E93B6B" w:rsidRPr="00D06BAC" w:rsidRDefault="00000000" w:rsidP="00D06BAC">
      <w:pPr>
        <w:pStyle w:val="Heading2"/>
        <w:spacing w:line="360" w:lineRule="auto"/>
        <w:rPr>
          <w:color w:val="auto"/>
        </w:rPr>
      </w:pPr>
      <w:r w:rsidRPr="00D06BAC">
        <w:rPr>
          <w:color w:val="auto"/>
        </w:rPr>
        <w:t>4.3 Comparative Analysis</w:t>
      </w:r>
    </w:p>
    <w:p w14:paraId="6590BF6C" w14:textId="1A4F2A9C" w:rsidR="00E93B6B" w:rsidRPr="00D06BAC" w:rsidRDefault="004F4055" w:rsidP="00D06BAC">
      <w:pPr>
        <w:spacing w:after="200" w:line="360" w:lineRule="auto"/>
        <w:jc w:val="both"/>
      </w:pPr>
      <w:r w:rsidRPr="00D06BAC">
        <w:t>The two models were put to test on the same 5,000-sample test subset in order to make a fair comparison. The comparison is presented in table 1.</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3213"/>
        <w:gridCol w:w="3213"/>
      </w:tblGrid>
      <w:tr w:rsidR="00D80983" w:rsidRPr="00D06BAC" w14:paraId="24307272" w14:textId="77777777">
        <w:tc>
          <w:tcPr>
            <w:tcW w:w="2600" w:type="dxa"/>
            <w:tcBorders>
              <w:top w:val="single" w:sz="1" w:space="0" w:color="B0B0B0"/>
              <w:left w:val="single" w:sz="1" w:space="0" w:color="B0B0B0"/>
              <w:bottom w:val="single" w:sz="1" w:space="0" w:color="B0B0B0"/>
              <w:right w:val="single" w:sz="1" w:space="0" w:color="B0B0B0"/>
            </w:tcBorders>
            <w:shd w:val="clear" w:color="auto" w:fill="D6E4F0"/>
            <w:tcMar>
              <w:top w:w="60" w:type="dxa"/>
              <w:left w:w="100" w:type="dxa"/>
              <w:bottom w:w="60" w:type="dxa"/>
              <w:right w:w="100" w:type="dxa"/>
            </w:tcMar>
            <w:vAlign w:val="center"/>
          </w:tcPr>
          <w:p w14:paraId="7D0C78CF" w14:textId="77777777" w:rsidR="00E93B6B" w:rsidRPr="00D06BAC" w:rsidRDefault="00000000" w:rsidP="00D06BAC">
            <w:pPr>
              <w:spacing w:line="360" w:lineRule="auto"/>
              <w:jc w:val="center"/>
            </w:pPr>
            <w:r w:rsidRPr="00D06BAC">
              <w:rPr>
                <w:b/>
                <w:bCs/>
              </w:rPr>
              <w:t>Metric</w:t>
            </w:r>
          </w:p>
        </w:tc>
        <w:tc>
          <w:tcPr>
            <w:tcW w:w="3213" w:type="dxa"/>
            <w:tcBorders>
              <w:top w:val="single" w:sz="1" w:space="0" w:color="B0B0B0"/>
              <w:left w:val="single" w:sz="1" w:space="0" w:color="B0B0B0"/>
              <w:bottom w:val="single" w:sz="1" w:space="0" w:color="B0B0B0"/>
              <w:right w:val="single" w:sz="1" w:space="0" w:color="B0B0B0"/>
            </w:tcBorders>
            <w:shd w:val="clear" w:color="auto" w:fill="D6E4F0"/>
            <w:tcMar>
              <w:top w:w="60" w:type="dxa"/>
              <w:left w:w="100" w:type="dxa"/>
              <w:bottom w:w="60" w:type="dxa"/>
              <w:right w:w="100" w:type="dxa"/>
            </w:tcMar>
            <w:vAlign w:val="center"/>
          </w:tcPr>
          <w:p w14:paraId="62839096" w14:textId="77777777" w:rsidR="00E93B6B" w:rsidRPr="00D06BAC" w:rsidRDefault="00000000" w:rsidP="00D06BAC">
            <w:pPr>
              <w:spacing w:line="360" w:lineRule="auto"/>
              <w:jc w:val="center"/>
            </w:pPr>
            <w:r w:rsidRPr="00D06BAC">
              <w:rPr>
                <w:b/>
                <w:bCs/>
              </w:rPr>
              <w:t>Logistic Regression</w:t>
            </w:r>
          </w:p>
        </w:tc>
        <w:tc>
          <w:tcPr>
            <w:tcW w:w="3213" w:type="dxa"/>
            <w:tcBorders>
              <w:top w:val="single" w:sz="1" w:space="0" w:color="B0B0B0"/>
              <w:left w:val="single" w:sz="1" w:space="0" w:color="B0B0B0"/>
              <w:bottom w:val="single" w:sz="1" w:space="0" w:color="B0B0B0"/>
              <w:right w:val="single" w:sz="1" w:space="0" w:color="B0B0B0"/>
            </w:tcBorders>
            <w:shd w:val="clear" w:color="auto" w:fill="D6E4F0"/>
            <w:tcMar>
              <w:top w:w="60" w:type="dxa"/>
              <w:left w:w="100" w:type="dxa"/>
              <w:bottom w:w="60" w:type="dxa"/>
              <w:right w:w="100" w:type="dxa"/>
            </w:tcMar>
            <w:vAlign w:val="center"/>
          </w:tcPr>
          <w:p w14:paraId="6C4EC034" w14:textId="77777777" w:rsidR="00E93B6B" w:rsidRPr="00D06BAC" w:rsidRDefault="00000000" w:rsidP="00D06BAC">
            <w:pPr>
              <w:spacing w:line="360" w:lineRule="auto"/>
              <w:jc w:val="center"/>
            </w:pPr>
            <w:r w:rsidRPr="00D06BAC">
              <w:rPr>
                <w:b/>
                <w:bCs/>
              </w:rPr>
              <w:t>DistilBERT</w:t>
            </w:r>
          </w:p>
        </w:tc>
      </w:tr>
      <w:tr w:rsidR="00D80983" w:rsidRPr="00D06BAC" w14:paraId="64D61D09" w14:textId="77777777">
        <w:tc>
          <w:tcPr>
            <w:tcW w:w="2600"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71A33416" w14:textId="77777777" w:rsidR="00E93B6B" w:rsidRPr="00D06BAC" w:rsidRDefault="00000000" w:rsidP="00D06BAC">
            <w:pPr>
              <w:spacing w:line="360" w:lineRule="auto"/>
            </w:pPr>
            <w:r w:rsidRPr="00D06BAC">
              <w:rPr>
                <w:b/>
                <w:bCs/>
              </w:rPr>
              <w:t>Accuracy</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1D12246F" w14:textId="77777777" w:rsidR="00E93B6B" w:rsidRPr="00D06BAC" w:rsidRDefault="00000000" w:rsidP="00D06BAC">
            <w:pPr>
              <w:spacing w:line="360" w:lineRule="auto"/>
              <w:jc w:val="center"/>
            </w:pPr>
            <w:r w:rsidRPr="00D06BAC">
              <w:t>0.8914</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5C0C744A" w14:textId="77777777" w:rsidR="00E93B6B" w:rsidRPr="00D06BAC" w:rsidRDefault="00000000" w:rsidP="00D06BAC">
            <w:pPr>
              <w:spacing w:line="360" w:lineRule="auto"/>
              <w:jc w:val="center"/>
            </w:pPr>
            <w:r w:rsidRPr="00D06BAC">
              <w:t>0.9106</w:t>
            </w:r>
          </w:p>
        </w:tc>
      </w:tr>
      <w:tr w:rsidR="00D80983" w:rsidRPr="00D06BAC" w14:paraId="40CF0AC4" w14:textId="77777777">
        <w:tc>
          <w:tcPr>
            <w:tcW w:w="2600"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0524E087" w14:textId="77777777" w:rsidR="00E93B6B" w:rsidRPr="00D06BAC" w:rsidRDefault="00000000" w:rsidP="00D06BAC">
            <w:pPr>
              <w:spacing w:line="360" w:lineRule="auto"/>
            </w:pPr>
            <w:r w:rsidRPr="00D06BAC">
              <w:rPr>
                <w:b/>
                <w:bCs/>
              </w:rPr>
              <w:t>Precision</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72C650FD" w14:textId="77777777" w:rsidR="00E93B6B" w:rsidRPr="00D06BAC" w:rsidRDefault="00000000" w:rsidP="00D06BAC">
            <w:pPr>
              <w:spacing w:line="360" w:lineRule="auto"/>
              <w:jc w:val="center"/>
            </w:pPr>
            <w:r w:rsidRPr="00D06BAC">
              <w:t>0.8869</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3D1DF1B9" w14:textId="77777777" w:rsidR="00E93B6B" w:rsidRPr="00D06BAC" w:rsidRDefault="00000000" w:rsidP="00D06BAC">
            <w:pPr>
              <w:spacing w:line="360" w:lineRule="auto"/>
              <w:jc w:val="center"/>
            </w:pPr>
            <w:r w:rsidRPr="00D06BAC">
              <w:t>0.9098</w:t>
            </w:r>
          </w:p>
        </w:tc>
      </w:tr>
      <w:tr w:rsidR="00D80983" w:rsidRPr="00D06BAC" w14:paraId="2C635FB4" w14:textId="77777777">
        <w:tc>
          <w:tcPr>
            <w:tcW w:w="2600"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61DCE2C2" w14:textId="77777777" w:rsidR="00E93B6B" w:rsidRPr="00D06BAC" w:rsidRDefault="00000000" w:rsidP="00D06BAC">
            <w:pPr>
              <w:spacing w:line="360" w:lineRule="auto"/>
            </w:pPr>
            <w:r w:rsidRPr="00D06BAC">
              <w:rPr>
                <w:b/>
                <w:bCs/>
              </w:rPr>
              <w:t>Recall</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71F41958" w14:textId="77777777" w:rsidR="00E93B6B" w:rsidRPr="00D06BAC" w:rsidRDefault="00000000" w:rsidP="00D06BAC">
            <w:pPr>
              <w:spacing w:line="360" w:lineRule="auto"/>
              <w:jc w:val="center"/>
            </w:pPr>
            <w:r w:rsidRPr="00D06BAC">
              <w:t>0.8972</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3C7D4240" w14:textId="77777777" w:rsidR="00E93B6B" w:rsidRPr="00D06BAC" w:rsidRDefault="00000000" w:rsidP="00D06BAC">
            <w:pPr>
              <w:spacing w:line="360" w:lineRule="auto"/>
              <w:jc w:val="center"/>
            </w:pPr>
            <w:r w:rsidRPr="00D06BAC">
              <w:t>0.9116</w:t>
            </w:r>
          </w:p>
        </w:tc>
      </w:tr>
      <w:tr w:rsidR="00D80983" w:rsidRPr="00D06BAC" w14:paraId="0477FD56" w14:textId="77777777">
        <w:tc>
          <w:tcPr>
            <w:tcW w:w="2600"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7B5B36AE" w14:textId="77777777" w:rsidR="00E93B6B" w:rsidRPr="00D06BAC" w:rsidRDefault="00000000" w:rsidP="00D06BAC">
            <w:pPr>
              <w:spacing w:line="360" w:lineRule="auto"/>
            </w:pPr>
            <w:r w:rsidRPr="00D06BAC">
              <w:rPr>
                <w:b/>
                <w:bCs/>
              </w:rPr>
              <w:t>F1-Score</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754DBD8C" w14:textId="77777777" w:rsidR="00E93B6B" w:rsidRPr="00D06BAC" w:rsidRDefault="00000000" w:rsidP="00D06BAC">
            <w:pPr>
              <w:spacing w:line="360" w:lineRule="auto"/>
              <w:jc w:val="center"/>
            </w:pPr>
            <w:r w:rsidRPr="00D06BAC">
              <w:t>0.8920</w:t>
            </w:r>
          </w:p>
        </w:tc>
        <w:tc>
          <w:tcPr>
            <w:tcW w:w="3213" w:type="dxa"/>
            <w:tcBorders>
              <w:top w:val="single" w:sz="1" w:space="0" w:color="B0B0B0"/>
              <w:left w:val="single" w:sz="1" w:space="0" w:color="B0B0B0"/>
              <w:bottom w:val="single" w:sz="1" w:space="0" w:color="B0B0B0"/>
              <w:right w:val="single" w:sz="1" w:space="0" w:color="B0B0B0"/>
            </w:tcBorders>
            <w:tcMar>
              <w:top w:w="60" w:type="dxa"/>
              <w:left w:w="100" w:type="dxa"/>
              <w:bottom w:w="60" w:type="dxa"/>
              <w:right w:w="100" w:type="dxa"/>
            </w:tcMar>
          </w:tcPr>
          <w:p w14:paraId="426DAC4E" w14:textId="77777777" w:rsidR="00E93B6B" w:rsidRPr="00D06BAC" w:rsidRDefault="00000000" w:rsidP="00D06BAC">
            <w:pPr>
              <w:spacing w:line="360" w:lineRule="auto"/>
              <w:jc w:val="center"/>
            </w:pPr>
            <w:r w:rsidRPr="00D06BAC">
              <w:t>0.9107</w:t>
            </w:r>
          </w:p>
        </w:tc>
      </w:tr>
    </w:tbl>
    <w:p w14:paraId="0A3E8D49" w14:textId="77777777" w:rsidR="00E93B6B" w:rsidRPr="00D06BAC" w:rsidRDefault="00000000" w:rsidP="00D06BAC">
      <w:pPr>
        <w:spacing w:after="240" w:line="360" w:lineRule="auto"/>
        <w:jc w:val="center"/>
      </w:pPr>
      <w:r w:rsidRPr="00D06BAC">
        <w:rPr>
          <w:i/>
          <w:iCs/>
          <w:sz w:val="20"/>
          <w:szCs w:val="20"/>
        </w:rPr>
        <w:t>Table 1. Performance comparison of both models on the common 5,000-sample test subset.</w:t>
      </w:r>
    </w:p>
    <w:p w14:paraId="1CBED01C" w14:textId="678F3C82" w:rsidR="00E93B6B" w:rsidRPr="00D06BAC" w:rsidRDefault="004F4055" w:rsidP="00D06BAC">
      <w:pPr>
        <w:spacing w:after="200" w:line="360" w:lineRule="auto"/>
        <w:jc w:val="both"/>
      </w:pPr>
      <w:r w:rsidRPr="00D06BAC">
        <w:t>DistilBERT showed the highest results in all the four measures, the biggest change being among precision, which improved by +2.29 percentage points, and accuracy, which improved by +1.92 percentage points. The bar chart comparison as groups is available in Figure 8, whereas the confusion matrices are shown side by side in Figure 9.</w:t>
      </w:r>
    </w:p>
    <w:p w14:paraId="5F428A8D" w14:textId="77777777" w:rsidR="00E93B6B" w:rsidRPr="00D06BAC" w:rsidRDefault="00000000" w:rsidP="00D06BAC">
      <w:pPr>
        <w:spacing w:before="120" w:after="80" w:line="360" w:lineRule="auto"/>
        <w:jc w:val="center"/>
      </w:pPr>
      <w:r w:rsidRPr="00D06BAC">
        <w:rPr>
          <w:noProof/>
        </w:rPr>
        <w:lastRenderedPageBreak/>
        <w:drawing>
          <wp:inline distT="0" distB="0" distL="0" distR="0" wp14:anchorId="77E50A21" wp14:editId="28C27E63">
            <wp:extent cx="4381500" cy="2095500"/>
            <wp:effectExtent l="0" t="0" r="0" b="0"/>
            <wp:docPr id="1184701462" name="fig_7_cell25.png" descr="fig_7_cell25.png" title="fig_7_cell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381500" cy="2095500"/>
                    </a:xfrm>
                    <a:prstGeom prst="rect">
                      <a:avLst/>
                    </a:prstGeom>
                  </pic:spPr>
                </pic:pic>
              </a:graphicData>
            </a:graphic>
          </wp:inline>
        </w:drawing>
      </w:r>
    </w:p>
    <w:p w14:paraId="16CA2EE6" w14:textId="77777777" w:rsidR="00E93B6B" w:rsidRPr="00D06BAC" w:rsidRDefault="00000000" w:rsidP="00D06BAC">
      <w:pPr>
        <w:spacing w:after="240" w:line="360" w:lineRule="auto"/>
        <w:jc w:val="center"/>
      </w:pPr>
      <w:r w:rsidRPr="00D06BAC">
        <w:rPr>
          <w:i/>
          <w:iCs/>
          <w:sz w:val="20"/>
          <w:szCs w:val="20"/>
        </w:rPr>
        <w:t>Figure 8. Grouped bar chart comparing classification metrics across both models.</w:t>
      </w:r>
    </w:p>
    <w:p w14:paraId="6575E1B4" w14:textId="77777777" w:rsidR="00E93B6B" w:rsidRPr="00D06BAC" w:rsidRDefault="00000000" w:rsidP="00D06BAC">
      <w:pPr>
        <w:spacing w:before="120" w:after="80" w:line="360" w:lineRule="auto"/>
        <w:jc w:val="center"/>
      </w:pPr>
      <w:r w:rsidRPr="00D06BAC">
        <w:rPr>
          <w:noProof/>
        </w:rPr>
        <w:drawing>
          <wp:inline distT="0" distB="0" distL="0" distR="0" wp14:anchorId="4877731B" wp14:editId="2987B62A">
            <wp:extent cx="4953000" cy="2000250"/>
            <wp:effectExtent l="0" t="0" r="0" b="0"/>
            <wp:docPr id="1158121895" name="fig_8_cell26.png" descr="fig_8_cell26.png" title="fig_8_cell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953000" cy="2000250"/>
                    </a:xfrm>
                    <a:prstGeom prst="rect">
                      <a:avLst/>
                    </a:prstGeom>
                  </pic:spPr>
                </pic:pic>
              </a:graphicData>
            </a:graphic>
          </wp:inline>
        </w:drawing>
      </w:r>
    </w:p>
    <w:p w14:paraId="7660A069" w14:textId="77777777" w:rsidR="00E93B6B" w:rsidRPr="00D06BAC" w:rsidRDefault="00000000" w:rsidP="00D06BAC">
      <w:pPr>
        <w:spacing w:after="240" w:line="360" w:lineRule="auto"/>
        <w:jc w:val="center"/>
      </w:pPr>
      <w:r w:rsidRPr="00D06BAC">
        <w:rPr>
          <w:i/>
          <w:iCs/>
          <w:sz w:val="20"/>
          <w:szCs w:val="20"/>
        </w:rPr>
        <w:t>Figure 9. Side-by-side confusion matrices for Logistic Regression (left) and DistilBERT (right).</w:t>
      </w:r>
    </w:p>
    <w:p w14:paraId="73F6DD2B" w14:textId="77777777" w:rsidR="00E93B6B" w:rsidRPr="00D06BAC" w:rsidRDefault="00000000" w:rsidP="00D06BAC">
      <w:pPr>
        <w:pStyle w:val="Heading1"/>
        <w:spacing w:line="360" w:lineRule="auto"/>
        <w:rPr>
          <w:color w:val="auto"/>
        </w:rPr>
      </w:pPr>
      <w:r w:rsidRPr="00D06BAC">
        <w:rPr>
          <w:color w:val="auto"/>
        </w:rPr>
        <w:t>5. Discussion</w:t>
      </w:r>
    </w:p>
    <w:p w14:paraId="608FB2BB" w14:textId="77777777" w:rsidR="00E93B6B" w:rsidRPr="00D06BAC" w:rsidRDefault="00000000" w:rsidP="00D06BAC">
      <w:pPr>
        <w:pStyle w:val="Heading2"/>
        <w:spacing w:line="360" w:lineRule="auto"/>
        <w:rPr>
          <w:color w:val="auto"/>
        </w:rPr>
      </w:pPr>
      <w:r w:rsidRPr="00D06BAC">
        <w:rPr>
          <w:color w:val="auto"/>
        </w:rPr>
        <w:t>5.1 Interpretability Comparison</w:t>
      </w:r>
    </w:p>
    <w:p w14:paraId="03C8905F" w14:textId="5D500CC2" w:rsidR="00E93B6B" w:rsidRPr="00D06BAC" w:rsidRDefault="004F4055" w:rsidP="00D06BAC">
      <w:pPr>
        <w:spacing w:after="200" w:line="360" w:lineRule="auto"/>
        <w:jc w:val="both"/>
      </w:pPr>
      <w:r w:rsidRPr="00D06BAC">
        <w:t xml:space="preserve">One of the most important aspects that can be compared critically to the two models is their interpretability. The inherently transparent predictive model of Logistic Regression model delivers the feature weight: the coefficient of each TF-IDF model feature is an ultimate measure that objectively quantifies the effect of this factor on the sentiment choice. These relationships were also further confirmed in SHAP analysis displayed in Figure 10 that involves the calculation of the Shapley values, which hypothetically assigns the contribution of prediction to the individual features (Lundberg and Lee, 2020, p. 3). The SHAP analysis has validated that all of the words that have a negative connotation, like the word worst, the word bad, the word great, the word excellent, and the word excellent have the greatest influence on the </w:t>
      </w:r>
      <w:r w:rsidRPr="00D06BAC">
        <w:lastRenderedPageBreak/>
        <w:t>models predictions which is expected considering the intuitive belief of a word that carries a negative connotation.</w:t>
      </w:r>
    </w:p>
    <w:p w14:paraId="40573739" w14:textId="77777777" w:rsidR="00E93B6B" w:rsidRPr="00D06BAC" w:rsidRDefault="00000000" w:rsidP="00D06BAC">
      <w:pPr>
        <w:spacing w:before="120" w:after="80" w:line="360" w:lineRule="auto"/>
        <w:jc w:val="center"/>
      </w:pPr>
      <w:r w:rsidRPr="00D06BAC">
        <w:rPr>
          <w:noProof/>
        </w:rPr>
        <w:drawing>
          <wp:inline distT="0" distB="0" distL="0" distR="0" wp14:anchorId="56643D8D" wp14:editId="5E9A3153">
            <wp:extent cx="4381500" cy="2476500"/>
            <wp:effectExtent l="0" t="0" r="0" b="0"/>
            <wp:docPr id="1195274051" name="fig_9_cell29.png" descr="fig_9_cell29.png" title="fig_9_cell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381500" cy="2476500"/>
                    </a:xfrm>
                    <a:prstGeom prst="rect">
                      <a:avLst/>
                    </a:prstGeom>
                  </pic:spPr>
                </pic:pic>
              </a:graphicData>
            </a:graphic>
          </wp:inline>
        </w:drawing>
      </w:r>
    </w:p>
    <w:p w14:paraId="6CEE4DB6" w14:textId="77777777" w:rsidR="00E93B6B" w:rsidRPr="00D06BAC" w:rsidRDefault="00000000" w:rsidP="00D06BAC">
      <w:pPr>
        <w:spacing w:after="240" w:line="360" w:lineRule="auto"/>
        <w:jc w:val="center"/>
      </w:pPr>
      <w:r w:rsidRPr="00D06BAC">
        <w:rPr>
          <w:i/>
          <w:iCs/>
          <w:sz w:val="20"/>
          <w:szCs w:val="20"/>
        </w:rPr>
        <w:t>Figure 10. SHAP feature importance analysis for the Logistic Regression model (top 20 features).</w:t>
      </w:r>
    </w:p>
    <w:p w14:paraId="0D282E50" w14:textId="33D30D37" w:rsidR="00E93B6B" w:rsidRPr="00D06BAC" w:rsidRDefault="004F4055" w:rsidP="00D06BAC">
      <w:pPr>
        <w:spacing w:after="200" w:line="360" w:lineRule="auto"/>
        <w:jc w:val="both"/>
      </w:pPr>
      <w:r w:rsidRPr="00D06BAC">
        <w:t>DistilBERT model on the other hand encodes sentiment in distributed contextual representations in 6 transformer layers plus 12 attention heads per layer. Although attention weight visualisation gives some understanding of what tokens the model in question considers when drawing predictions, Jain and Wallace (2021, pp. 4-5) have found that the distribution of attention does not consistently reflect the importance of features. However, attention visualisation has still been useful as a qualitative method of getting to know the behaviour of models. Transformer models have the ability to learn the contextual dependencies, i.e. patterns of negation where not good is negatively connoted in spite of the behaviourally positive word good; this is a core strength of transformer models over bag-of-words representations.</w:t>
      </w:r>
    </w:p>
    <w:p w14:paraId="59857BD1" w14:textId="77777777" w:rsidR="00E93B6B" w:rsidRPr="00D06BAC" w:rsidRDefault="00000000" w:rsidP="00D06BAC">
      <w:pPr>
        <w:pStyle w:val="Heading2"/>
        <w:spacing w:line="360" w:lineRule="auto"/>
        <w:rPr>
          <w:color w:val="auto"/>
        </w:rPr>
      </w:pPr>
      <w:r w:rsidRPr="00D06BAC">
        <w:rPr>
          <w:color w:val="auto"/>
        </w:rPr>
        <w:t>5.2 Computational Efficiency and Scalability</w:t>
      </w:r>
    </w:p>
    <w:p w14:paraId="70EBE913" w14:textId="1425A8E8" w:rsidR="00E93B6B" w:rsidRPr="00D06BAC" w:rsidRDefault="004F4055" w:rsidP="00D06BAC">
      <w:pPr>
        <w:spacing w:after="200" w:line="360" w:lineRule="auto"/>
        <w:jc w:val="both"/>
      </w:pPr>
      <w:r w:rsidRPr="00D06BAC">
        <w:t xml:space="preserve">The two models are radically different in terms of computational requirements. When trained, the milliseconds required to predict thousands of samples using the Logistic Regression model are considerably low, it has lower memory needs, and the model can be run on standard, no specialised, CPU hardware. Despite being significantly smaller than the BERT on which it is based, having 66.9 million parameters against BERTs 110 million, DistilBERT nevertheless necessitates GPU acceleration to be practical as well as fine-tuning and has significantly lower inference throughput. It took about 14.6 minutes (877 seconds) to do the 10,000 samples with a T4 Tesla card in three epochs, which is compared to less than a second (14.6) to run the otherwise 15-configuration GridSearchCV on the full 25,000-sample training set with the </w:t>
      </w:r>
      <w:r w:rsidRPr="00D06BAC">
        <w:lastRenderedPageBreak/>
        <w:t>Logistic Regression model. The implications of these differences in efficiency are quite important in being deployed in resource-constrained or latency-sensitive settings (Sanh et al., 2020, p. 3).</w:t>
      </w:r>
    </w:p>
    <w:p w14:paraId="25596A2D" w14:textId="77777777" w:rsidR="00E93B6B" w:rsidRPr="00D06BAC" w:rsidRDefault="00000000" w:rsidP="00D06BAC">
      <w:pPr>
        <w:pStyle w:val="Heading2"/>
        <w:spacing w:line="360" w:lineRule="auto"/>
        <w:rPr>
          <w:color w:val="auto"/>
        </w:rPr>
      </w:pPr>
      <w:r w:rsidRPr="00D06BAC">
        <w:rPr>
          <w:color w:val="auto"/>
        </w:rPr>
        <w:t>5.3 Overfitting, Robustness, and Data Bias</w:t>
      </w:r>
    </w:p>
    <w:p w14:paraId="724B05F4" w14:textId="73863F6D" w:rsidR="00E93B6B" w:rsidRPr="00D06BAC" w:rsidRDefault="004F4055" w:rsidP="00D06BAC">
      <w:pPr>
        <w:spacing w:after="200" w:line="360" w:lineRule="auto"/>
        <w:jc w:val="both"/>
      </w:pPr>
      <w:r w:rsidRPr="00D06BAC">
        <w:t>The training curves of DistillBERT show that it training accuracy (96.75) versus validation accuracy (91.06) I got a bigger difference between the two, which is the 3rd epoch and is the manifestation of overfitting. This is known to be a difficulty of training large pre-trained models with relatively small datasets (Devlin et al., 2019, p. 14). The possible mitigation strategies involve early termination, dropout regularisation, data augmentation as well as larger training subset. The IMDB dataset per se is not very diverse in terms of both demographic and domain, as it contains only the review of the movies in one language on a sole platform, which can limit its generalisation to other areas, such as product reviews, social media posts, or the multilingual corpora (Wankhade, Rao and Kulkarni, 2022, p. 18).</w:t>
      </w:r>
    </w:p>
    <w:p w14:paraId="43305807" w14:textId="77777777" w:rsidR="00E93B6B" w:rsidRPr="00D06BAC" w:rsidRDefault="00000000" w:rsidP="00D06BAC">
      <w:pPr>
        <w:pStyle w:val="Heading2"/>
        <w:spacing w:line="360" w:lineRule="auto"/>
        <w:rPr>
          <w:color w:val="auto"/>
        </w:rPr>
      </w:pPr>
      <w:r w:rsidRPr="00D06BAC">
        <w:rPr>
          <w:color w:val="auto"/>
        </w:rPr>
        <w:t>5.4 Comparison with Prior Studies</w:t>
      </w:r>
    </w:p>
    <w:p w14:paraId="30ADDE15" w14:textId="132462AA" w:rsidR="00E93B6B" w:rsidRPr="00D06BAC" w:rsidRDefault="004F4055" w:rsidP="00D06BAC">
      <w:pPr>
        <w:spacing w:after="200" w:line="360" w:lineRule="auto"/>
        <w:jc w:val="both"/>
      </w:pPr>
      <w:r w:rsidRPr="00D06BAC">
        <w:t>Findings in this research are widely in line with the published standards. Abas et al. (2022, p. 9) described BERTApplication of BERT-based models with an average of F1-scores of 0.90-0.93 on the IMDB dataset, compared to classifiers of 0.86-0.89 on average. The DistilBERT F1-score of 0.9107 of the current study is in the range that can be expected, especially considering that fewer training subset occurred as a result of computational considerations. The F1-score of the Logistic Regression of 0.8920 also fits the known baselines indicating the validity of the experimental approach.</w:t>
      </w:r>
    </w:p>
    <w:p w14:paraId="192DA7CB" w14:textId="77777777" w:rsidR="00E93B6B" w:rsidRPr="00D06BAC" w:rsidRDefault="00000000" w:rsidP="00D06BAC">
      <w:pPr>
        <w:pStyle w:val="Heading1"/>
        <w:spacing w:line="360" w:lineRule="auto"/>
        <w:rPr>
          <w:color w:val="auto"/>
        </w:rPr>
      </w:pPr>
      <w:r w:rsidRPr="00D06BAC">
        <w:rPr>
          <w:color w:val="auto"/>
        </w:rPr>
        <w:t>6. Conclusion and Recommendations</w:t>
      </w:r>
    </w:p>
    <w:p w14:paraId="3AD7C990" w14:textId="77777777" w:rsidR="004F4055" w:rsidRPr="00D06BAC" w:rsidRDefault="004F4055" w:rsidP="00D06BAC">
      <w:pPr>
        <w:spacing w:after="200" w:line="360" w:lineRule="auto"/>
        <w:jc w:val="both"/>
      </w:pPr>
      <w:r w:rsidRPr="00D06BAC">
        <w:t>This paper has shown that, transformer-based models, namely DistilBERT can achieve quantifiable performance gains with regards to traditional TF-IDF using Logistic Regression to classify binary sentiment on IMDB Reviews data. The DistilBERT model had F1 -score of 0.9107 and 0.8920 by traditional approach which shows an improvement in all evaluation metrics. Nevertheless, such a performance improvement incurs the cost of much higher computational needs, a lower inference rate, and lower interpretability.</w:t>
      </w:r>
    </w:p>
    <w:p w14:paraId="035C5B1B" w14:textId="77777777" w:rsidR="004F4055" w:rsidRPr="00D06BAC" w:rsidRDefault="004F4055" w:rsidP="00D06BAC">
      <w:pPr>
        <w:spacing w:after="200" w:line="360" w:lineRule="auto"/>
        <w:jc w:val="both"/>
      </w:pPr>
      <w:r w:rsidRPr="00D06BAC">
        <w:lastRenderedPageBreak/>
        <w:t>As a result of these discoveries, the developed suggestions can be offered in the context of implementing AI-based sentiment analysis systems. In use-cases where transparency and explainability are central (e.g. regulated financial services or health care monitoring), the classical TF-IDF based on Logistic Regression approach is an attractive option in regards to sufficient performance, fast inference and complete model transparency. To achieve the highest level of accuracy, as in the case of an application that aims at a high degree of social media monitoring or brand perception monitoring, DistilBERT gives a better performance in terms of classification and is useful due to its distilled structure. Hybrid methods, where a fast traditional model is to be used to screen the initial component, and a transformer one to process ambiguous or high-stakes cases in need of more contextual information should also be considered, in organisations.</w:t>
      </w:r>
    </w:p>
    <w:p w14:paraId="04A5C22F" w14:textId="091FBA5B" w:rsidR="00E93B6B" w:rsidRPr="00D06BAC" w:rsidRDefault="004F4055" w:rsidP="00D06BAC">
      <w:pPr>
        <w:spacing w:after="200" w:line="360" w:lineRule="auto"/>
        <w:jc w:val="both"/>
      </w:pPr>
      <w:r w:rsidRPr="00D06BAC">
        <w:t>Such ethical considerations as sentiment models that are regularly audited on the basis of demographic and cultural bias in training data, communicating to the end-users the limitations in models, and using automated sentiment categories as the basis of consequential decisions that affect individuals are part of ethical considerations of deployment (Wankhade, Rao and Kulkarni, 2022, p. 20). Cross-domain transfer learning, multilingual sentiment analysis, finding and applying more complex interpretability systems like integrated gradients should be studied in the future to bridge the gap between model performance and explainability.</w:t>
      </w:r>
      <w:r w:rsidRPr="00D06BAC">
        <w:br w:type="page"/>
      </w:r>
    </w:p>
    <w:p w14:paraId="66173F11" w14:textId="1F37FB9B" w:rsidR="00E93B6B" w:rsidRPr="00D06BAC" w:rsidRDefault="00000000" w:rsidP="00D06BAC">
      <w:pPr>
        <w:pStyle w:val="Heading1"/>
        <w:spacing w:line="360" w:lineRule="auto"/>
        <w:rPr>
          <w:color w:val="auto"/>
        </w:rPr>
      </w:pPr>
      <w:r w:rsidRPr="00D06BAC">
        <w:rPr>
          <w:color w:val="auto"/>
        </w:rPr>
        <w:lastRenderedPageBreak/>
        <w:t>References</w:t>
      </w:r>
    </w:p>
    <w:p w14:paraId="24DB5FA5" w14:textId="05A8DFC4" w:rsidR="00E93B6B" w:rsidRPr="00D06BAC" w:rsidRDefault="00000000" w:rsidP="00D06BAC">
      <w:pPr>
        <w:spacing w:after="200" w:line="360" w:lineRule="auto"/>
      </w:pPr>
      <w:r w:rsidRPr="00D06BAC">
        <w:t xml:space="preserve">Abas, A.R., Elhenawy, I., Zidan, M. and Othman, M. (2022) ‘BERT-based Arabic social media sentiment analysis with a pre-trained language model’, </w:t>
      </w:r>
      <w:r w:rsidRPr="00D06BAC">
        <w:rPr>
          <w:i/>
          <w:iCs/>
        </w:rPr>
        <w:t>Journal of King Saud University – Computer and Information Sciences</w:t>
      </w:r>
      <w:r w:rsidRPr="00D06BAC">
        <w:t xml:space="preserve">, 34(10), pp. 8914–8926. doi: 10.1016/j.jksuci.2022.08.022. [Online]. Available at: </w:t>
      </w:r>
      <w:hyperlink r:id="rId17" w:history="1">
        <w:r w:rsidR="00EA5AEC" w:rsidRPr="00D06BAC">
          <w:rPr>
            <w:rStyle w:val="Hyperlink"/>
          </w:rPr>
          <w:t>http://deepdyve.com/browse/journals/2213-1248?rows=10&amp;start=0</w:t>
        </w:r>
      </w:hyperlink>
    </w:p>
    <w:p w14:paraId="0EF10912" w14:textId="302812C8" w:rsidR="00E93B6B" w:rsidRPr="00D06BAC" w:rsidRDefault="00000000" w:rsidP="00D06BAC">
      <w:pPr>
        <w:spacing w:after="200" w:line="360" w:lineRule="auto"/>
      </w:pPr>
      <w:r w:rsidRPr="00D06BAC">
        <w:t xml:space="preserve">Devlin, J., Chang, M.W., Lee, K. and Toutanova, K. (2019) ‘BERT: Pre-training of deep bidirectional transformers for language understanding’, </w:t>
      </w:r>
      <w:r w:rsidRPr="00D06BAC">
        <w:rPr>
          <w:i/>
          <w:iCs/>
        </w:rPr>
        <w:t>Proceedings of the 2019 Conference of the North American Chapter of the Association for Computational Linguistics</w:t>
      </w:r>
      <w:r w:rsidRPr="00D06BAC">
        <w:t xml:space="preserve">, pp. 4171–4186. doi: 10.18653/v1/N19-1423. [Online]. Available at: </w:t>
      </w:r>
      <w:hyperlink r:id="rId18" w:history="1">
        <w:r w:rsidR="00E93B6B" w:rsidRPr="00D06BAC">
          <w:rPr>
            <w:rStyle w:val="Hyperlink"/>
            <w:color w:val="auto"/>
          </w:rPr>
          <w:t>https://doi.org/10.18653/v1/N19-1423</w:t>
        </w:r>
      </w:hyperlink>
    </w:p>
    <w:p w14:paraId="4FF5BFFE" w14:textId="0C653FBA" w:rsidR="00E93B6B" w:rsidRPr="00D06BAC" w:rsidRDefault="00000000" w:rsidP="00D06BAC">
      <w:pPr>
        <w:spacing w:after="200" w:line="360" w:lineRule="auto"/>
      </w:pPr>
      <w:r w:rsidRPr="00D06BAC">
        <w:t xml:space="preserve">Jain, S. and Wallace, B.C. (2021) ‘Attention is not explanation’, </w:t>
      </w:r>
      <w:r w:rsidRPr="00D06BAC">
        <w:rPr>
          <w:i/>
          <w:iCs/>
        </w:rPr>
        <w:t>Proceedings of the 2019 Conference of the North American Chapter of the Association for Computational Linguistics</w:t>
      </w:r>
      <w:r w:rsidRPr="00D06BAC">
        <w:t xml:space="preserve">, pp. 3543–3556. doi: 10.18653/v1/N19-1357. [Online]. Available at: </w:t>
      </w:r>
      <w:hyperlink r:id="rId19" w:history="1">
        <w:r w:rsidR="00E93B6B" w:rsidRPr="00D06BAC">
          <w:rPr>
            <w:rStyle w:val="Hyperlink"/>
            <w:color w:val="auto"/>
          </w:rPr>
          <w:t>https://doi.org/10.18653/v1/N19-1357</w:t>
        </w:r>
      </w:hyperlink>
    </w:p>
    <w:p w14:paraId="21D365EA" w14:textId="234A7779" w:rsidR="00E93B6B" w:rsidRPr="00D06BAC" w:rsidRDefault="00000000" w:rsidP="00D06BAC">
      <w:pPr>
        <w:spacing w:after="200" w:line="360" w:lineRule="auto"/>
      </w:pPr>
      <w:r w:rsidRPr="00D06BAC">
        <w:t xml:space="preserve">Lundberg, S.M. and Lee, S.I. (2020) ‘A unified approach to interpreting model predictions’, </w:t>
      </w:r>
      <w:r w:rsidRPr="00D06BAC">
        <w:rPr>
          <w:i/>
          <w:iCs/>
        </w:rPr>
        <w:t>Advances in Neural Information Processing Systems</w:t>
      </w:r>
      <w:r w:rsidRPr="00D06BAC">
        <w:t xml:space="preserve">, 30, pp. 4765–4774. Available at:  [Online]. Available at: </w:t>
      </w:r>
      <w:hyperlink r:id="rId20" w:history="1">
        <w:r w:rsidR="00E93B6B" w:rsidRPr="00D06BAC">
          <w:rPr>
            <w:rStyle w:val="Hyperlink"/>
            <w:color w:val="auto"/>
          </w:rPr>
          <w:t>https://proceedings.neurips.cc/paper/2017/hash/8a20a8621978632d76c43dfd28b67767-Abstract.html</w:t>
        </w:r>
      </w:hyperlink>
    </w:p>
    <w:p w14:paraId="45F99866" w14:textId="7AD61992" w:rsidR="00E93B6B" w:rsidRPr="00D06BAC" w:rsidRDefault="00000000" w:rsidP="00D06BAC">
      <w:pPr>
        <w:spacing w:after="200" w:line="360" w:lineRule="auto"/>
      </w:pPr>
      <w:r w:rsidRPr="00D06BAC">
        <w:t xml:space="preserve">Maas, A.L., Daly, R.E., Pham, P.T., Huang, D., Ng, A.Y. and Potts, C. (2021) ‘Learning word vectors for sentiment analysis’, </w:t>
      </w:r>
      <w:r w:rsidRPr="00D06BAC">
        <w:rPr>
          <w:i/>
          <w:iCs/>
        </w:rPr>
        <w:t>Proceedings of the 49th Annual Meeting of the Association for Computational Linguistics</w:t>
      </w:r>
      <w:r w:rsidRPr="00D06BAC">
        <w:t xml:space="preserve">, pp. 142–150. Available at:  [Online]. Available at: </w:t>
      </w:r>
      <w:hyperlink r:id="rId21" w:history="1">
        <w:r w:rsidR="00E93B6B" w:rsidRPr="00D06BAC">
          <w:rPr>
            <w:rStyle w:val="Hyperlink"/>
            <w:color w:val="auto"/>
          </w:rPr>
          <w:t>https://ai.stanford.edu/~amaas/data/sentiment/</w:t>
        </w:r>
      </w:hyperlink>
    </w:p>
    <w:p w14:paraId="13586B75" w14:textId="029FF439" w:rsidR="00E93B6B" w:rsidRPr="00D06BAC" w:rsidRDefault="00000000" w:rsidP="00D06BAC">
      <w:pPr>
        <w:spacing w:after="200" w:line="360" w:lineRule="auto"/>
      </w:pPr>
      <w:r w:rsidRPr="00D06BAC">
        <w:t xml:space="preserve">Sanh, V., Debut, L., Chaumond, J. and Wolf, T. (2020) ‘DistilBERT, a distilled version of BERT: Smaller, faster, cheaper and lighter’, </w:t>
      </w:r>
      <w:r w:rsidRPr="00D06BAC">
        <w:rPr>
          <w:i/>
          <w:iCs/>
        </w:rPr>
        <w:t>arXiv preprint</w:t>
      </w:r>
      <w:r w:rsidRPr="00D06BAC">
        <w:t xml:space="preserve">, arXiv:1910.01108. doi: 10.48550/arXiv.1910.01108. [Online]. Available at: </w:t>
      </w:r>
      <w:hyperlink r:id="rId22" w:history="1">
        <w:r w:rsidR="00E93B6B" w:rsidRPr="00D06BAC">
          <w:rPr>
            <w:rStyle w:val="Hyperlink"/>
            <w:color w:val="auto"/>
          </w:rPr>
          <w:t>https://doi.org/10.48550/arXiv.1910.01108</w:t>
        </w:r>
      </w:hyperlink>
    </w:p>
    <w:p w14:paraId="421F1848" w14:textId="4D68DDB0" w:rsidR="00E93B6B" w:rsidRPr="00D06BAC" w:rsidRDefault="00000000" w:rsidP="00D06BAC">
      <w:pPr>
        <w:spacing w:after="200" w:line="360" w:lineRule="auto"/>
      </w:pPr>
      <w:r w:rsidRPr="00D06BAC">
        <w:t xml:space="preserve">Vaswani, A., Shazeer, N., Parmar, N., Uszkoreit, J., Jones, L., Gomez, A.N., Kaiser, Ł. and Polosukhin, I. (2023) ‘Attention is all you need’, </w:t>
      </w:r>
      <w:r w:rsidRPr="00D06BAC">
        <w:rPr>
          <w:i/>
          <w:iCs/>
        </w:rPr>
        <w:t xml:space="preserve">Advances in Neural Information Processing </w:t>
      </w:r>
      <w:r w:rsidRPr="00D06BAC">
        <w:rPr>
          <w:i/>
          <w:iCs/>
        </w:rPr>
        <w:lastRenderedPageBreak/>
        <w:t>Systems</w:t>
      </w:r>
      <w:r w:rsidRPr="00D06BAC">
        <w:t xml:space="preserve">, 30, pp. 5998–6008. doi: 10.48550/arXiv.1706.03762. [Online]. Available at: </w:t>
      </w:r>
      <w:hyperlink r:id="rId23" w:history="1">
        <w:r w:rsidR="00E93B6B" w:rsidRPr="00D06BAC">
          <w:rPr>
            <w:rStyle w:val="Hyperlink"/>
            <w:color w:val="auto"/>
          </w:rPr>
          <w:t>https://doi.org/10.48550/arXiv.1706.03762</w:t>
        </w:r>
      </w:hyperlink>
    </w:p>
    <w:p w14:paraId="3DF36583" w14:textId="4B0D7E82" w:rsidR="00E93B6B" w:rsidRPr="00D06BAC" w:rsidRDefault="00000000" w:rsidP="00D06BAC">
      <w:pPr>
        <w:spacing w:after="200" w:line="360" w:lineRule="auto"/>
      </w:pPr>
      <w:r w:rsidRPr="00D06BAC">
        <w:t xml:space="preserve">Wankhade, M., Rao, A.C.S. and Kulkarni, C. (2022) ‘A survey on sentiment analysis methods, applications, and challenges’, </w:t>
      </w:r>
      <w:r w:rsidRPr="00D06BAC">
        <w:rPr>
          <w:i/>
          <w:iCs/>
        </w:rPr>
        <w:t>Artificial Intelligence Review</w:t>
      </w:r>
      <w:r w:rsidRPr="00D06BAC">
        <w:t xml:space="preserve">, 55(7), pp. 5731–5780. doi: 10.1007/s10462-022-10144-1. [Online]. Available at: </w:t>
      </w:r>
      <w:hyperlink r:id="rId24" w:history="1">
        <w:r w:rsidR="00E93B6B" w:rsidRPr="00D06BAC">
          <w:rPr>
            <w:rStyle w:val="Hyperlink"/>
            <w:color w:val="auto"/>
          </w:rPr>
          <w:t>https://doi.org/10.1007/s10462-022-10144-1</w:t>
        </w:r>
      </w:hyperlink>
    </w:p>
    <w:p w14:paraId="3D8A26E2" w14:textId="5FBB1C56" w:rsidR="00E93B6B" w:rsidRPr="00D06BAC" w:rsidRDefault="00000000" w:rsidP="00D06BAC">
      <w:pPr>
        <w:spacing w:after="200" w:line="360" w:lineRule="auto"/>
      </w:pPr>
      <w:r w:rsidRPr="00D06BAC">
        <w:t xml:space="preserve">Yadav, A. and Vishwakarma, D.K. (2020) ‘Sentiment analysis using deep learning architectures: A review’, </w:t>
      </w:r>
      <w:r w:rsidRPr="00D06BAC">
        <w:rPr>
          <w:i/>
          <w:iCs/>
        </w:rPr>
        <w:t>Artificial Intelligence Review</w:t>
      </w:r>
      <w:r w:rsidRPr="00D06BAC">
        <w:t xml:space="preserve">, 53(6), pp. 4335–4385. doi: 10.1007/s10462-019-09794-5. [Online]. Available at: </w:t>
      </w:r>
      <w:hyperlink r:id="rId25" w:history="1">
        <w:r w:rsidR="00E93B6B" w:rsidRPr="00D06BAC">
          <w:rPr>
            <w:rStyle w:val="Hyperlink"/>
            <w:color w:val="auto"/>
          </w:rPr>
          <w:t>https://doi.org/10.1007/s10462-019-09794-5</w:t>
        </w:r>
      </w:hyperlink>
    </w:p>
    <w:sectPr w:rsidR="00E93B6B" w:rsidRPr="00D06BAC" w:rsidSect="00D06BAC">
      <w:footerReference w:type="default" r:id="rId2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8CE0A" w14:textId="77777777" w:rsidR="000F2EA9" w:rsidRDefault="000F2EA9">
      <w:r>
        <w:separator/>
      </w:r>
    </w:p>
  </w:endnote>
  <w:endnote w:type="continuationSeparator" w:id="0">
    <w:p w14:paraId="262DB6BE" w14:textId="77777777" w:rsidR="000F2EA9" w:rsidRDefault="000F2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738801"/>
      <w:docPartObj>
        <w:docPartGallery w:val="Page Numbers (Bottom of Page)"/>
        <w:docPartUnique/>
      </w:docPartObj>
    </w:sdtPr>
    <w:sdtEndPr>
      <w:rPr>
        <w:noProof/>
      </w:rPr>
    </w:sdtEndPr>
    <w:sdtContent>
      <w:p w14:paraId="39D2347D" w14:textId="2229066C" w:rsidR="004F5314" w:rsidRDefault="004F53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10B637" w14:textId="5DD8C1E1" w:rsidR="00E93B6B" w:rsidRPr="004F5314" w:rsidRDefault="00E93B6B" w:rsidP="004F5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D307F" w14:textId="77777777" w:rsidR="000F2EA9" w:rsidRDefault="000F2EA9">
      <w:r>
        <w:separator/>
      </w:r>
    </w:p>
  </w:footnote>
  <w:footnote w:type="continuationSeparator" w:id="0">
    <w:p w14:paraId="0E769BA1" w14:textId="77777777" w:rsidR="000F2EA9" w:rsidRDefault="000F2E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0C466C"/>
    <w:multiLevelType w:val="hybridMultilevel"/>
    <w:tmpl w:val="C2F8312A"/>
    <w:lvl w:ilvl="0" w:tplc="A556871C">
      <w:start w:val="1"/>
      <w:numFmt w:val="bullet"/>
      <w:lvlText w:val="●"/>
      <w:lvlJc w:val="left"/>
      <w:pPr>
        <w:ind w:left="720" w:hanging="360"/>
      </w:pPr>
    </w:lvl>
    <w:lvl w:ilvl="1" w:tplc="A7141DEA">
      <w:start w:val="1"/>
      <w:numFmt w:val="bullet"/>
      <w:lvlText w:val="○"/>
      <w:lvlJc w:val="left"/>
      <w:pPr>
        <w:ind w:left="1440" w:hanging="360"/>
      </w:pPr>
    </w:lvl>
    <w:lvl w:ilvl="2" w:tplc="E5766206">
      <w:start w:val="1"/>
      <w:numFmt w:val="bullet"/>
      <w:lvlText w:val="■"/>
      <w:lvlJc w:val="left"/>
      <w:pPr>
        <w:ind w:left="2160" w:hanging="360"/>
      </w:pPr>
    </w:lvl>
    <w:lvl w:ilvl="3" w:tplc="E6BE86A8">
      <w:start w:val="1"/>
      <w:numFmt w:val="bullet"/>
      <w:lvlText w:val="●"/>
      <w:lvlJc w:val="left"/>
      <w:pPr>
        <w:ind w:left="2880" w:hanging="360"/>
      </w:pPr>
    </w:lvl>
    <w:lvl w:ilvl="4" w:tplc="6644AEC0">
      <w:start w:val="1"/>
      <w:numFmt w:val="bullet"/>
      <w:lvlText w:val="○"/>
      <w:lvlJc w:val="left"/>
      <w:pPr>
        <w:ind w:left="3600" w:hanging="360"/>
      </w:pPr>
    </w:lvl>
    <w:lvl w:ilvl="5" w:tplc="892E0B3E">
      <w:start w:val="1"/>
      <w:numFmt w:val="bullet"/>
      <w:lvlText w:val="■"/>
      <w:lvlJc w:val="left"/>
      <w:pPr>
        <w:ind w:left="4320" w:hanging="360"/>
      </w:pPr>
    </w:lvl>
    <w:lvl w:ilvl="6" w:tplc="8FC02D8A">
      <w:start w:val="1"/>
      <w:numFmt w:val="bullet"/>
      <w:lvlText w:val="●"/>
      <w:lvlJc w:val="left"/>
      <w:pPr>
        <w:ind w:left="5040" w:hanging="360"/>
      </w:pPr>
    </w:lvl>
    <w:lvl w:ilvl="7" w:tplc="5048570E">
      <w:start w:val="1"/>
      <w:numFmt w:val="bullet"/>
      <w:lvlText w:val="●"/>
      <w:lvlJc w:val="left"/>
      <w:pPr>
        <w:ind w:left="5760" w:hanging="360"/>
      </w:pPr>
    </w:lvl>
    <w:lvl w:ilvl="8" w:tplc="4D6CC0FC">
      <w:start w:val="1"/>
      <w:numFmt w:val="bullet"/>
      <w:lvlText w:val="●"/>
      <w:lvlJc w:val="left"/>
      <w:pPr>
        <w:ind w:left="6480" w:hanging="360"/>
      </w:pPr>
    </w:lvl>
  </w:abstractNum>
  <w:num w:numId="1" w16cid:durableId="27440670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B6B"/>
    <w:rsid w:val="000912AB"/>
    <w:rsid w:val="000F2EA9"/>
    <w:rsid w:val="00251A56"/>
    <w:rsid w:val="00344010"/>
    <w:rsid w:val="004F4055"/>
    <w:rsid w:val="004F5314"/>
    <w:rsid w:val="00750EC5"/>
    <w:rsid w:val="00D011C2"/>
    <w:rsid w:val="00D06BAC"/>
    <w:rsid w:val="00D80983"/>
    <w:rsid w:val="00E93B6B"/>
    <w:rsid w:val="00EA5AEC"/>
    <w:rsid w:val="00F337FC"/>
  </w:rsids>
  <m:mathPr>
    <m:mathFont m:val="Cambria Math"/>
    <m:brkBin m:val="before"/>
    <m:brkBinSub m:val="--"/>
    <m:smallFrac m:val="0"/>
    <m:dispDef/>
    <m:lMargin m:val="0"/>
    <m:rMargin m:val="0"/>
    <m:defJc m:val="centerGroup"/>
    <m:wrapIndent m:val="1440"/>
    <m:intLim m:val="subSup"/>
    <m:naryLim m:val="undOvr"/>
  </m:mathPr>
  <w:themeFontLang w:val="en-CA"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BA0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CA" w:eastAsia="en-CA"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B3A5C"/>
      <w:sz w:val="28"/>
      <w:szCs w:val="28"/>
    </w:rPr>
  </w:style>
  <w:style w:type="paragraph" w:styleId="Heading2">
    <w:name w:val="heading 2"/>
    <w:uiPriority w:val="9"/>
    <w:unhideWhenUsed/>
    <w:qFormat/>
    <w:pPr>
      <w:spacing w:before="280" w:after="160"/>
      <w:outlineLvl w:val="1"/>
    </w:pPr>
    <w:rPr>
      <w:b/>
      <w:bCs/>
      <w:color w:val="1B3A5C"/>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D80983"/>
    <w:pPr>
      <w:tabs>
        <w:tab w:val="center" w:pos="4680"/>
        <w:tab w:val="right" w:pos="9360"/>
      </w:tabs>
    </w:pPr>
  </w:style>
  <w:style w:type="character" w:customStyle="1" w:styleId="HeaderChar">
    <w:name w:val="Header Char"/>
    <w:basedOn w:val="DefaultParagraphFont"/>
    <w:link w:val="Header"/>
    <w:uiPriority w:val="99"/>
    <w:rsid w:val="00D80983"/>
  </w:style>
  <w:style w:type="paragraph" w:styleId="Footer">
    <w:name w:val="footer"/>
    <w:basedOn w:val="Normal"/>
    <w:link w:val="FooterChar"/>
    <w:uiPriority w:val="99"/>
    <w:unhideWhenUsed/>
    <w:rsid w:val="00D80983"/>
    <w:pPr>
      <w:tabs>
        <w:tab w:val="center" w:pos="4680"/>
        <w:tab w:val="right" w:pos="9360"/>
      </w:tabs>
    </w:pPr>
  </w:style>
  <w:style w:type="character" w:customStyle="1" w:styleId="FooterChar">
    <w:name w:val="Footer Char"/>
    <w:basedOn w:val="DefaultParagraphFont"/>
    <w:link w:val="Footer"/>
    <w:uiPriority w:val="99"/>
    <w:rsid w:val="00D80983"/>
  </w:style>
  <w:style w:type="character" w:styleId="FollowedHyperlink">
    <w:name w:val="FollowedHyperlink"/>
    <w:basedOn w:val="DefaultParagraphFont"/>
    <w:uiPriority w:val="99"/>
    <w:semiHidden/>
    <w:unhideWhenUsed/>
    <w:rsid w:val="00EA5AEC"/>
    <w:rPr>
      <w:color w:val="96607D" w:themeColor="followedHyperlink"/>
      <w:u w:val="single"/>
    </w:rPr>
  </w:style>
  <w:style w:type="character" w:styleId="UnresolvedMention">
    <w:name w:val="Unresolved Mention"/>
    <w:basedOn w:val="DefaultParagraphFont"/>
    <w:uiPriority w:val="99"/>
    <w:semiHidden/>
    <w:unhideWhenUsed/>
    <w:rsid w:val="00EA5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8653/v1/N19-1423"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ai.stanford.edu/~amaas/data/sentimen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deepdyve.com/browse/journals/2213-1248?rows=10&amp;start=0" TargetMode="External"/><Relationship Id="rId25" Type="http://schemas.openxmlformats.org/officeDocument/2006/relationships/hyperlink" Target="https://doi.org/10.1007/s10462-019-09794-5"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proceedings.neurips.cc/paper/2017/hash/8a20a8621978632d76c43dfd28b67767-Abstrac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07/s10462-022-10144-1"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48550/arXiv.1706.03762"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8653/v1/N19-135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48550/arXiv.1910.0110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2026-03-28T16:06:00Z</dcterms:created>
  <dcterms:modified xsi:type="dcterms:W3CDTF">2026-03-28T16:06:00Z</dcterms:modified>
</cp:coreProperties>
</file>