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720" w:firstLine="0"/>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Student Name: Aneesa Khatoon</w:t>
      </w:r>
    </w:p>
    <w:p w:rsidR="00000000" w:rsidDel="00000000" w:rsidP="00000000" w:rsidRDefault="00000000" w:rsidRPr="00000000" w14:paraId="00000002">
      <w:pPr>
        <w:ind w:left="720" w:firstLine="0"/>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Lecturer name: Helen Parsons </w:t>
      </w:r>
    </w:p>
    <w:p w:rsidR="00000000" w:rsidDel="00000000" w:rsidP="00000000" w:rsidRDefault="00000000" w:rsidRPr="00000000" w14:paraId="00000003">
      <w:pPr>
        <w:ind w:left="720" w:firstLine="0"/>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Student ID: 2425422</w:t>
      </w:r>
    </w:p>
    <w:p w:rsidR="00000000" w:rsidDel="00000000" w:rsidP="00000000" w:rsidRDefault="00000000" w:rsidRPr="00000000" w14:paraId="00000004">
      <w:pPr>
        <w:jc w:val="both"/>
        <w:rPr>
          <w:rFonts w:ascii="Arial" w:cs="Arial" w:eastAsia="Arial" w:hAnsi="Arial"/>
        </w:rPr>
      </w:pPr>
      <w:r w:rsidDel="00000000" w:rsidR="00000000" w:rsidRPr="00000000">
        <w:rPr>
          <w:rtl w:val="0"/>
        </w:rPr>
      </w:r>
    </w:p>
    <w:p w:rsidR="00000000" w:rsidDel="00000000" w:rsidP="00000000" w:rsidRDefault="00000000" w:rsidRPr="00000000" w14:paraId="00000005">
      <w:pPr>
        <w:jc w:val="both"/>
        <w:rPr>
          <w:rFonts w:ascii="Arial" w:cs="Arial" w:eastAsia="Arial" w:hAnsi="Arial"/>
        </w:rPr>
      </w:pPr>
      <w:r w:rsidDel="00000000" w:rsidR="00000000" w:rsidRPr="00000000">
        <w:rPr>
          <w:rtl w:val="0"/>
        </w:rPr>
      </w:r>
    </w:p>
    <w:p w:rsidR="00000000" w:rsidDel="00000000" w:rsidP="00000000" w:rsidRDefault="00000000" w:rsidRPr="00000000" w14:paraId="00000006">
      <w:pPr>
        <w:jc w:val="center"/>
        <w:rPr>
          <w:b w:val="1"/>
          <w:bCs w:val="1"/>
          <w:sz w:val="28"/>
          <w:szCs w:val="28"/>
        </w:rPr>
      </w:pPr>
      <w:r w:rsidDel="00000000" w:rsidR="00000000" w:rsidRPr="00000000">
        <w:rPr>
          <w:b w:val="1"/>
          <w:bCs w:val="1"/>
          <w:sz w:val="28"/>
          <w:szCs w:val="28"/>
          <w:rtl w:val="0"/>
        </w:rPr>
        <w:t xml:space="preserve">Module: Professional Development within Health and Social Care</w:t>
      </w:r>
    </w:p>
    <w:p w:rsidR="00000000" w:rsidDel="00000000" w:rsidP="00000000" w:rsidRDefault="00000000" w:rsidRPr="00000000" w14:paraId="00000007">
      <w:pPr>
        <w:jc w:val="center"/>
        <w:rPr>
          <w:b w:val="1"/>
          <w:bCs w:val="1"/>
          <w:sz w:val="28"/>
          <w:szCs w:val="28"/>
        </w:rPr>
      </w:pPr>
      <w:r w:rsidDel="00000000" w:rsidR="00000000" w:rsidRPr="00000000">
        <w:rPr>
          <w:b w:val="1"/>
          <w:bCs w:val="1"/>
          <w:sz w:val="28"/>
          <w:szCs w:val="28"/>
          <w:rtl w:val="0"/>
        </w:rPr>
        <w:t xml:space="preserve">Module code: LCHS4010</w:t>
      </w:r>
    </w:p>
    <w:p w:rsidR="00000000" w:rsidDel="00000000" w:rsidP="00000000" w:rsidRDefault="00000000" w:rsidRPr="00000000" w14:paraId="00000008">
      <w:pPr>
        <w:jc w:val="center"/>
        <w:rPr>
          <w:rFonts w:ascii="Arial" w:cs="Arial" w:eastAsia="Arial" w:hAnsi="Arial"/>
          <w:b w:val="1"/>
          <w:bCs w:val="1"/>
          <w:sz w:val="28"/>
          <w:szCs w:val="28"/>
        </w:rPr>
      </w:pPr>
      <w:r w:rsidDel="00000000" w:rsidR="00000000" w:rsidRPr="00000000">
        <w:rPr>
          <w:b w:val="1"/>
          <w:bCs w:val="1"/>
          <w:sz w:val="28"/>
          <w:szCs w:val="28"/>
          <w:rtl w:val="0"/>
        </w:rPr>
        <w:t xml:space="preserve">Assignment Title: Personal Development Portfolio</w:t>
      </w:r>
      <w:r w:rsidDel="00000000" w:rsidR="00000000" w:rsidRPr="00000000">
        <w:rPr>
          <w:rtl w:val="0"/>
        </w:rPr>
      </w:r>
    </w:p>
    <w:p w:rsidR="00000000" w:rsidDel="00000000" w:rsidP="00000000" w:rsidRDefault="00000000" w:rsidRPr="00000000" w14:paraId="00000009">
      <w:pPr>
        <w:jc w:val="both"/>
        <w:rPr>
          <w:rFonts w:ascii="Arial" w:cs="Arial" w:eastAsia="Arial" w:hAnsi="Arial"/>
        </w:rPr>
      </w:pPr>
      <w:r w:rsidDel="00000000" w:rsidR="00000000" w:rsidRPr="00000000">
        <w:rPr>
          <w:rtl w:val="0"/>
        </w:rPr>
      </w:r>
    </w:p>
    <w:p w:rsidR="00000000" w:rsidDel="00000000" w:rsidP="00000000" w:rsidRDefault="00000000" w:rsidRPr="00000000" w14:paraId="0000000A">
      <w:pPr>
        <w:jc w:val="both"/>
        <w:rPr>
          <w:rFonts w:ascii="Arial" w:cs="Arial" w:eastAsia="Arial" w:hAnsi="Arial"/>
        </w:rPr>
      </w:pPr>
      <w:r w:rsidDel="00000000" w:rsidR="00000000" w:rsidRPr="00000000">
        <w:rPr>
          <w:rtl w:val="0"/>
        </w:rPr>
      </w:r>
    </w:p>
    <w:p w:rsidR="00000000" w:rsidDel="00000000" w:rsidP="00000000" w:rsidRDefault="00000000" w:rsidRPr="00000000" w14:paraId="0000000B">
      <w:pPr>
        <w:jc w:val="both"/>
        <w:rPr>
          <w:rFonts w:ascii="Arial" w:cs="Arial" w:eastAsia="Arial" w:hAnsi="Arial"/>
        </w:rPr>
      </w:pPr>
      <w:r w:rsidDel="00000000" w:rsidR="00000000" w:rsidRPr="00000000">
        <w:rPr>
          <w:rtl w:val="0"/>
        </w:rPr>
      </w:r>
    </w:p>
    <w:p w:rsidR="00000000" w:rsidDel="00000000" w:rsidP="00000000" w:rsidRDefault="00000000" w:rsidRPr="00000000" w14:paraId="0000000C">
      <w:pPr>
        <w:jc w:val="both"/>
        <w:rPr>
          <w:rFonts w:ascii="Arial" w:cs="Arial" w:eastAsia="Arial" w:hAnsi="Arial"/>
        </w:rPr>
      </w:pPr>
      <w:r w:rsidDel="00000000" w:rsidR="00000000" w:rsidRPr="00000000">
        <w:rPr>
          <w:rtl w:val="0"/>
        </w:rPr>
      </w:r>
    </w:p>
    <w:p w:rsidR="00000000" w:rsidDel="00000000" w:rsidP="00000000" w:rsidRDefault="00000000" w:rsidRPr="00000000" w14:paraId="0000000D">
      <w:pPr>
        <w:jc w:val="both"/>
        <w:rPr>
          <w:rFonts w:ascii="Arial" w:cs="Arial" w:eastAsia="Arial" w:hAnsi="Arial"/>
        </w:rPr>
      </w:pPr>
      <w:r w:rsidDel="00000000" w:rsidR="00000000" w:rsidRPr="00000000">
        <w:rPr>
          <w:rtl w:val="0"/>
        </w:rPr>
      </w:r>
    </w:p>
    <w:p w:rsidR="00000000" w:rsidDel="00000000" w:rsidP="00000000" w:rsidRDefault="00000000" w:rsidRPr="00000000" w14:paraId="0000000E">
      <w:pPr>
        <w:jc w:val="both"/>
        <w:rPr>
          <w:rFonts w:ascii="Arial" w:cs="Arial" w:eastAsia="Arial" w:hAnsi="Arial"/>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tl w:val="0"/>
        </w:rPr>
      </w:r>
    </w:p>
    <w:p w:rsidR="00000000" w:rsidDel="00000000" w:rsidP="00000000" w:rsidRDefault="00000000" w:rsidRPr="00000000" w14:paraId="00000010">
      <w:pPr>
        <w:jc w:val="both"/>
        <w:rPr>
          <w:rFonts w:ascii="Arial" w:cs="Arial" w:eastAsia="Arial" w:hAnsi="Arial"/>
        </w:rPr>
      </w:pPr>
      <w:r w:rsidDel="00000000" w:rsidR="00000000" w:rsidRPr="00000000">
        <w:rPr>
          <w:rtl w:val="0"/>
        </w:rPr>
      </w:r>
    </w:p>
    <w:p w:rsidR="00000000" w:rsidDel="00000000" w:rsidP="00000000" w:rsidRDefault="00000000" w:rsidRPr="00000000" w14:paraId="00000011">
      <w:pPr>
        <w:jc w:val="both"/>
        <w:rPr>
          <w:rFonts w:ascii="Arial" w:cs="Arial" w:eastAsia="Arial" w:hAnsi="Arial"/>
        </w:rPr>
      </w:pPr>
      <w:r w:rsidDel="00000000" w:rsidR="00000000" w:rsidRPr="00000000">
        <w:rPr>
          <w:rtl w:val="0"/>
        </w:rPr>
      </w:r>
    </w:p>
    <w:p w:rsidR="00000000" w:rsidDel="00000000" w:rsidP="00000000" w:rsidRDefault="00000000" w:rsidRPr="00000000" w14:paraId="00000012">
      <w:pPr>
        <w:jc w:val="both"/>
        <w:rPr>
          <w:rFonts w:ascii="Arial" w:cs="Arial" w:eastAsia="Arial" w:hAnsi="Arial"/>
        </w:rPr>
      </w:pPr>
      <w:r w:rsidDel="00000000" w:rsidR="00000000" w:rsidRPr="00000000">
        <w:rPr>
          <w:rtl w:val="0"/>
        </w:rPr>
      </w:r>
    </w:p>
    <w:p w:rsidR="00000000" w:rsidDel="00000000" w:rsidP="00000000" w:rsidRDefault="00000000" w:rsidRPr="00000000" w14:paraId="00000013">
      <w:pPr>
        <w:jc w:val="both"/>
        <w:rPr>
          <w:rFonts w:ascii="Arial" w:cs="Arial" w:eastAsia="Arial" w:hAnsi="Arial"/>
        </w:rPr>
      </w:pPr>
      <w:r w:rsidDel="00000000" w:rsidR="00000000" w:rsidRPr="00000000">
        <w:rPr>
          <w:rtl w:val="0"/>
        </w:rPr>
      </w:r>
    </w:p>
    <w:p w:rsidR="00000000" w:rsidDel="00000000" w:rsidP="00000000" w:rsidRDefault="00000000" w:rsidRPr="00000000" w14:paraId="00000014">
      <w:pPr>
        <w:jc w:val="both"/>
        <w:rPr>
          <w:rFonts w:ascii="Arial" w:cs="Arial" w:eastAsia="Arial" w:hAnsi="Arial"/>
        </w:rPr>
      </w:pPr>
      <w:r w:rsidDel="00000000" w:rsidR="00000000" w:rsidRPr="00000000">
        <w:rPr>
          <w:rtl w:val="0"/>
        </w:rPr>
      </w:r>
    </w:p>
    <w:p w:rsidR="00000000" w:rsidDel="00000000" w:rsidP="00000000" w:rsidRDefault="00000000" w:rsidRPr="00000000" w14:paraId="00000015">
      <w:pPr>
        <w:jc w:val="both"/>
        <w:rPr>
          <w:rFonts w:ascii="Arial" w:cs="Arial" w:eastAsia="Arial" w:hAnsi="Arial"/>
        </w:rPr>
      </w:pPr>
      <w:r w:rsidDel="00000000" w:rsidR="00000000" w:rsidRPr="00000000">
        <w:rPr>
          <w:rtl w:val="0"/>
        </w:rPr>
      </w:r>
    </w:p>
    <w:p w:rsidR="00000000" w:rsidDel="00000000" w:rsidP="00000000" w:rsidRDefault="00000000" w:rsidRPr="00000000" w14:paraId="00000016">
      <w:pPr>
        <w:jc w:val="both"/>
        <w:rPr>
          <w:rFonts w:ascii="Arial" w:cs="Arial" w:eastAsia="Arial" w:hAnsi="Arial"/>
        </w:rPr>
      </w:pPr>
      <w:r w:rsidDel="00000000" w:rsidR="00000000" w:rsidRPr="00000000">
        <w:rPr>
          <w:rtl w:val="0"/>
        </w:rPr>
      </w:r>
    </w:p>
    <w:p w:rsidR="00000000" w:rsidDel="00000000" w:rsidP="00000000" w:rsidRDefault="00000000" w:rsidRPr="00000000" w14:paraId="00000017">
      <w:pPr>
        <w:jc w:val="both"/>
        <w:rPr>
          <w:rFonts w:ascii="Arial" w:cs="Arial" w:eastAsia="Arial" w:hAnsi="Arial"/>
        </w:rPr>
      </w:pPr>
      <w:r w:rsidDel="00000000" w:rsidR="00000000" w:rsidRPr="00000000">
        <w:rPr>
          <w:rtl w:val="0"/>
        </w:rPr>
      </w:r>
    </w:p>
    <w:p w:rsidR="00000000" w:rsidDel="00000000" w:rsidP="00000000" w:rsidRDefault="00000000" w:rsidRPr="00000000" w14:paraId="00000018">
      <w:pPr>
        <w:jc w:val="both"/>
        <w:rPr>
          <w:rFonts w:ascii="Arial" w:cs="Arial" w:eastAsia="Arial" w:hAnsi="Arial"/>
        </w:rPr>
      </w:pPr>
      <w:r w:rsidDel="00000000" w:rsidR="00000000" w:rsidRPr="00000000">
        <w:rPr>
          <w:rtl w:val="0"/>
        </w:rPr>
      </w:r>
    </w:p>
    <w:p w:rsidR="00000000" w:rsidDel="00000000" w:rsidP="00000000" w:rsidRDefault="00000000" w:rsidRPr="00000000" w14:paraId="00000019">
      <w:pPr>
        <w:jc w:val="both"/>
        <w:rPr>
          <w:rFonts w:ascii="Arial" w:cs="Arial" w:eastAsia="Arial" w:hAnsi="Arial"/>
        </w:rPr>
      </w:pPr>
      <w:r w:rsidDel="00000000" w:rsidR="00000000" w:rsidRPr="00000000">
        <w:rPr>
          <w:rtl w:val="0"/>
        </w:rPr>
      </w:r>
    </w:p>
    <w:p w:rsidR="00000000" w:rsidDel="00000000" w:rsidP="00000000" w:rsidRDefault="00000000" w:rsidRPr="00000000" w14:paraId="0000001A">
      <w:pPr>
        <w:jc w:val="both"/>
        <w:rPr>
          <w:rFonts w:ascii="Arial" w:cs="Arial" w:eastAsia="Arial" w:hAnsi="Arial"/>
        </w:rPr>
      </w:pPr>
      <w:r w:rsidDel="00000000" w:rsidR="00000000" w:rsidRPr="00000000">
        <w:rPr>
          <w:rtl w:val="0"/>
        </w:rPr>
      </w:r>
    </w:p>
    <w:p w:rsidR="00000000" w:rsidDel="00000000" w:rsidP="00000000" w:rsidRDefault="00000000" w:rsidRPr="00000000" w14:paraId="0000001B">
      <w:pPr>
        <w:jc w:val="both"/>
        <w:rPr>
          <w:rFonts w:ascii="Arial" w:cs="Arial" w:eastAsia="Arial" w:hAnsi="Arial"/>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1 – Personal Action Plan for a Mental Health Support Worker Role</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chosen the role of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Mental Health Support Worker</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in a community mental health team. Support workers help people with depression, psychosis and bipolar disorder to live as independently as possible, manage their symptoms and engage with treatment (Wilberforce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2017). To prepare for application and interview I need to understand the key skills employers expect, assess my strengths and gaps, and plan how I will develop further.</w:t>
      </w:r>
    </w:p>
    <w:p w:rsidR="00000000" w:rsidDel="00000000" w:rsidP="00000000" w:rsidRDefault="00000000" w:rsidRPr="00000000" w14:paraId="0000001E">
      <w:pPr>
        <w:rPr>
          <w:b w:val="1"/>
          <w:bCs w:val="1"/>
        </w:rPr>
      </w:pPr>
      <w:r w:rsidDel="00000000" w:rsidR="00000000" w:rsidRPr="00000000">
        <w:rPr>
          <w:b w:val="1"/>
          <w:bCs w:val="1"/>
          <w:rtl w:val="0"/>
        </w:rPr>
        <w:t xml:space="preserve">Key skills required and how I meet them</w:t>
      </w:r>
    </w:p>
    <w:p w:rsidR="00000000" w:rsidDel="00000000" w:rsidP="00000000" w:rsidRDefault="00000000" w:rsidRPr="00000000" w14:paraId="0000001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Empathetic, person-centred communication</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role requires the ability to listen without judgement, build trust and adapt communication to people who may feel anxious, suspicious or low in motivation (Thompson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Through voluntary work on a telephone support line I have practised active listening, using open questions and summarising what callers say to check understanding. My current course has reinforced the importance of using everyday language, avoiding stigma and checking understanding, and I consciously apply these skills in group work and on placements.</w:t>
      </w:r>
    </w:p>
    <w:p w:rsidR="00000000" w:rsidDel="00000000" w:rsidP="00000000" w:rsidRDefault="00000000" w:rsidRPr="00000000" w14:paraId="0000002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Teamworking and interprofessional collaboration</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Mental health care is delivered by multidisciplinary teams, so support workers must share information clearly, follow agreed care plans and contribute observations from daily contact with service users (Sekanina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2024). I have experience of teamworking from academic projects and from part-time work in a busy retail environment where we had to coordinate tasks under time pressure. In those settings I demonstrated that I can negotiate roles, support colleagues who are struggling and keep a positive attitude when deadlines are tight.</w:t>
      </w:r>
    </w:p>
    <w:p w:rsidR="00000000" w:rsidDel="00000000" w:rsidP="00000000" w:rsidRDefault="00000000" w:rsidRPr="00000000" w14:paraId="0000002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280" w:line="360" w:lineRule="auto"/>
        <w:ind w:left="720" w:right="0" w:hanging="36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Resilience, self-awareness and professional boundaries</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Supporting people in distress can be emotionally demanding, so employers look for resilience and clear boundaries (Sekanina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2024). Managing full-time study alongside family responsibilities has helped me develop personal resilience: I plan my time, ask for help early and use stress-management strategies such as exercise and reflective journalling. I am aware of my own emotional triggers and understand that in mental health work I must use supervision, debriefing and self-care to process difficult experiences and remain professional and consistent for service users.</w:t>
      </w:r>
    </w:p>
    <w:p w:rsidR="00000000" w:rsidDel="00000000" w:rsidP="00000000" w:rsidRDefault="00000000" w:rsidRPr="00000000" w14:paraId="00000025">
      <w:pPr>
        <w:rPr>
          <w:b w:val="1"/>
          <w:bCs w:val="1"/>
        </w:rPr>
      </w:pPr>
      <w:r w:rsidDel="00000000" w:rsidR="00000000" w:rsidRPr="00000000">
        <w:rPr>
          <w:b w:val="1"/>
          <w:bCs w:val="1"/>
          <w:rtl w:val="0"/>
        </w:rPr>
        <w:t xml:space="preserve">Skill gaps and how I will address them</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First, I have limited direct experience with formal mental health risk assessments, including evaluating suicide and self-harm risk. Second, although I have spoken to distressed people, I have not yet had to manage an acute crisis in person, such as a service user attempting to abscond or becoming very agitated. Third, I only have basic knowledge of mental health law and safeguarding procedures, such as the Mental Health Act, Mental Capacity Act and local safeguarding adults pathways.</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address these gaps I plan to secure a part-time or voluntary role in a supported housing project or community mental health service, where I can gradually take part in risk discussions and care-plan reviews under supervision. I will complete short online courses on suicide prevention, de-escalation and safeguarding adults, and keep a reflective log to consolidate my learning (Thompson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w:t>
      </w:r>
    </w:p>
    <w:p w:rsidR="00000000" w:rsidDel="00000000" w:rsidP="00000000" w:rsidRDefault="00000000" w:rsidRPr="00000000" w14:paraId="00000028">
      <w:pPr>
        <w:rPr>
          <w:b w:val="1"/>
          <w:bCs w:val="1"/>
        </w:rPr>
      </w:pPr>
      <w:r w:rsidDel="00000000" w:rsidR="00000000" w:rsidRPr="00000000">
        <w:rPr>
          <w:b w:val="1"/>
          <w:bCs w:val="1"/>
          <w:rtl w:val="0"/>
        </w:rPr>
        <w:t xml:space="preserve">Personal Development Plan (PDP)</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Mental health risk assessment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 Within six months I aim to contribute to at least three supervised risk assessments. I will shadow senior staff, attend risk meetings and complete suicide-prevention e-learning. Success will be evidenced by supervisor feedback and reflective notes.</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Managing acute distress and crises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 Over the next four to six months I will attend de-escalation/conflict-management training and practise scenarios during simulation sessions. I will ask for feedback after any real incidents to strengthen my skills and confidence.</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Knowledge of law and safeguarding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 Within four months I plan to summarise key points of the Mental Health Act, Mental Capacity Act and local safeguarding procedures in my own revision notes and discuss them in supervision. Being able to explain these processes and pass an induction workbook will demonstrate progress.</w:t>
      </w:r>
    </w:p>
    <w:p w:rsidR="00000000" w:rsidDel="00000000" w:rsidP="00000000" w:rsidRDefault="00000000" w:rsidRPr="00000000" w14:paraId="0000002C">
      <w:pPr>
        <w:rPr>
          <w:b w:val="1"/>
          <w:bCs w:val="1"/>
        </w:rPr>
      </w:pPr>
      <w:r w:rsidDel="00000000" w:rsidR="00000000" w:rsidRPr="00000000">
        <w:rPr>
          <w:b w:val="1"/>
          <w:bCs w:val="1"/>
          <w:rtl w:val="0"/>
        </w:rPr>
        <w:t xml:space="preserve">Interview preparation: sample questions and responses</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Why are you interested in working as a Mental Health Support Worker?</w:t>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am drawn to this role because it combines direct, person-centred contact with the opportunity to support long-term recovery rather than just short hospital stays. I have seen in my own community how valuable it is when someone takes time to listen, encourage healthy routines and coordinate support. This role fits my values of respect, hope and equality, and it aligns with my longer-term goal of building a career in mental health services.</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Can you describe a time you supported someone who was struggling emotionally?</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During my telephone support volunteering, I spoke with a caller who felt overwhelmed by caring responsibilities and said they “could not cope any more.” I stayed calm, listened carefully and reflected back what they had told me to show I understood. Together we identified small immediate steps, such as contacting a friend and speaking to their GP. After the call I recorded the conversation and debriefed with a supervisor.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How would you respond if you had concerns that a service user was at risk of self-harm?</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would take any expression of self-harm seriously and follow the organisation’s risk and safeguarding procedures. I would give the person time to talk, listen without judgement and ask open questions to understand their thoughts, plans and any immediate risks. I would not promise secrecy; instead I would explain that my responsibility is to keep them safe and that I must share information with senior colleagues. I would then escalate my concerns promptly, document the conversation accurately and support any agreed safety-planning.</w:t>
      </w:r>
    </w:p>
    <w:p w:rsidR="00000000" w:rsidDel="00000000" w:rsidP="00000000" w:rsidRDefault="00000000" w:rsidRPr="00000000" w14:paraId="00000033">
      <w:pPr>
        <w:pStyle w:val="Heading2"/>
        <w:jc w:val="both"/>
        <w:rPr>
          <w:rFonts w:ascii="Arial" w:cs="Arial" w:eastAsia="Arial" w:hAnsi="Arial"/>
        </w:rPr>
      </w:pPr>
      <w:r w:rsidDel="00000000" w:rsidR="00000000" w:rsidRPr="00000000">
        <w:rPr>
          <w:rFonts w:ascii="Arial" w:cs="Arial" w:eastAsia="Arial" w:hAnsi="Arial"/>
          <w:rtl w:val="0"/>
        </w:rPr>
        <w:t xml:space="preserve">Task 2 – Academic Report on a Key Skill in Health and Social Care</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Key skill: Teamworking and Interprofessional Collaboration</w:t>
      </w:r>
      <w:r w:rsidDel="00000000" w:rsidR="00000000" w:rsidRPr="00000000">
        <w:rPr>
          <w:rtl w:val="0"/>
        </w:rPr>
      </w:r>
    </w:p>
    <w:p w:rsidR="00000000" w:rsidDel="00000000" w:rsidP="00000000" w:rsidRDefault="00000000" w:rsidRPr="00000000" w14:paraId="00000035">
      <w:pPr>
        <w:rPr>
          <w:b w:val="1"/>
          <w:bCs w:val="1"/>
        </w:rPr>
      </w:pPr>
      <w:r w:rsidDel="00000000" w:rsidR="00000000" w:rsidRPr="00000000">
        <w:rPr>
          <w:b w:val="1"/>
          <w:bCs w:val="1"/>
          <w:rtl w:val="0"/>
        </w:rPr>
        <w:t xml:space="preserve">Introduction</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Teamworking is a core skill for anyone working in health and social care, including Mental Health Support Workers. Services are now delivered by multidisciplinary and multi-agency teams rather than isolated practitioners (Rosen, 2020). </w:t>
      </w:r>
    </w:p>
    <w:p w:rsidR="00000000" w:rsidDel="00000000" w:rsidP="00000000" w:rsidRDefault="00000000" w:rsidRPr="00000000" w14:paraId="00000037">
      <w:pPr>
        <w:rPr>
          <w:b w:val="1"/>
          <w:bCs w:val="1"/>
        </w:rPr>
      </w:pPr>
      <w:r w:rsidDel="00000000" w:rsidR="00000000" w:rsidRPr="00000000">
        <w:rPr>
          <w:b w:val="1"/>
          <w:bCs w:val="1"/>
          <w:rtl w:val="0"/>
        </w:rPr>
        <w:t xml:space="preserve">Defining teamwork as a non-technical skill</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Teamworking in healthcare is usually described as a social and cognitive skill rather than a technical task (Rosen, 2020). Rehan, Thorpe and Heravi (2024) argues that teamwork, leadership and communication form part of a wider set of non-technical skills that underpin safe performance in complex environments. Future improvements in patient safety depend as much on these skills as on new technology or protocols. </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Interprofessional teamwork means that nurses, doctors, support workers, social workers and therapists share a common goal for the person using services, understand each other’s roles and communicate regularly. Effective interprofessional teams are characterised by shared objectives, mutual respect and trust, clear role boundaries and mechanisms for joint decision-making (McLaney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For a Mental Health Support Worker this involves contributing observations in reviews, listening to other professionals, and following the agreed care plan while raising concerns when necessary (Rosen, 2020).</w:t>
      </w:r>
    </w:p>
    <w:p w:rsidR="00000000" w:rsidDel="00000000" w:rsidP="00000000" w:rsidRDefault="00000000" w:rsidRPr="00000000" w14:paraId="0000003A">
      <w:pPr>
        <w:rPr>
          <w:b w:val="1"/>
          <w:bCs w:val="1"/>
        </w:rPr>
      </w:pPr>
      <w:r w:rsidDel="00000000" w:rsidR="00000000" w:rsidRPr="00000000">
        <w:rPr>
          <w:b w:val="1"/>
          <w:bCs w:val="1"/>
          <w:rtl w:val="0"/>
        </w:rPr>
        <w:t xml:space="preserve">Impact of teamwork on patient outcomes and safety</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substantial body of research links high-quality teamwork with better clinical outcomes and safety. Rosen (2020) argue that good teamwork is associated with improved processes of care, fewer adverse events and higher patient satisfaction. Structured efforts to strengthen teamwork can enhance team performance and safety culture and, in some settings, reduce mortality and complications. The interventions such as briefing tools, simulation and checklists tend to improve communication, coordination and efficiency. </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Nursing-focused studies also underline the importance of teamwork. Hellyar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(2019) argues that effective nursing teamwork improves patient outcomes, staff satisfaction and retention, and reduces burnout. In mental health and community settings, interprofessional collaboration is linked to reduced preventable adverse drug reactions and better management of complex long-term conditions. Teamwork and therapeutic communication together can enhance patient satisfaction and reduce errors. By sharing information clearly within the team and using empathetic, patient-centred communication at the bedside, staff can better understand patients’ needs, coordinate care safely, and quickly spot and correct problems, which increases satisfaction and reduces the risk of errors (Rehan, Thorpe and Heravi, 2024).</w:t>
      </w:r>
    </w:p>
    <w:p w:rsidR="00000000" w:rsidDel="00000000" w:rsidP="00000000" w:rsidRDefault="00000000" w:rsidRPr="00000000" w14:paraId="0000003D">
      <w:pPr>
        <w:rPr>
          <w:b w:val="1"/>
          <w:bCs w:val="1"/>
        </w:rPr>
      </w:pPr>
      <w:r w:rsidDel="00000000" w:rsidR="00000000" w:rsidRPr="00000000">
        <w:rPr>
          <w:b w:val="1"/>
          <w:bCs w:val="1"/>
          <w:rtl w:val="0"/>
        </w:rPr>
        <w:t xml:space="preserve">Developing teamwork skills in health and social care</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Targeted programmes such as simulation exercises, interprofessional workshops and structured debriefings treat teamwork as a practical skill that can be rehearsed, tested and refined. By giving staff clear roles, communication tools and feedback on real-life scenarios, these interventions strengthen coordination, mutual trust and safety culture. Systematic teamwork training also builds shared problem-solving routines, reduces misunderstandings and delays, and helps patients feel heard and well cared for, which in turn lowers error rates and boosts satisfaction (Rosen, 2020; Thompson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For a Mental Health Support Worker, developing teamwork skills involves both formal and informal learning. Formal elements include training on communication tools such as SBAR, joint sessions with nurses and social workers, and simulation of crisis situations like managing self-harm risk or aggression. Informal development happens through handovers, multidisciplinary meetings and supervision, where support workers can observe how experienced staff negotiate disagreements, prioritise tasks and support each other after difficult events. Reflective practice, such as writing brief notes after complex shifts, helps link theory about teamwork with real cases (McLaney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Rosen, 2020).</w:t>
      </w:r>
    </w:p>
    <w:p w:rsidR="00000000" w:rsidDel="00000000" w:rsidP="00000000" w:rsidRDefault="00000000" w:rsidRPr="00000000" w14:paraId="00000040">
      <w:pPr>
        <w:pStyle w:val="Heading1"/>
        <w:rPr/>
      </w:pPr>
      <w:r w:rsidDel="00000000" w:rsidR="00000000" w:rsidRPr="00000000">
        <w:rPr>
          <w:rtl w:val="0"/>
        </w:rPr>
        <w:t xml:space="preserve">References</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Hellyar, 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(2019) ‘Case Study Investigation Decreases Burnout While Improving Interprofessional Teamwork, Nurse Satisfaction, and Patient Safety’,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Critical Care Nursing Quarterly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42(1), pp. 96–105. doi:https://doi.org/10.1097/cnq.0000000000000243.</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McLaney, 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‘A framework for interprofessional team collaboration in a hospital setting: Advancing team competencies and behaviours’,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Healthcare Management Forum</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35(2), pp. 112–117.</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Rehan, A., Thorpe, D. and Heravi, A. (2024) ‘A Framework for Leadership Practices and Communication in the context of the Construction Sector’,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Project Leadership and Society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5, pp. 100142–100142. doi:https://doi.org/10.1016/j.plas.2024.100142.</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Rosen, M.A. (2020) ‘Teamwork in healthcare: Key Discoveries Enabling safer, high-quality care.’,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American Psychologist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73(4), pp. 433–450. doi:https://doi.org/10.1037/amp0000298.</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Sekanina, U.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(2024) ‘Interprofessional collaboration in the home care setting: perspectives of people receiving home care, relatives, nurses, general practitioners, and therapists—results of a qualitative analysis’,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Primary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25(1). doi:https://doi.org/10.1186/s12875-024-02313-8.</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Thompson, J.H.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(2022) ‘Understanding of empathetic communication in acute hospital settings: a scoping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BMJ Open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12(9), p. e063375. doi:https://doi.org/10.1136/bmjopen-2022-063375.</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Wilberforce, 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(2017) ‘Support workers in community mental health teams for older people: roles, boundaries, supervision and training’,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Advanced Nursing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73(7), pp. 1657–1666. doi:https://doi.org/10.1111/jan.13264.</w:t>
      </w:r>
    </w:p>
    <w:p w:rsidR="00000000" w:rsidDel="00000000" w:rsidP="00000000" w:rsidRDefault="00000000" w:rsidRPr="00000000" w14:paraId="00000048">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PK"/>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f4761"/>
      <w:sz w:val="28"/>
      <w:szCs w:val="28"/>
    </w:rPr>
  </w:style>
  <w:style w:type="paragraph" w:styleId="Heading2">
    <w:name w:val="heading 2"/>
    <w:basedOn w:val="Normal"/>
    <w:next w:val="Normal"/>
    <w:pPr>
      <w:keepNext w:val="1"/>
      <w:keepLines w:val="1"/>
      <w:spacing w:after="80" w:before="160" w:lineRule="auto"/>
    </w:pPr>
    <w:rPr>
      <w:b w:val="1"/>
      <w:bCs w:val="1"/>
      <w:color w:val="0f4761"/>
    </w:rPr>
  </w:style>
  <w:style w:type="paragraph" w:styleId="Heading3">
    <w:name w:val="heading 3"/>
    <w:basedOn w:val="Normal"/>
    <w:next w:val="Normal"/>
    <w:pPr>
      <w:keepNext w:val="1"/>
      <w:keepLines w:val="1"/>
      <w:spacing w:after="80" w:before="160" w:lineRule="auto"/>
    </w:pPr>
    <w:rPr>
      <w:b w:val="1"/>
      <w:bCs w:val="1"/>
      <w:i w:val="1"/>
      <w:i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C87A07"/>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C87A07"/>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C87A07"/>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61624"/>
    <w:rPr>
      <w:rFonts w:asciiTheme="majorBidi" w:cstheme="majorBidi" w:eastAsiaTheme="majorEastAsia" w:hAnsiTheme="majorBidi"/>
      <w:b w:val="1"/>
      <w:color w:val="0f4761" w:themeColor="accent1" w:themeShade="0000BF"/>
      <w:sz w:val="28"/>
      <w:szCs w:val="40"/>
    </w:rPr>
  </w:style>
  <w:style w:type="character" w:styleId="Heading2Char" w:customStyle="1">
    <w:name w:val="Heading 2 Char"/>
    <w:basedOn w:val="DefaultParagraphFont"/>
    <w:link w:val="Heading2"/>
    <w:uiPriority w:val="9"/>
    <w:rsid w:val="00FB6C67"/>
    <w:rPr>
      <w:rFonts w:asciiTheme="majorBidi" w:cstheme="majorBidi" w:eastAsiaTheme="majorEastAsia" w:hAnsiTheme="majorBidi"/>
      <w:b w:val="1"/>
      <w:color w:val="0f4761" w:themeColor="accent1" w:themeShade="0000BF"/>
      <w:szCs w:val="32"/>
    </w:rPr>
  </w:style>
  <w:style w:type="character" w:styleId="Heading3Char" w:customStyle="1">
    <w:name w:val="Heading 3 Char"/>
    <w:basedOn w:val="DefaultParagraphFont"/>
    <w:link w:val="Heading3"/>
    <w:uiPriority w:val="9"/>
    <w:rsid w:val="00BE4882"/>
    <w:rPr>
      <w:rFonts w:asciiTheme="majorBidi" w:cstheme="majorBidi" w:eastAsiaTheme="majorEastAsia" w:hAnsiTheme="majorBidi"/>
      <w:b w:val="1"/>
      <w:i w:val="1"/>
      <w:color w:val="0f4761" w:themeColor="accent1" w:themeShade="0000BF"/>
      <w:szCs w:val="28"/>
    </w:rPr>
  </w:style>
  <w:style w:type="character" w:styleId="Heading4Char" w:customStyle="1">
    <w:name w:val="Heading 4 Char"/>
    <w:basedOn w:val="DefaultParagraphFont"/>
    <w:link w:val="Heading4"/>
    <w:uiPriority w:val="9"/>
    <w:semiHidden w:val="1"/>
    <w:rsid w:val="00C87A07"/>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C87A07"/>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C87A07"/>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C87A07"/>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C87A07"/>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C87A07"/>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C87A07"/>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C87A07"/>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C87A07"/>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C87A07"/>
    <w:rPr>
      <w:rFonts w:asciiTheme="majorBidi" w:hAnsiTheme="majorBidi"/>
      <w:i w:val="1"/>
      <w:iCs w:val="1"/>
      <w:color w:val="404040" w:themeColor="text1" w:themeTint="0000BF"/>
    </w:rPr>
  </w:style>
  <w:style w:type="paragraph" w:styleId="ListParagraph">
    <w:name w:val="List Paragraph"/>
    <w:basedOn w:val="Normal"/>
    <w:uiPriority w:val="34"/>
    <w:qFormat w:val="1"/>
    <w:rsid w:val="00C87A07"/>
    <w:pPr>
      <w:ind w:left="720"/>
      <w:contextualSpacing w:val="1"/>
    </w:pPr>
  </w:style>
  <w:style w:type="character" w:styleId="IntenseEmphasis">
    <w:name w:val="Intense Emphasis"/>
    <w:basedOn w:val="DefaultParagraphFont"/>
    <w:uiPriority w:val="21"/>
    <w:qFormat w:val="1"/>
    <w:rsid w:val="00C87A07"/>
    <w:rPr>
      <w:i w:val="1"/>
      <w:iCs w:val="1"/>
      <w:color w:val="0f4761" w:themeColor="accent1" w:themeShade="0000BF"/>
    </w:rPr>
  </w:style>
  <w:style w:type="paragraph" w:styleId="IntenseQuote">
    <w:name w:val="Intense Quote"/>
    <w:basedOn w:val="Normal"/>
    <w:next w:val="Normal"/>
    <w:link w:val="IntenseQuoteChar"/>
    <w:uiPriority w:val="30"/>
    <w:qFormat w:val="1"/>
    <w:rsid w:val="00C87A07"/>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C87A07"/>
    <w:rPr>
      <w:rFonts w:asciiTheme="majorBidi" w:hAnsiTheme="majorBidi"/>
      <w:i w:val="1"/>
      <w:iCs w:val="1"/>
      <w:color w:val="0f4761" w:themeColor="accent1" w:themeShade="0000BF"/>
    </w:rPr>
  </w:style>
  <w:style w:type="character" w:styleId="IntenseReference">
    <w:name w:val="Intense Reference"/>
    <w:basedOn w:val="DefaultParagraphFont"/>
    <w:uiPriority w:val="32"/>
    <w:qFormat w:val="1"/>
    <w:rsid w:val="00C87A07"/>
    <w:rPr>
      <w:b w:val="1"/>
      <w:bCs w:val="1"/>
      <w:smallCaps w:val="1"/>
      <w:color w:val="0f4761" w:themeColor="accent1" w:themeShade="0000BF"/>
      <w:spacing w:val="5"/>
    </w:rPr>
  </w:style>
  <w:style w:type="paragraph" w:styleId="NormalWeb">
    <w:name w:val="Normal (Web)"/>
    <w:basedOn w:val="Normal"/>
    <w:uiPriority w:val="99"/>
    <w:unhideWhenUsed w:val="1"/>
    <w:rsid w:val="00075FC3"/>
    <w:pPr>
      <w:spacing w:after="100" w:afterAutospacing="1" w:before="100" w:beforeAutospacing="1" w:line="240" w:lineRule="auto"/>
    </w:pPr>
    <w:rPr>
      <w:rFonts w:ascii="Times New Roman" w:cs="Times New Roman" w:eastAsia="Times New Roman" w:hAnsi="Times New Roman"/>
      <w:kern w:val="0"/>
      <w:sz w:val="24"/>
      <w:lang w:eastAsia="en-GB"/>
    </w:rPr>
  </w:style>
  <w:style w:type="character" w:styleId="Strong">
    <w:name w:val="Strong"/>
    <w:basedOn w:val="DefaultParagraphFont"/>
    <w:uiPriority w:val="22"/>
    <w:qFormat w:val="1"/>
    <w:rsid w:val="00075FC3"/>
    <w:rPr>
      <w:b w:val="1"/>
      <w:bCs w:val="1"/>
    </w:rPr>
  </w:style>
  <w:style w:type="character" w:styleId="Emphasis">
    <w:name w:val="Emphasis"/>
    <w:basedOn w:val="DefaultParagraphFont"/>
    <w:uiPriority w:val="20"/>
    <w:qFormat w:val="1"/>
    <w:rsid w:val="00075FC3"/>
    <w:rPr>
      <w:i w:val="1"/>
      <w:iCs w:val="1"/>
    </w:rPr>
  </w:style>
  <w:style w:type="character" w:styleId="ms-1" w:customStyle="1">
    <w:name w:val="ms-1"/>
    <w:basedOn w:val="DefaultParagraphFont"/>
    <w:rsid w:val="00075FC3"/>
  </w:style>
  <w:style w:type="character" w:styleId="max-w-15ch" w:customStyle="1">
    <w:name w:val="max-w-[15ch]"/>
    <w:basedOn w:val="DefaultParagraphFont"/>
    <w:rsid w:val="00075FC3"/>
  </w:style>
  <w:style w:type="character" w:styleId="-me-1" w:customStyle="1">
    <w:name w:val="-me-1"/>
    <w:basedOn w:val="DefaultParagraphFont"/>
    <w:rsid w:val="00075FC3"/>
  </w:style>
  <w:style w:type="paragraph" w:styleId="Subtitle">
    <w:name w:val="Subtitle"/>
    <w:basedOn w:val="Normal"/>
    <w:next w:val="Normal"/>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F6WD3F90KfzmgIh4HRGFNZ1mng==">CgMxLjA4AHIhMWNTSjdOOGdpdlpUcVEwT0Jaak1UOTBCTXM3NkhmOHZn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2025-11-17T07:56:00Z</dcterms:created>
  <dc:creator>WORD FILE</dc:creator>
</cp:coreProperties>
</file>