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76531" w14:textId="77777777" w:rsidR="00CD7D23" w:rsidRDefault="00CD7D23" w:rsidP="00CD7D23">
      <w:pPr>
        <w:pStyle w:val="NormalWeb"/>
        <w:spacing w:before="0" w:beforeAutospacing="0" w:after="0" w:afterAutospacing="0"/>
        <w:ind w:left="-180" w:right="-334"/>
      </w:pPr>
      <w:r>
        <w:rPr>
          <w:noProof/>
        </w:rPr>
        <w:drawing>
          <wp:inline distT="0" distB="0" distL="0" distR="0" wp14:anchorId="3E98B936" wp14:editId="04063406">
            <wp:extent cx="1905000" cy="632460"/>
            <wp:effectExtent l="19050" t="19050" r="0" b="0"/>
            <wp:docPr id="1666639202" name="Picture 2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39202" name="Picture 24"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1181C0DA" w14:textId="77777777" w:rsidR="00CD7D23" w:rsidRDefault="00CD7D23" w:rsidP="00CD7D23">
      <w:pPr>
        <w:pStyle w:val="NormalWeb"/>
        <w:spacing w:before="0" w:beforeAutospacing="0" w:after="0" w:afterAutospacing="0"/>
        <w:ind w:left="-180" w:right="-334"/>
      </w:pPr>
    </w:p>
    <w:p w14:paraId="39D02514" w14:textId="77777777" w:rsidR="00CD7D23" w:rsidRDefault="00CD7D23" w:rsidP="00CD7D23">
      <w:pPr>
        <w:pStyle w:val="NormalWeb"/>
        <w:spacing w:before="0" w:beforeAutospacing="0" w:after="0" w:afterAutospacing="0"/>
        <w:ind w:left="-180" w:right="-334"/>
      </w:pPr>
    </w:p>
    <w:p w14:paraId="012B431A" w14:textId="77777777" w:rsidR="00CD7D23" w:rsidRDefault="00CD7D23" w:rsidP="00CD7D2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3B9FB88" w14:textId="77777777" w:rsidR="00CD7D23" w:rsidRPr="00230F35" w:rsidRDefault="00CD7D23" w:rsidP="00CD7D2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0F38E5D" w14:textId="77777777" w:rsidR="00CD7D23" w:rsidRPr="00230F35" w:rsidRDefault="00CD7D23" w:rsidP="00CD7D23">
      <w:pPr>
        <w:rPr>
          <w:rFonts w:ascii="Arial" w:hAnsi="Arial" w:cs="Arial"/>
          <w:sz w:val="28"/>
          <w:szCs w:val="28"/>
          <w:lang w:val="cy-GB"/>
        </w:rPr>
      </w:pPr>
    </w:p>
    <w:p w14:paraId="5AA951D6" w14:textId="77777777" w:rsidR="00CD7D23" w:rsidRPr="00643E59" w:rsidRDefault="00CD7D23" w:rsidP="00CD7D23">
      <w:pPr>
        <w:pStyle w:val="Heading3"/>
        <w:jc w:val="center"/>
        <w:rPr>
          <w:color w:val="auto"/>
          <w:lang w:val="cy-GB"/>
        </w:rPr>
      </w:pPr>
      <w:r w:rsidRPr="00643E59">
        <w:rPr>
          <w:color w:val="auto"/>
          <w:lang w:val="cy-GB"/>
        </w:rPr>
        <w:t>THIS SHEET MUST BE THE FIRST PAGE OF THE ASSIGNMENT YOU ARE SUBMITTING  (DO NOT SEND AS A SEPARATE FILE)</w:t>
      </w:r>
    </w:p>
    <w:p w14:paraId="2CB56698" w14:textId="77777777" w:rsidR="00CD7D23" w:rsidRDefault="00CD7D23" w:rsidP="00CD7D2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09"/>
        <w:gridCol w:w="417"/>
        <w:gridCol w:w="1531"/>
        <w:gridCol w:w="281"/>
        <w:gridCol w:w="1773"/>
      </w:tblGrid>
      <w:tr w:rsidR="00CD7D23" w:rsidRPr="00230F35" w14:paraId="6037746A" w14:textId="77777777" w:rsidTr="004A4351">
        <w:trPr>
          <w:trHeight w:val="510"/>
        </w:trPr>
        <w:tc>
          <w:tcPr>
            <w:tcW w:w="8711" w:type="dxa"/>
            <w:gridSpan w:val="5"/>
          </w:tcPr>
          <w:p w14:paraId="462DA59E"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D7D23" w:rsidRPr="00230F35" w14:paraId="0B131BAF" w14:textId="77777777" w:rsidTr="004A4351">
        <w:trPr>
          <w:trHeight w:val="596"/>
        </w:trPr>
        <w:tc>
          <w:tcPr>
            <w:tcW w:w="8711" w:type="dxa"/>
            <w:gridSpan w:val="5"/>
          </w:tcPr>
          <w:p w14:paraId="4A79F46D" w14:textId="77777777" w:rsidR="00CD7D23"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43A2E558" w14:textId="77777777" w:rsidR="00CD7D23" w:rsidRPr="00230F35" w:rsidRDefault="00CD7D23" w:rsidP="004A4351">
            <w:pPr>
              <w:pStyle w:val="NormalWeb"/>
              <w:spacing w:before="0" w:beforeAutospacing="0" w:after="0" w:afterAutospacing="0"/>
              <w:ind w:right="34"/>
              <w:rPr>
                <w:rFonts w:ascii="Arial" w:hAnsi="Arial" w:cs="Arial"/>
                <w:sz w:val="22"/>
                <w:szCs w:val="22"/>
              </w:rPr>
            </w:pPr>
          </w:p>
          <w:p w14:paraId="5B454273"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CD7D23" w:rsidRPr="00230F35" w14:paraId="7482008C" w14:textId="77777777" w:rsidTr="004A4351">
        <w:trPr>
          <w:trHeight w:val="704"/>
        </w:trPr>
        <w:tc>
          <w:tcPr>
            <w:tcW w:w="4709" w:type="dxa"/>
          </w:tcPr>
          <w:p w14:paraId="7719BD3F" w14:textId="1B21EA6C" w:rsidR="00CD7D23" w:rsidRPr="002A266A" w:rsidRDefault="00CD7D23" w:rsidP="004A4351">
            <w:pPr>
              <w:pStyle w:val="Heading1"/>
              <w:rPr>
                <w:color w:val="auto"/>
                <w:sz w:val="48"/>
                <w:szCs w:val="48"/>
              </w:rPr>
            </w:pPr>
            <w:r w:rsidRPr="002A266A">
              <w:rPr>
                <w:color w:val="auto"/>
                <w:sz w:val="22"/>
                <w:szCs w:val="22"/>
              </w:rPr>
              <w:t xml:space="preserve">Module code: </w:t>
            </w:r>
            <w:r w:rsidR="000A642F" w:rsidRPr="000A642F">
              <w:rPr>
                <w:color w:val="auto"/>
                <w:sz w:val="22"/>
                <w:szCs w:val="22"/>
              </w:rPr>
              <w:t>HPCA7016</w:t>
            </w:r>
          </w:p>
          <w:p w14:paraId="317E0E54" w14:textId="77777777" w:rsidR="00CD7D23" w:rsidRPr="002A266A" w:rsidRDefault="00CD7D23" w:rsidP="004A4351">
            <w:pPr>
              <w:pStyle w:val="NormalWeb"/>
              <w:spacing w:before="0" w:beforeAutospacing="0" w:after="0" w:afterAutospacing="0"/>
              <w:ind w:right="34"/>
              <w:rPr>
                <w:rFonts w:ascii="Arial" w:hAnsi="Arial" w:cs="Arial"/>
                <w:sz w:val="22"/>
                <w:szCs w:val="22"/>
              </w:rPr>
            </w:pPr>
          </w:p>
          <w:p w14:paraId="4BF86A7B" w14:textId="77777777" w:rsidR="00CD7D23" w:rsidRPr="002A266A" w:rsidRDefault="00CD7D23" w:rsidP="004A4351">
            <w:pPr>
              <w:pStyle w:val="NormalWeb"/>
              <w:spacing w:before="0" w:beforeAutospacing="0" w:after="0" w:afterAutospacing="0"/>
              <w:ind w:right="34"/>
              <w:rPr>
                <w:rFonts w:ascii="Arial" w:hAnsi="Arial" w:cs="Arial"/>
                <w:sz w:val="22"/>
                <w:szCs w:val="22"/>
              </w:rPr>
            </w:pPr>
          </w:p>
          <w:p w14:paraId="1419D2D8" w14:textId="5E279FE0" w:rsidR="00CD7D23" w:rsidRPr="002A266A" w:rsidRDefault="00CD7D23" w:rsidP="004A4351">
            <w:pPr>
              <w:pStyle w:val="Heading1"/>
              <w:rPr>
                <w:color w:val="auto"/>
                <w:sz w:val="48"/>
                <w:szCs w:val="48"/>
              </w:rPr>
            </w:pPr>
            <w:r w:rsidRPr="002A266A">
              <w:rPr>
                <w:color w:val="auto"/>
                <w:sz w:val="22"/>
                <w:szCs w:val="22"/>
              </w:rPr>
              <w:t xml:space="preserve">Module title: </w:t>
            </w:r>
            <w:r w:rsidR="0034665C" w:rsidRPr="0034665C">
              <w:rPr>
                <w:rStyle w:val="Strong"/>
                <w:color w:val="auto"/>
                <w:sz w:val="22"/>
                <w:szCs w:val="22"/>
              </w:rPr>
              <w:t>Researching Contemporary Cosmologies</w:t>
            </w:r>
          </w:p>
          <w:p w14:paraId="3DBA59FF" w14:textId="77777777" w:rsidR="00CD7D23" w:rsidRPr="00230F35" w:rsidRDefault="00CD7D23" w:rsidP="004A4351">
            <w:pPr>
              <w:pStyle w:val="NormalWeb"/>
              <w:spacing w:before="0" w:beforeAutospacing="0" w:after="0" w:afterAutospacing="0"/>
              <w:ind w:right="34"/>
              <w:rPr>
                <w:rFonts w:ascii="Arial" w:hAnsi="Arial" w:cs="Arial"/>
                <w:sz w:val="22"/>
                <w:szCs w:val="22"/>
              </w:rPr>
            </w:pPr>
          </w:p>
        </w:tc>
        <w:tc>
          <w:tcPr>
            <w:tcW w:w="2229" w:type="dxa"/>
            <w:gridSpan w:val="3"/>
          </w:tcPr>
          <w:p w14:paraId="311B67F3" w14:textId="77777777" w:rsidR="00CD7D23"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36FA6BA"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1773" w:type="dxa"/>
          </w:tcPr>
          <w:p w14:paraId="6D5BF20D"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B61DDAC"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D7D23" w:rsidRPr="00230F35" w14:paraId="0026176B" w14:textId="77777777" w:rsidTr="004A4351">
        <w:trPr>
          <w:trHeight w:val="946"/>
        </w:trPr>
        <w:tc>
          <w:tcPr>
            <w:tcW w:w="8711" w:type="dxa"/>
            <w:gridSpan w:val="5"/>
          </w:tcPr>
          <w:p w14:paraId="3A5BFECF" w14:textId="1B1B9446" w:rsidR="00CD7D23" w:rsidRPr="00146A10" w:rsidRDefault="00CD7D23" w:rsidP="00146A10">
            <w:pPr>
              <w:rPr>
                <w:rFonts w:ascii="Arial" w:hAnsi="Arial" w:cs="Arial"/>
              </w:rPr>
            </w:pPr>
            <w:r w:rsidRPr="008506F5">
              <w:rPr>
                <w:rFonts w:ascii="Arial" w:hAnsi="Arial" w:cs="Arial"/>
              </w:rPr>
              <w:t xml:space="preserve">Assignment title: </w:t>
            </w:r>
            <w:r w:rsidR="00146A10" w:rsidRPr="00146A10">
              <w:rPr>
                <w:rFonts w:ascii="Arial" w:hAnsi="Arial" w:cs="Arial"/>
              </w:rPr>
              <w:t>A Critical Comparison of Two</w:t>
            </w:r>
            <w:r w:rsidR="00146A10">
              <w:rPr>
                <w:rFonts w:ascii="Arial" w:hAnsi="Arial" w:cs="Arial"/>
              </w:rPr>
              <w:t xml:space="preserve"> </w:t>
            </w:r>
            <w:r w:rsidR="00146A10" w:rsidRPr="00146A10">
              <w:rPr>
                <w:rFonts w:ascii="Arial" w:hAnsi="Arial" w:cs="Arial"/>
              </w:rPr>
              <w:t>Secondary Sources</w:t>
            </w:r>
          </w:p>
          <w:p w14:paraId="764B2017" w14:textId="77777777" w:rsidR="00CD7D23" w:rsidRPr="008506F5" w:rsidRDefault="00CD7D23" w:rsidP="004A4351">
            <w:pPr>
              <w:pStyle w:val="NormalWeb"/>
              <w:spacing w:before="0" w:beforeAutospacing="0" w:after="0" w:afterAutospacing="0"/>
              <w:ind w:right="34"/>
              <w:rPr>
                <w:rFonts w:ascii="Arial" w:hAnsi="Arial" w:cs="Arial"/>
                <w:sz w:val="22"/>
                <w:szCs w:val="22"/>
              </w:rPr>
            </w:pPr>
          </w:p>
          <w:p w14:paraId="3B1B0AD7" w14:textId="77777777" w:rsidR="00CD7D23" w:rsidRDefault="00CD7D23" w:rsidP="004A4351">
            <w:pPr>
              <w:pStyle w:val="NormalWeb"/>
              <w:spacing w:before="0" w:beforeAutospacing="0" w:after="0" w:afterAutospacing="0"/>
              <w:ind w:right="34"/>
              <w:rPr>
                <w:rFonts w:ascii="Arial" w:hAnsi="Arial" w:cs="Arial"/>
                <w:sz w:val="22"/>
                <w:szCs w:val="22"/>
              </w:rPr>
            </w:pPr>
          </w:p>
          <w:p w14:paraId="177BB6F2" w14:textId="77777777" w:rsidR="00CD7D23" w:rsidRPr="008506F5" w:rsidRDefault="00CD7D23" w:rsidP="004A4351">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Pr>
                <w:rFonts w:ascii="Arial" w:hAnsi="Arial" w:cs="Arial"/>
                <w:sz w:val="22"/>
                <w:szCs w:val="22"/>
              </w:rPr>
              <w:t>11</w:t>
            </w:r>
            <w:r w:rsidRPr="008506F5">
              <w:rPr>
                <w:rFonts w:ascii="Arial" w:hAnsi="Arial" w:cs="Arial"/>
                <w:sz w:val="22"/>
                <w:szCs w:val="22"/>
              </w:rPr>
              <w:t>.</w:t>
            </w:r>
            <w:r>
              <w:rPr>
                <w:rFonts w:ascii="Arial" w:hAnsi="Arial" w:cs="Arial"/>
                <w:sz w:val="22"/>
                <w:szCs w:val="22"/>
              </w:rPr>
              <w:t>03</w:t>
            </w:r>
            <w:r w:rsidRPr="008506F5">
              <w:rPr>
                <w:rFonts w:ascii="Arial" w:hAnsi="Arial" w:cs="Arial"/>
                <w:sz w:val="22"/>
                <w:szCs w:val="22"/>
              </w:rPr>
              <w:t>.2023</w:t>
            </w:r>
          </w:p>
        </w:tc>
      </w:tr>
      <w:tr w:rsidR="00CD7D23" w:rsidRPr="00230F35" w14:paraId="1C8F5771" w14:textId="77777777" w:rsidTr="004A4351">
        <w:trPr>
          <w:trHeight w:val="812"/>
        </w:trPr>
        <w:tc>
          <w:tcPr>
            <w:tcW w:w="8711" w:type="dxa"/>
            <w:gridSpan w:val="5"/>
            <w:tcBorders>
              <w:bottom w:val="single" w:sz="4" w:space="0" w:color="000000"/>
            </w:tcBorders>
          </w:tcPr>
          <w:p w14:paraId="505D0B82" w14:textId="77777777" w:rsidR="00CD7D23" w:rsidRPr="00230F35" w:rsidRDefault="00CD7D23" w:rsidP="004A435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D7D23" w:rsidRPr="00230F35" w14:paraId="36F28E61" w14:textId="77777777" w:rsidTr="004A4351">
        <w:trPr>
          <w:trHeight w:val="812"/>
        </w:trPr>
        <w:tc>
          <w:tcPr>
            <w:tcW w:w="8711" w:type="dxa"/>
            <w:gridSpan w:val="5"/>
            <w:shd w:val="clear" w:color="auto" w:fill="D9D9D9"/>
          </w:tcPr>
          <w:p w14:paraId="421A4A6A" w14:textId="77777777" w:rsidR="00CD7D23" w:rsidRPr="00230F35"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5A59F7A" w14:textId="77777777" w:rsidR="00CD7D23" w:rsidRDefault="00CD7D23" w:rsidP="004A435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3DE3AC10" w14:textId="77777777" w:rsidR="00CD7D23" w:rsidRDefault="00CD7D23" w:rsidP="004A435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624CCA1C" w14:textId="77777777" w:rsidR="00CD7D23" w:rsidRPr="00230F35" w:rsidRDefault="00CD7D23" w:rsidP="004A435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CD7D23" w:rsidRPr="00230F35" w14:paraId="79D0E37F" w14:textId="77777777" w:rsidTr="004A4351">
        <w:trPr>
          <w:trHeight w:val="3300"/>
        </w:trPr>
        <w:tc>
          <w:tcPr>
            <w:tcW w:w="8711" w:type="dxa"/>
            <w:gridSpan w:val="5"/>
          </w:tcPr>
          <w:p w14:paraId="124D02E5" w14:textId="77777777" w:rsidR="00CD7D23" w:rsidRDefault="00CD7D23" w:rsidP="004A4351">
            <w:pPr>
              <w:rPr>
                <w:rFonts w:ascii="Arial" w:hAnsi="Arial"/>
                <w:b/>
              </w:rPr>
            </w:pPr>
          </w:p>
          <w:p w14:paraId="2F74D4FF" w14:textId="77777777" w:rsidR="00CD7D23" w:rsidRPr="00116CE6" w:rsidRDefault="00CD7D23" w:rsidP="004A4351">
            <w:pPr>
              <w:rPr>
                <w:rFonts w:ascii="Arial" w:hAnsi="Arial"/>
              </w:rPr>
            </w:pPr>
            <w:r w:rsidRPr="00116CE6">
              <w:rPr>
                <w:rFonts w:ascii="Arial" w:hAnsi="Arial"/>
                <w:b/>
              </w:rPr>
              <w:t>Assignment Mark</w:t>
            </w:r>
          </w:p>
          <w:tbl>
            <w:tblPr>
              <w:tblW w:w="8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56"/>
              <w:gridCol w:w="1632"/>
            </w:tblGrid>
            <w:tr w:rsidR="00CD7D23" w:rsidRPr="00116CE6" w14:paraId="41757944" w14:textId="77777777" w:rsidTr="004A4351">
              <w:trPr>
                <w:trHeight w:val="378"/>
              </w:trPr>
              <w:tc>
                <w:tcPr>
                  <w:tcW w:w="6856" w:type="dxa"/>
                </w:tcPr>
                <w:p w14:paraId="301C1141" w14:textId="77777777" w:rsidR="00CD7D23" w:rsidRPr="00116CE6" w:rsidRDefault="00CD7D23" w:rsidP="004A4351">
                  <w:pPr>
                    <w:rPr>
                      <w:rFonts w:ascii="Arial" w:hAnsi="Arial"/>
                      <w:sz w:val="20"/>
                      <w:szCs w:val="20"/>
                    </w:rPr>
                  </w:pPr>
                </w:p>
                <w:p w14:paraId="3FCEC38E" w14:textId="77777777" w:rsidR="00CD7D23" w:rsidRPr="00116CE6" w:rsidRDefault="00CD7D23" w:rsidP="004A435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32" w:type="dxa"/>
                </w:tcPr>
                <w:p w14:paraId="7A30E95C" w14:textId="77777777" w:rsidR="00CD7D23" w:rsidRPr="00116CE6" w:rsidRDefault="00CD7D23" w:rsidP="004A4351">
                  <w:pPr>
                    <w:rPr>
                      <w:rFonts w:ascii="Arial" w:hAnsi="Arial"/>
                      <w:sz w:val="20"/>
                      <w:szCs w:val="20"/>
                    </w:rPr>
                  </w:pPr>
                </w:p>
              </w:tc>
            </w:tr>
            <w:tr w:rsidR="00CD7D23" w:rsidRPr="00116CE6" w14:paraId="2539C5ED" w14:textId="77777777" w:rsidTr="004A4351">
              <w:trPr>
                <w:trHeight w:val="378"/>
              </w:trPr>
              <w:tc>
                <w:tcPr>
                  <w:tcW w:w="6856" w:type="dxa"/>
                </w:tcPr>
                <w:p w14:paraId="52B9EF82" w14:textId="77777777" w:rsidR="00CD7D23" w:rsidRPr="00116CE6" w:rsidRDefault="00CD7D23" w:rsidP="004A4351">
                  <w:pPr>
                    <w:rPr>
                      <w:rFonts w:ascii="Arial" w:hAnsi="Arial"/>
                      <w:sz w:val="20"/>
                      <w:szCs w:val="20"/>
                    </w:rPr>
                  </w:pPr>
                </w:p>
                <w:p w14:paraId="422624D8" w14:textId="77777777" w:rsidR="00CD7D23" w:rsidRPr="00116CE6" w:rsidRDefault="00CD7D23" w:rsidP="004A435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32" w:type="dxa"/>
                </w:tcPr>
                <w:p w14:paraId="4C604B68" w14:textId="77777777" w:rsidR="00CD7D23" w:rsidRPr="00116CE6" w:rsidRDefault="00CD7D23" w:rsidP="004A4351">
                  <w:pPr>
                    <w:rPr>
                      <w:rFonts w:ascii="Arial" w:hAnsi="Arial"/>
                      <w:sz w:val="20"/>
                      <w:szCs w:val="20"/>
                    </w:rPr>
                  </w:pPr>
                </w:p>
              </w:tc>
            </w:tr>
            <w:tr w:rsidR="00CD7D23" w:rsidRPr="00116CE6" w14:paraId="52737B44" w14:textId="77777777" w:rsidTr="004A4351">
              <w:trPr>
                <w:trHeight w:val="378"/>
              </w:trPr>
              <w:tc>
                <w:tcPr>
                  <w:tcW w:w="6856" w:type="dxa"/>
                </w:tcPr>
                <w:p w14:paraId="346AD337" w14:textId="77777777" w:rsidR="00CD7D23" w:rsidRPr="00116CE6" w:rsidRDefault="00CD7D23" w:rsidP="004A4351">
                  <w:pPr>
                    <w:rPr>
                      <w:rFonts w:ascii="Arial" w:hAnsi="Arial"/>
                      <w:sz w:val="20"/>
                      <w:szCs w:val="20"/>
                    </w:rPr>
                  </w:pPr>
                </w:p>
                <w:p w14:paraId="0135AEB7" w14:textId="77777777" w:rsidR="00CD7D23" w:rsidRPr="00116CE6" w:rsidRDefault="00CD7D23" w:rsidP="004A435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32" w:type="dxa"/>
                </w:tcPr>
                <w:p w14:paraId="037C4BC5" w14:textId="77777777" w:rsidR="00CD7D23" w:rsidRPr="00116CE6" w:rsidRDefault="00CD7D23" w:rsidP="004A4351">
                  <w:pPr>
                    <w:rPr>
                      <w:rFonts w:ascii="Arial" w:hAnsi="Arial"/>
                      <w:sz w:val="20"/>
                      <w:szCs w:val="20"/>
                    </w:rPr>
                  </w:pPr>
                </w:p>
              </w:tc>
            </w:tr>
            <w:tr w:rsidR="00CD7D23" w:rsidRPr="00116CE6" w14:paraId="5C2056E8" w14:textId="77777777" w:rsidTr="004A4351">
              <w:trPr>
                <w:trHeight w:val="577"/>
              </w:trPr>
              <w:tc>
                <w:tcPr>
                  <w:tcW w:w="6856" w:type="dxa"/>
                </w:tcPr>
                <w:p w14:paraId="334CB59B" w14:textId="77777777" w:rsidR="00CD7D23" w:rsidRDefault="00CD7D23" w:rsidP="004A4351">
                  <w:pPr>
                    <w:rPr>
                      <w:rFonts w:ascii="Arial" w:hAnsi="Arial"/>
                      <w:sz w:val="20"/>
                      <w:szCs w:val="20"/>
                    </w:rPr>
                  </w:pPr>
                </w:p>
                <w:p w14:paraId="20DFC3FE" w14:textId="77777777" w:rsidR="00CD7D23" w:rsidRPr="00022345" w:rsidRDefault="00CD7D23" w:rsidP="004A4351">
                  <w:pPr>
                    <w:rPr>
                      <w:rFonts w:ascii="Arial" w:hAnsi="Arial"/>
                      <w:b/>
                      <w:sz w:val="20"/>
                      <w:szCs w:val="20"/>
                    </w:rPr>
                  </w:pPr>
                  <w:r w:rsidRPr="00022345">
                    <w:rPr>
                      <w:rFonts w:ascii="Arial" w:hAnsi="Arial"/>
                      <w:b/>
                      <w:sz w:val="20"/>
                      <w:szCs w:val="20"/>
                    </w:rPr>
                    <w:t>Final Mark</w:t>
                  </w:r>
                </w:p>
                <w:p w14:paraId="436EA218" w14:textId="77777777" w:rsidR="00CD7D23" w:rsidRPr="00116CE6" w:rsidRDefault="00CD7D23" w:rsidP="004A4351">
                  <w:pPr>
                    <w:rPr>
                      <w:rFonts w:ascii="Arial" w:hAnsi="Arial"/>
                      <w:sz w:val="20"/>
                      <w:szCs w:val="20"/>
                    </w:rPr>
                  </w:pPr>
                </w:p>
              </w:tc>
              <w:tc>
                <w:tcPr>
                  <w:tcW w:w="1632" w:type="dxa"/>
                </w:tcPr>
                <w:p w14:paraId="064D3CC0" w14:textId="77777777" w:rsidR="00CD7D23" w:rsidRPr="00116CE6" w:rsidRDefault="00CD7D23" w:rsidP="004A4351">
                  <w:pPr>
                    <w:rPr>
                      <w:rFonts w:ascii="Arial" w:hAnsi="Arial"/>
                      <w:sz w:val="20"/>
                      <w:szCs w:val="20"/>
                    </w:rPr>
                  </w:pPr>
                </w:p>
              </w:tc>
            </w:tr>
          </w:tbl>
          <w:p w14:paraId="5FB2F538" w14:textId="77777777" w:rsidR="00CD7D23" w:rsidRDefault="00CD7D23" w:rsidP="004A4351">
            <w:pPr>
              <w:pStyle w:val="NormalWeb"/>
              <w:spacing w:before="0" w:beforeAutospacing="0" w:after="0" w:afterAutospacing="0"/>
              <w:ind w:left="142" w:right="34"/>
              <w:rPr>
                <w:rFonts w:ascii="Arial" w:hAnsi="Arial" w:cs="Arial"/>
                <w:b/>
                <w:sz w:val="22"/>
                <w:szCs w:val="22"/>
              </w:rPr>
            </w:pPr>
          </w:p>
          <w:p w14:paraId="6F76579B" w14:textId="77777777" w:rsidR="00CD7D23" w:rsidRPr="00230F35" w:rsidRDefault="00CD7D23" w:rsidP="004A435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0BD596" w14:textId="77777777" w:rsidR="00CD7D23" w:rsidRDefault="00CD7D23" w:rsidP="004A4351">
            <w:pPr>
              <w:pStyle w:val="NormalWeb"/>
              <w:spacing w:before="0" w:beforeAutospacing="0" w:after="0" w:afterAutospacing="0"/>
              <w:rPr>
                <w:rFonts w:ascii="Arial" w:hAnsi="Arial" w:cs="Arial"/>
                <w:b/>
                <w:sz w:val="22"/>
                <w:szCs w:val="22"/>
              </w:rPr>
            </w:pPr>
          </w:p>
          <w:p w14:paraId="230DB422" w14:textId="77777777" w:rsidR="00CD7D23" w:rsidRDefault="00CD7D23" w:rsidP="004A4351">
            <w:pPr>
              <w:pStyle w:val="NormalWeb"/>
              <w:spacing w:before="0" w:beforeAutospacing="0" w:after="0" w:afterAutospacing="0"/>
              <w:rPr>
                <w:rFonts w:ascii="Arial" w:hAnsi="Arial" w:cs="Arial"/>
                <w:b/>
                <w:sz w:val="22"/>
                <w:szCs w:val="22"/>
              </w:rPr>
            </w:pPr>
          </w:p>
          <w:p w14:paraId="5FC4519E" w14:textId="77777777" w:rsidR="00CD7D23" w:rsidRDefault="00CD7D23" w:rsidP="004A4351">
            <w:pPr>
              <w:pStyle w:val="NormalWeb"/>
              <w:spacing w:before="0" w:beforeAutospacing="0" w:after="0" w:afterAutospacing="0"/>
              <w:rPr>
                <w:rFonts w:ascii="Arial" w:hAnsi="Arial" w:cs="Arial"/>
                <w:b/>
                <w:sz w:val="22"/>
                <w:szCs w:val="22"/>
              </w:rPr>
            </w:pPr>
          </w:p>
          <w:p w14:paraId="097C0F5D" w14:textId="77777777" w:rsidR="00CD7D23" w:rsidRDefault="00CD7D23" w:rsidP="004A4351">
            <w:pPr>
              <w:pStyle w:val="NormalWeb"/>
              <w:spacing w:before="0" w:beforeAutospacing="0" w:after="0" w:afterAutospacing="0"/>
              <w:rPr>
                <w:rFonts w:ascii="Arial" w:hAnsi="Arial" w:cs="Arial"/>
                <w:b/>
                <w:sz w:val="22"/>
                <w:szCs w:val="22"/>
              </w:rPr>
            </w:pPr>
          </w:p>
          <w:p w14:paraId="77662B03" w14:textId="77777777" w:rsidR="00CD7D23" w:rsidRDefault="00CD7D23" w:rsidP="004A4351">
            <w:pPr>
              <w:pStyle w:val="NormalWeb"/>
              <w:spacing w:before="0" w:beforeAutospacing="0" w:after="0" w:afterAutospacing="0"/>
              <w:rPr>
                <w:rFonts w:ascii="Arial" w:hAnsi="Arial" w:cs="Arial"/>
                <w:b/>
                <w:sz w:val="22"/>
                <w:szCs w:val="22"/>
              </w:rPr>
            </w:pPr>
          </w:p>
          <w:p w14:paraId="258D1631" w14:textId="77777777" w:rsidR="00CD7D23" w:rsidRPr="00230F35" w:rsidRDefault="00CD7D23" w:rsidP="004A435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0991245" w14:textId="77777777" w:rsidR="00CD7D23" w:rsidRDefault="00CD7D23" w:rsidP="004A435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5EAAF1" w14:textId="77777777" w:rsidR="00CD7D23" w:rsidRPr="00001C3B" w:rsidRDefault="00CD7D23" w:rsidP="004A4351">
            <w:pPr>
              <w:pStyle w:val="NormalWeb"/>
              <w:rPr>
                <w:rFonts w:ascii="Arial" w:hAnsi="Arial" w:cs="Arial"/>
                <w:sz w:val="22"/>
                <w:szCs w:val="22"/>
              </w:rPr>
            </w:pPr>
          </w:p>
        </w:tc>
      </w:tr>
      <w:tr w:rsidR="00CD7D23" w:rsidRPr="00230F35" w14:paraId="71545644" w14:textId="77777777" w:rsidTr="004A4351">
        <w:trPr>
          <w:trHeight w:val="408"/>
        </w:trPr>
        <w:tc>
          <w:tcPr>
            <w:tcW w:w="6657" w:type="dxa"/>
            <w:gridSpan w:val="3"/>
          </w:tcPr>
          <w:p w14:paraId="5DB47A64" w14:textId="77777777" w:rsidR="00CD7D23" w:rsidRPr="00230F35" w:rsidRDefault="00CD7D23" w:rsidP="004A435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54" w:type="dxa"/>
            <w:gridSpan w:val="2"/>
          </w:tcPr>
          <w:p w14:paraId="6FC846E3" w14:textId="77777777" w:rsidR="00CD7D23" w:rsidRPr="00230F35" w:rsidRDefault="00CD7D23" w:rsidP="004A4351">
            <w:pPr>
              <w:pStyle w:val="NormalWeb"/>
              <w:spacing w:after="0"/>
              <w:ind w:left="142" w:right="34"/>
              <w:rPr>
                <w:rFonts w:ascii="Arial" w:hAnsi="Arial" w:cs="Arial"/>
                <w:sz w:val="22"/>
                <w:szCs w:val="22"/>
              </w:rPr>
            </w:pPr>
            <w:r w:rsidRPr="00230F35">
              <w:rPr>
                <w:rFonts w:ascii="Arial" w:hAnsi="Arial" w:cs="Arial"/>
                <w:sz w:val="22"/>
                <w:szCs w:val="22"/>
              </w:rPr>
              <w:t>Date:</w:t>
            </w:r>
          </w:p>
        </w:tc>
      </w:tr>
      <w:tr w:rsidR="00CD7D23" w:rsidRPr="002F467C" w14:paraId="7FFC87C5" w14:textId="77777777" w:rsidTr="004A4351">
        <w:trPr>
          <w:trHeight w:val="3360"/>
        </w:trPr>
        <w:tc>
          <w:tcPr>
            <w:tcW w:w="8711" w:type="dxa"/>
            <w:gridSpan w:val="5"/>
          </w:tcPr>
          <w:p w14:paraId="4B7E6CCF" w14:textId="77777777" w:rsidR="00CD7D23" w:rsidRPr="00230F35" w:rsidRDefault="00CD7D23" w:rsidP="004A4351">
            <w:pPr>
              <w:pStyle w:val="NormalWeb"/>
              <w:spacing w:before="0" w:beforeAutospacing="0" w:after="0" w:afterAutospacing="0"/>
              <w:ind w:right="-334"/>
              <w:rPr>
                <w:rFonts w:ascii="Arial" w:hAnsi="Arial" w:cs="Arial"/>
                <w:bCs/>
                <w:i/>
                <w:sz w:val="22"/>
                <w:szCs w:val="22"/>
              </w:rPr>
            </w:pPr>
          </w:p>
          <w:p w14:paraId="4C210FA6" w14:textId="77777777" w:rsidR="00CD7D23" w:rsidRPr="00230F35" w:rsidRDefault="00CD7D23" w:rsidP="004A435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B6233F7" w14:textId="77777777" w:rsidR="00CD7D23" w:rsidRPr="00230F35" w:rsidRDefault="00CD7D23" w:rsidP="004A4351">
            <w:pPr>
              <w:pStyle w:val="NormalWeb"/>
              <w:spacing w:before="0" w:beforeAutospacing="0" w:after="0" w:afterAutospacing="0"/>
              <w:ind w:right="-334"/>
              <w:rPr>
                <w:rFonts w:ascii="Arial" w:hAnsi="Arial" w:cs="Arial"/>
                <w:b/>
                <w:bCs/>
                <w:sz w:val="22"/>
                <w:szCs w:val="22"/>
              </w:rPr>
            </w:pPr>
          </w:p>
          <w:p w14:paraId="71704A58"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E0F3F9"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p>
        </w:tc>
      </w:tr>
      <w:tr w:rsidR="00CD7D23" w:rsidRPr="002F467C" w14:paraId="4BFA18AD" w14:textId="77777777" w:rsidTr="004A4351">
        <w:trPr>
          <w:trHeight w:val="597"/>
        </w:trPr>
        <w:tc>
          <w:tcPr>
            <w:tcW w:w="5126" w:type="dxa"/>
            <w:gridSpan w:val="2"/>
          </w:tcPr>
          <w:p w14:paraId="15F19B90"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585" w:type="dxa"/>
            <w:gridSpan w:val="3"/>
          </w:tcPr>
          <w:p w14:paraId="70E994B0"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D7D23" w:rsidRPr="002F467C" w14:paraId="530E351D" w14:textId="77777777" w:rsidTr="004A4351">
        <w:trPr>
          <w:trHeight w:val="597"/>
        </w:trPr>
        <w:tc>
          <w:tcPr>
            <w:tcW w:w="8711" w:type="dxa"/>
            <w:gridSpan w:val="5"/>
          </w:tcPr>
          <w:p w14:paraId="54917EB0" w14:textId="77777777" w:rsidR="00CD7D23" w:rsidRPr="00B34964" w:rsidRDefault="00CD7D23" w:rsidP="004A4351">
            <w:pPr>
              <w:rPr>
                <w:rFonts w:ascii="Arial" w:hAnsi="Arial" w:cs="Arial"/>
                <w:b/>
              </w:rPr>
            </w:pPr>
            <w:r w:rsidRPr="00B34964">
              <w:rPr>
                <w:rFonts w:ascii="Arial" w:hAnsi="Arial" w:cs="Arial"/>
                <w:b/>
              </w:rPr>
              <w:t>External Examiner’s comments (if relevant)</w:t>
            </w:r>
          </w:p>
          <w:p w14:paraId="6CB5F79B"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p>
          <w:p w14:paraId="1BE8F510" w14:textId="77777777" w:rsidR="00CD7D23" w:rsidRPr="00230F35" w:rsidRDefault="00CD7D23" w:rsidP="004A4351">
            <w:pPr>
              <w:pStyle w:val="NormalWeb"/>
              <w:spacing w:before="0" w:beforeAutospacing="0" w:after="0" w:afterAutospacing="0"/>
              <w:ind w:right="-334"/>
              <w:rPr>
                <w:rFonts w:ascii="Arial" w:hAnsi="Arial" w:cs="Arial"/>
                <w:bCs/>
                <w:sz w:val="22"/>
                <w:szCs w:val="22"/>
              </w:rPr>
            </w:pPr>
          </w:p>
        </w:tc>
      </w:tr>
      <w:tr w:rsidR="00CD7D23" w:rsidRPr="002F467C" w14:paraId="39B3B7A3" w14:textId="77777777" w:rsidTr="004A4351">
        <w:trPr>
          <w:trHeight w:val="597"/>
        </w:trPr>
        <w:tc>
          <w:tcPr>
            <w:tcW w:w="5126" w:type="dxa"/>
            <w:gridSpan w:val="2"/>
          </w:tcPr>
          <w:p w14:paraId="63186C41" w14:textId="77777777" w:rsidR="00CD7D23" w:rsidRPr="00230F35" w:rsidRDefault="00CD7D23" w:rsidP="004A4351">
            <w:pPr>
              <w:rPr>
                <w:rFonts w:ascii="Arial" w:hAnsi="Arial" w:cs="Arial"/>
              </w:rPr>
            </w:pPr>
            <w:r w:rsidRPr="00230F35">
              <w:rPr>
                <w:rFonts w:ascii="Arial" w:hAnsi="Arial" w:cs="Arial"/>
              </w:rPr>
              <w:t>External Examiner’s Signature:</w:t>
            </w:r>
          </w:p>
        </w:tc>
        <w:tc>
          <w:tcPr>
            <w:tcW w:w="3585" w:type="dxa"/>
            <w:gridSpan w:val="3"/>
          </w:tcPr>
          <w:p w14:paraId="3AFDE7D5" w14:textId="77777777" w:rsidR="00CD7D23" w:rsidRPr="00230F35" w:rsidRDefault="00CD7D23" w:rsidP="004A4351">
            <w:pPr>
              <w:rPr>
                <w:rFonts w:ascii="Arial" w:hAnsi="Arial" w:cs="Arial"/>
              </w:rPr>
            </w:pPr>
            <w:r w:rsidRPr="00230F35">
              <w:rPr>
                <w:rFonts w:ascii="Arial" w:hAnsi="Arial" w:cs="Arial"/>
              </w:rPr>
              <w:t>Date:</w:t>
            </w:r>
          </w:p>
        </w:tc>
      </w:tr>
    </w:tbl>
    <w:p w14:paraId="13B0CCD3" w14:textId="77777777" w:rsidR="00CD7D23" w:rsidRDefault="00CD7D23" w:rsidP="00857FE5">
      <w:pPr>
        <w:spacing w:line="360" w:lineRule="auto"/>
        <w:rPr>
          <w:b/>
          <w:bCs/>
        </w:rPr>
      </w:pPr>
    </w:p>
    <w:p w14:paraId="1C41DA94" w14:textId="3BBB18BD" w:rsidR="00902978" w:rsidRDefault="00902978" w:rsidP="00857FE5">
      <w:pPr>
        <w:spacing w:line="360" w:lineRule="auto"/>
        <w:rPr>
          <w:b/>
          <w:bCs/>
        </w:rPr>
      </w:pPr>
      <w:r>
        <w:rPr>
          <w:b/>
          <w:bCs/>
        </w:rPr>
        <w:lastRenderedPageBreak/>
        <w:t>Introduction</w:t>
      </w:r>
    </w:p>
    <w:p w14:paraId="5B37F637" w14:textId="67276213" w:rsidR="00483350" w:rsidRPr="00DA7D79" w:rsidRDefault="00483350" w:rsidP="0075243B">
      <w:pPr>
        <w:spacing w:line="360" w:lineRule="auto"/>
        <w:jc w:val="both"/>
      </w:pPr>
      <w:r w:rsidRPr="00DA7D79">
        <w:t xml:space="preserve">This essay is going to compare and contrast two specific texts: </w:t>
      </w:r>
      <w:r w:rsidR="00DA7D79" w:rsidRPr="00E35F50">
        <w:rPr>
          <w:i/>
          <w:iCs/>
        </w:rPr>
        <w:t>‘A Very Private Belief: Reincarnation in Contemporary England’</w:t>
      </w:r>
      <w:r w:rsidR="00DA7D79">
        <w:t xml:space="preserve"> by Tony Walter and Helen Waterhouse and </w:t>
      </w:r>
      <w:r w:rsidR="00DA7D79" w:rsidRPr="00AA6FCA">
        <w:rPr>
          <w:i/>
          <w:iCs/>
        </w:rPr>
        <w:t xml:space="preserve">‘Inconsistency of Belief among Roman Catholic Girls: Concerning Religion, Astrology, Reincarnation’ </w:t>
      </w:r>
      <w:r w:rsidR="00DA7D79">
        <w:t>by T. L. Brink.</w:t>
      </w:r>
      <w:r w:rsidR="00DA7D79">
        <w:t xml:space="preserve"> Firstly</w:t>
      </w:r>
      <w:r w:rsidR="00EA5F00">
        <w:t>,</w:t>
      </w:r>
      <w:r w:rsidR="00DA7D79">
        <w:t xml:space="preserve"> </w:t>
      </w:r>
      <w:r w:rsidR="004B2B56">
        <w:t xml:space="preserve">it is going to summarize Walter and Waterhouse’s research as well as it will state its main points. </w:t>
      </w:r>
      <w:r w:rsidR="00EA5F00">
        <w:t xml:space="preserve">The same </w:t>
      </w:r>
      <w:r w:rsidR="00575579">
        <w:t>is going to be</w:t>
      </w:r>
      <w:r w:rsidR="00EA5F00">
        <w:t xml:space="preserve"> done for the research of Brink, as it is necessary to familiarize </w:t>
      </w:r>
      <w:r w:rsidR="00481521">
        <w:t>oneself</w:t>
      </w:r>
      <w:r w:rsidR="00EA5F00">
        <w:t xml:space="preserve"> </w:t>
      </w:r>
      <w:r w:rsidR="00481521">
        <w:t>with the writings that will be compared.</w:t>
      </w:r>
      <w:r w:rsidR="0037290F">
        <w:t xml:space="preserve"> Lastly, it will critically compare the two texts in question</w:t>
      </w:r>
      <w:r w:rsidR="00AC3344">
        <w:t xml:space="preserve">, </w:t>
      </w:r>
      <w:r w:rsidR="00F224AC">
        <w:t>with each necessary part</w:t>
      </w:r>
      <w:r w:rsidR="00AC3344">
        <w:t xml:space="preserve"> included: </w:t>
      </w:r>
      <w:r w:rsidR="0075243B">
        <w:t>the topic or topics, methodology, authors’ their assumptions, arguments, and results</w:t>
      </w:r>
      <w:r w:rsidR="0075243B">
        <w:t xml:space="preserve">. This will fully </w:t>
      </w:r>
      <w:r w:rsidR="00304ECD">
        <w:t xml:space="preserve">allow for the comparison to be conducted. While the text will be talking about a fairly similar topic, with somewhat similar </w:t>
      </w:r>
      <w:r w:rsidR="000778CD">
        <w:t xml:space="preserve">results, because of the different attitudes towards this research they will </w:t>
      </w:r>
      <w:r w:rsidR="00CA37F8">
        <w:t>have contrasting conclusions.</w:t>
      </w:r>
    </w:p>
    <w:p w14:paraId="066FE3D4" w14:textId="0DCD6900" w:rsidR="00A432EE" w:rsidRPr="00E35F50" w:rsidRDefault="00E35F50" w:rsidP="00857FE5">
      <w:pPr>
        <w:spacing w:line="360" w:lineRule="auto"/>
        <w:rPr>
          <w:b/>
          <w:bCs/>
          <w:i/>
          <w:iCs/>
        </w:rPr>
      </w:pPr>
      <w:r w:rsidRPr="00E35F50">
        <w:rPr>
          <w:b/>
          <w:bCs/>
        </w:rPr>
        <w:t xml:space="preserve">Summary </w:t>
      </w:r>
      <w:r w:rsidR="00B06F0E">
        <w:rPr>
          <w:b/>
          <w:bCs/>
        </w:rPr>
        <w:t xml:space="preserve">and Main ideas </w:t>
      </w:r>
      <w:r w:rsidRPr="00E35F50">
        <w:rPr>
          <w:b/>
          <w:bCs/>
        </w:rPr>
        <w:t>of ‘</w:t>
      </w:r>
      <w:r w:rsidRPr="00E35F50">
        <w:rPr>
          <w:b/>
          <w:bCs/>
          <w:i/>
          <w:iCs/>
        </w:rPr>
        <w:t>A Very Private Belief: Reincarnation in Contemporary England</w:t>
      </w:r>
      <w:r w:rsidRPr="00E35F50">
        <w:rPr>
          <w:b/>
          <w:bCs/>
          <w:i/>
          <w:iCs/>
        </w:rPr>
        <w:t>’</w:t>
      </w:r>
    </w:p>
    <w:p w14:paraId="2ECA60C6" w14:textId="4131D29B" w:rsidR="00E35F50" w:rsidRDefault="00E35F50" w:rsidP="00857FE5">
      <w:pPr>
        <w:spacing w:line="360" w:lineRule="auto"/>
        <w:jc w:val="both"/>
      </w:pPr>
      <w:r w:rsidRPr="00E35F50">
        <w:rPr>
          <w:i/>
          <w:iCs/>
        </w:rPr>
        <w:t>‘</w:t>
      </w:r>
      <w:r w:rsidRPr="00E35F50">
        <w:rPr>
          <w:i/>
          <w:iCs/>
        </w:rPr>
        <w:t>A Very Private Belief: Reincarnation in Contemporary England</w:t>
      </w:r>
      <w:r w:rsidRPr="00E35F50">
        <w:rPr>
          <w:i/>
          <w:iCs/>
        </w:rPr>
        <w:t>’</w:t>
      </w:r>
      <w:r>
        <w:t xml:space="preserve"> by Tony Walter and Helen Waterhouse is a text summarizing qualitative research about belief in reincarnation in </w:t>
      </w:r>
      <w:r w:rsidR="005342B4">
        <w:t>c</w:t>
      </w:r>
      <w:r>
        <w:t>ontemporary England</w:t>
      </w:r>
      <w:r w:rsidR="009867FF">
        <w:t xml:space="preserve"> from 1999</w:t>
      </w:r>
      <w:r>
        <w:t>. The authors focus on multiple perspectives regarding this topic</w:t>
      </w:r>
      <w:r w:rsidR="00601E58">
        <w:t xml:space="preserve"> and their strengths and weaknesses. The article starts with a statement about the </w:t>
      </w:r>
      <w:r w:rsidR="00080348">
        <w:t xml:space="preserve">increased number of people of Western descent that have interest in reincarnation or New Age religions. They further explain that it is an </w:t>
      </w:r>
      <w:r w:rsidR="00C46AC9">
        <w:t>interesting phenomenon</w:t>
      </w:r>
      <w:r w:rsidR="00080348">
        <w:t xml:space="preserve"> because </w:t>
      </w:r>
      <w:r w:rsidR="00C46AC9">
        <w:t>it does not belong into of the two major Western belief systems, namely Christianity and Secularism. The goal of the article is to explore what reincarnation means to those who believe in it outside of the grasp of institutionalized religion</w:t>
      </w:r>
      <w:r w:rsidR="00C46AC9">
        <w:rPr>
          <w:rStyle w:val="FootnoteReference"/>
        </w:rPr>
        <w:footnoteReference w:id="1"/>
      </w:r>
    </w:p>
    <w:p w14:paraId="7393B053" w14:textId="4883AFAE" w:rsidR="005342B4" w:rsidRDefault="005342B4" w:rsidP="00857FE5">
      <w:pPr>
        <w:spacing w:line="360" w:lineRule="auto"/>
        <w:jc w:val="both"/>
      </w:pPr>
      <w:r>
        <w:t xml:space="preserve">They begin with evaluation of historical surveys about the belief in reincarnation that suggests the belief in this practice is steadily on the rise. </w:t>
      </w:r>
      <w:r w:rsidR="00D55DA9">
        <w:t xml:space="preserve">It is important to note that the percentage of population which believes in reincarnation exceeds the percentage </w:t>
      </w:r>
      <w:r w:rsidR="00F573EE">
        <w:t xml:space="preserve">of Hindu, Sikh, and Buddhists in the United Kingdom. </w:t>
      </w:r>
      <w:r w:rsidR="00F573EE">
        <w:rPr>
          <w:rStyle w:val="FootnoteReference"/>
        </w:rPr>
        <w:footnoteReference w:id="2"/>
      </w:r>
      <w:r w:rsidR="00F573EE">
        <w:t xml:space="preserve"> </w:t>
      </w:r>
      <w:r w:rsidR="006A5D4C">
        <w:t xml:space="preserve"> The interview data for Waterhouse’s research </w:t>
      </w:r>
      <w:r w:rsidR="00631AF6">
        <w:t xml:space="preserve">which was </w:t>
      </w:r>
      <w:r w:rsidR="006A5D4C">
        <w:t>conclud</w:t>
      </w:r>
      <w:r w:rsidR="00B03B41">
        <w:t>ed</w:t>
      </w:r>
      <w:r w:rsidR="006A5D4C">
        <w:t xml:space="preserve"> in 1997 was collected from</w:t>
      </w:r>
      <w:r w:rsidR="007F2F49">
        <w:t xml:space="preserve"> thirty adults  and twenty one children from the age eleven to eighteen (excluding age sixteen). From these people two thirds of the responders were female and one third of all responders were practising Christians. Furthermore, the authors state that: “T</w:t>
      </w:r>
      <w:r w:rsidR="007F2F49">
        <w:t>he intention was not to assemble a representative</w:t>
      </w:r>
      <w:r w:rsidR="007F2F49">
        <w:t xml:space="preserve"> s</w:t>
      </w:r>
      <w:r w:rsidR="007F2F49">
        <w:t>ample, but to discover the range of meanings given to the idea of reincarnation;</w:t>
      </w:r>
      <w:r w:rsidR="007F2F49">
        <w:t xml:space="preserve"> </w:t>
      </w:r>
      <w:r w:rsidR="007F2F49">
        <w:t>to this end, the interviews were very open-ended, care was taken to let</w:t>
      </w:r>
      <w:r w:rsidR="007F2F49">
        <w:t xml:space="preserve"> </w:t>
      </w:r>
      <w:r w:rsidR="007F2F49">
        <w:t>interviewees speak in their own terms, and interviewers were careful not to ask</w:t>
      </w:r>
      <w:r w:rsidR="007F2F49">
        <w:t xml:space="preserve"> </w:t>
      </w:r>
      <w:r w:rsidR="007F2F49">
        <w:t>leading questions</w:t>
      </w:r>
      <w:r w:rsidR="007F2F49">
        <w:t>.”</w:t>
      </w:r>
      <w:r w:rsidR="007F2F49">
        <w:rPr>
          <w:rStyle w:val="FootnoteReference"/>
        </w:rPr>
        <w:footnoteReference w:id="3"/>
      </w:r>
      <w:r w:rsidR="004D075B">
        <w:t xml:space="preserve"> Another important point to remember is </w:t>
      </w:r>
      <w:r w:rsidR="004D075B">
        <w:lastRenderedPageBreak/>
        <w:t xml:space="preserve">that </w:t>
      </w:r>
      <w:r w:rsidR="007D01A2">
        <w:t>these surveys excluded</w:t>
      </w:r>
      <w:r w:rsidR="000E35F8">
        <w:t xml:space="preserve"> people of</w:t>
      </w:r>
      <w:r w:rsidR="007D01A2">
        <w:t xml:space="preserve"> </w:t>
      </w:r>
      <w:r w:rsidR="00246CB3">
        <w:t>Hindu, Sikh, and Buddhist</w:t>
      </w:r>
      <w:r w:rsidR="008133BC">
        <w:t xml:space="preserve"> origin</w:t>
      </w:r>
      <w:r w:rsidR="00246CB3">
        <w:t xml:space="preserve">, as the intention of the survey if to </w:t>
      </w:r>
      <w:r w:rsidR="008E4840">
        <w:t>question what reincarnation means to people who do not have a set cultural background in that belief</w:t>
      </w:r>
      <w:r w:rsidR="001A7086">
        <w:t xml:space="preserve"> or </w:t>
      </w:r>
      <w:r w:rsidR="00A00D5D">
        <w:t>people profoundly interested in New Age beliefs.</w:t>
      </w:r>
      <w:r w:rsidR="00D0743E">
        <w:t xml:space="preserve"> </w:t>
      </w:r>
      <w:r w:rsidR="00947608">
        <w:t xml:space="preserve">Furthermore, Waterhouse overlooked the data from a religious perspective and </w:t>
      </w:r>
      <w:r w:rsidR="00615545">
        <w:t>Walter from sociological.</w:t>
      </w:r>
      <w:r w:rsidR="00615545">
        <w:rPr>
          <w:rStyle w:val="FootnoteReference"/>
        </w:rPr>
        <w:footnoteReference w:id="4"/>
      </w:r>
    </w:p>
    <w:p w14:paraId="11CA46C0" w14:textId="00B9725F" w:rsidR="00BF0C5D" w:rsidRDefault="00BF0C5D" w:rsidP="00AB65EE">
      <w:pPr>
        <w:spacing w:line="360" w:lineRule="auto"/>
        <w:jc w:val="both"/>
      </w:pPr>
      <w:r>
        <w:t xml:space="preserve">Throughout the survey, the authors focus on multiple different perspectives </w:t>
      </w:r>
      <w:r w:rsidR="00112965">
        <w:t xml:space="preserve">when they are entertaining the idea of reincarnation among the general population. </w:t>
      </w:r>
      <w:r w:rsidR="002C6A07">
        <w:t xml:space="preserve">They question if and how this belief </w:t>
      </w:r>
      <w:r w:rsidR="00C03606">
        <w:t>solves or could possibly solve their existential questions.</w:t>
      </w:r>
      <w:r w:rsidR="00415563">
        <w:t xml:space="preserve"> Or if their opinion has been </w:t>
      </w:r>
      <w:r w:rsidR="000F6293">
        <w:t>influenced by someone else’s experience</w:t>
      </w:r>
      <w:r w:rsidR="00634EFB">
        <w:t>, for example if they have read a book about someone recalling the memories of their past life</w:t>
      </w:r>
      <w:r w:rsidR="00A40D24">
        <w:t>, but they could also have these experiences themselves.</w:t>
      </w:r>
      <w:r w:rsidR="00CC3874">
        <w:rPr>
          <w:rStyle w:val="FootnoteReference"/>
        </w:rPr>
        <w:footnoteReference w:id="5"/>
      </w:r>
      <w:r w:rsidR="00FA4742">
        <w:t xml:space="preserve"> </w:t>
      </w:r>
      <w:r w:rsidR="004A4D26">
        <w:t xml:space="preserve">While they consider these perspectives of the </w:t>
      </w:r>
      <w:r w:rsidR="00376514">
        <w:t>question,</w:t>
      </w:r>
      <w:r w:rsidR="004A4D26">
        <w:t xml:space="preserve"> they begin to debate </w:t>
      </w:r>
      <w:r w:rsidR="0039535C">
        <w:t xml:space="preserve">people personal views. </w:t>
      </w:r>
      <w:r w:rsidR="00DA151A">
        <w:t>There are s</w:t>
      </w:r>
      <w:r w:rsidR="004C7954">
        <w:t>ome s</w:t>
      </w:r>
      <w:r w:rsidR="00DA151A">
        <w:t xml:space="preserve">pecific patterns that can be found within their </w:t>
      </w:r>
      <w:r w:rsidR="007F1AAA">
        <w:t>answers,</w:t>
      </w:r>
      <w:r w:rsidR="00DA151A">
        <w:t xml:space="preserve"> but </w:t>
      </w:r>
      <w:r w:rsidR="004C7954">
        <w:t xml:space="preserve">the answers tend to be very individual as well. </w:t>
      </w:r>
      <w:r w:rsidR="007F1AAA">
        <w:t xml:space="preserve">Overall, </w:t>
      </w:r>
      <w:r w:rsidR="00634509">
        <w:t xml:space="preserve">thanks to the </w:t>
      </w:r>
      <w:r w:rsidR="002C05A8">
        <w:t xml:space="preserve">research they have found out that the belief in reincarnation </w:t>
      </w:r>
      <w:r w:rsidR="007A4CD2">
        <w:t>affects the individual</w:t>
      </w:r>
      <w:r w:rsidR="0068756E">
        <w:t xml:space="preserve"> and their lives </w:t>
      </w:r>
      <w:r w:rsidR="00717CD5">
        <w:t xml:space="preserve">insignificantly. </w:t>
      </w:r>
      <w:r w:rsidR="00AB65EE">
        <w:t>Lastly, the authors state that: “E</w:t>
      </w:r>
      <w:r w:rsidR="00AB65EE">
        <w:t>ntertaining the idea of reincarnation is rather like being a nominal</w:t>
      </w:r>
      <w:r w:rsidR="002732ED">
        <w:t xml:space="preserve"> </w:t>
      </w:r>
      <w:r w:rsidR="00AB65EE">
        <w:t>Christian - a part of one's belief system, but with no great effect on one's life</w:t>
      </w:r>
      <w:r w:rsidR="002732ED">
        <w:t xml:space="preserve">. </w:t>
      </w:r>
      <w:r w:rsidR="00AB65EE">
        <w:t>Everyday actions and values are more likely to be influenced by culture than by</w:t>
      </w:r>
      <w:r w:rsidR="002732ED">
        <w:t xml:space="preserve"> </w:t>
      </w:r>
      <w:r w:rsidR="00AB65EE">
        <w:t xml:space="preserve">personal religious beliefs that have no strong social support. </w:t>
      </w:r>
      <w:r w:rsidR="00AB65EE">
        <w:t>”</w:t>
      </w:r>
      <w:r w:rsidR="00F610DE">
        <w:rPr>
          <w:rStyle w:val="FootnoteReference"/>
        </w:rPr>
        <w:footnoteReference w:id="6"/>
      </w:r>
      <w:r w:rsidR="00C826F3">
        <w:t xml:space="preserve"> </w:t>
      </w:r>
      <w:r w:rsidR="00EB5B42">
        <w:t xml:space="preserve">Suggesting that while the belief or knowledge about it can be found in the population, </w:t>
      </w:r>
      <w:r w:rsidR="009867FF">
        <w:t>people are more likely to be affected by their culture.</w:t>
      </w:r>
    </w:p>
    <w:p w14:paraId="53D3AA8F" w14:textId="1E490B1C" w:rsidR="003065A2" w:rsidRPr="00E35F50" w:rsidRDefault="003065A2" w:rsidP="00B53F74">
      <w:pPr>
        <w:spacing w:line="360" w:lineRule="auto"/>
        <w:jc w:val="both"/>
        <w:rPr>
          <w:b/>
          <w:bCs/>
          <w:i/>
          <w:iCs/>
        </w:rPr>
      </w:pPr>
      <w:r w:rsidRPr="00E35F50">
        <w:rPr>
          <w:b/>
          <w:bCs/>
        </w:rPr>
        <w:t xml:space="preserve">Summary </w:t>
      </w:r>
      <w:r>
        <w:rPr>
          <w:b/>
          <w:bCs/>
        </w:rPr>
        <w:t xml:space="preserve">and Main ideas </w:t>
      </w:r>
      <w:r w:rsidRPr="00E35F50">
        <w:rPr>
          <w:b/>
          <w:bCs/>
        </w:rPr>
        <w:t>of ‘</w:t>
      </w:r>
      <w:r w:rsidR="00B53F74" w:rsidRPr="00B53F74">
        <w:rPr>
          <w:b/>
          <w:bCs/>
        </w:rPr>
        <w:t xml:space="preserve">Inconsistency of Belief among Roman Catholic Girls: Concerning Religion, Astrology, </w:t>
      </w:r>
      <w:proofErr w:type="gramStart"/>
      <w:r w:rsidR="00B53F74" w:rsidRPr="00B53F74">
        <w:rPr>
          <w:b/>
          <w:bCs/>
        </w:rPr>
        <w:t>Reincarnation</w:t>
      </w:r>
      <w:r w:rsidR="00B53F74" w:rsidRPr="00B53F74">
        <w:rPr>
          <w:b/>
          <w:bCs/>
        </w:rPr>
        <w:t>’</w:t>
      </w:r>
      <w:proofErr w:type="gramEnd"/>
    </w:p>
    <w:p w14:paraId="7FEA1FD2" w14:textId="66B60CC5" w:rsidR="003065A2" w:rsidRDefault="000116B3" w:rsidP="00AB65EE">
      <w:pPr>
        <w:spacing w:line="360" w:lineRule="auto"/>
        <w:jc w:val="both"/>
      </w:pPr>
      <w:r w:rsidRPr="00AA6FCA">
        <w:rPr>
          <w:i/>
          <w:iCs/>
        </w:rPr>
        <w:t>‘</w:t>
      </w:r>
      <w:r w:rsidRPr="00AA6FCA">
        <w:rPr>
          <w:i/>
          <w:iCs/>
        </w:rPr>
        <w:t>Inconsistency of Belief among Roman Catholic Girls: Concerning Religion, Astrology, Reincarnation’</w:t>
      </w:r>
      <w:r w:rsidRPr="00AA6FCA">
        <w:rPr>
          <w:i/>
          <w:iCs/>
        </w:rPr>
        <w:t xml:space="preserve"> </w:t>
      </w:r>
      <w:r>
        <w:t>was written in 1978</w:t>
      </w:r>
      <w:r w:rsidR="00AA6FCA">
        <w:t xml:space="preserve"> by T. L. Brink. The text focuses on </w:t>
      </w:r>
      <w:r w:rsidR="007D5D56">
        <w:t>qua</w:t>
      </w:r>
      <w:r w:rsidR="003C7BBA">
        <w:t>ntitative</w:t>
      </w:r>
      <w:r w:rsidR="007D5D56">
        <w:t xml:space="preserve"> research of inconsistencies</w:t>
      </w:r>
      <w:r w:rsidR="00D57346">
        <w:t xml:space="preserve"> within the belief of Roman Catholic girls</w:t>
      </w:r>
      <w:r w:rsidR="007514AF">
        <w:t xml:space="preserve"> in America</w:t>
      </w:r>
      <w:r w:rsidR="00D57346">
        <w:t xml:space="preserve">; </w:t>
      </w:r>
      <w:r w:rsidR="00E37519">
        <w:t>specifically,</w:t>
      </w:r>
      <w:r w:rsidR="004E62E9">
        <w:t xml:space="preserve"> how their engagement with astrology</w:t>
      </w:r>
      <w:r w:rsidR="00CD6811">
        <w:t xml:space="preserve"> and reincarnation </w:t>
      </w:r>
      <w:r w:rsidR="00655966">
        <w:t xml:space="preserve">does not align with the teaching of the </w:t>
      </w:r>
      <w:r w:rsidR="00A54E11">
        <w:t xml:space="preserve">Catholic Church. Brink suggests that </w:t>
      </w:r>
      <w:r w:rsidR="00D279C0">
        <w:t>the reason for the inconsistencies comes from varying back</w:t>
      </w:r>
      <w:r w:rsidR="00C01233">
        <w:t xml:space="preserve">ground of the girls in question. </w:t>
      </w:r>
      <w:r w:rsidR="00112AEB">
        <w:t>Their surrounding is influenced for example by</w:t>
      </w:r>
      <w:r w:rsidR="00F62D49">
        <w:t xml:space="preserve"> their </w:t>
      </w:r>
      <w:r w:rsidR="00112AEB">
        <w:t xml:space="preserve">specific </w:t>
      </w:r>
      <w:r w:rsidR="00E127F7">
        <w:t>culture, knowledge about different belief systems, or the</w:t>
      </w:r>
      <w:r w:rsidR="007D5D56">
        <w:t>ir own personal experience.</w:t>
      </w:r>
      <w:r w:rsidR="00E37519">
        <w:t xml:space="preserve"> The goal </w:t>
      </w:r>
      <w:r w:rsidR="0073207C">
        <w:t>of Brink’s research is, however, to point out how complex</w:t>
      </w:r>
      <w:r w:rsidR="009C75F1">
        <w:t xml:space="preserve"> and diverse belief systems can be, even </w:t>
      </w:r>
      <w:r w:rsidR="00EB50CF">
        <w:t>from the perspective o people affiliated with the Roman Catholic Church.</w:t>
      </w:r>
      <w:r w:rsidR="00EB50CF">
        <w:rPr>
          <w:rStyle w:val="FootnoteReference"/>
        </w:rPr>
        <w:footnoteReference w:id="7"/>
      </w:r>
    </w:p>
    <w:p w14:paraId="3D9AE324" w14:textId="6D9630FF" w:rsidR="009878D0" w:rsidRDefault="0042208C" w:rsidP="00AB65EE">
      <w:pPr>
        <w:spacing w:line="360" w:lineRule="auto"/>
        <w:jc w:val="both"/>
      </w:pPr>
      <w:r>
        <w:t xml:space="preserve">The study begins with </w:t>
      </w:r>
      <w:r w:rsidR="00B73D06">
        <w:t>introduction</w:t>
      </w:r>
      <w:r w:rsidR="0072666D">
        <w:t xml:space="preserve"> to how many subjects were used to complete it, in total Brink </w:t>
      </w:r>
      <w:r w:rsidR="00497FFB">
        <w:t xml:space="preserve">collected data from </w:t>
      </w:r>
      <w:r w:rsidR="0072666D">
        <w:t>22</w:t>
      </w:r>
      <w:r w:rsidR="001B75A7">
        <w:t>7 junior and senior students at a hig</w:t>
      </w:r>
      <w:r w:rsidR="00E34CCB">
        <w:t>h school for Roman Catholic girls.</w:t>
      </w:r>
      <w:r w:rsidR="00613FD2">
        <w:t xml:space="preserve"> He </w:t>
      </w:r>
      <w:r w:rsidR="00613FD2">
        <w:lastRenderedPageBreak/>
        <w:t xml:space="preserve">continues with a statement, that </w:t>
      </w:r>
      <w:r w:rsidR="00F45211">
        <w:t xml:space="preserve">the belief of girls who expressed </w:t>
      </w:r>
      <w:r w:rsidR="00555473">
        <w:t xml:space="preserve">inclination towards astrology did </w:t>
      </w:r>
      <w:r w:rsidR="00305F68">
        <w:t xml:space="preserve">affect their attitudes towards religion, </w:t>
      </w:r>
      <w:r w:rsidR="00E4298F">
        <w:t xml:space="preserve">it was not particularly different from the students that did not express such interest. </w:t>
      </w:r>
      <w:r w:rsidR="005A742B">
        <w:t>Belief in reincarnation however, suggested slightly different attitudes</w:t>
      </w:r>
      <w:r w:rsidR="00AF33F6">
        <w:t xml:space="preserve">. </w:t>
      </w:r>
      <w:r w:rsidR="00490007">
        <w:t xml:space="preserve">At the same time, the girls who expressed interest in astrology were more likely to express interest in reincarnation as well. </w:t>
      </w:r>
      <w:r w:rsidR="00125353">
        <w:t xml:space="preserve">Brink </w:t>
      </w:r>
      <w:r w:rsidR="00B9040D">
        <w:t>highlights</w:t>
      </w:r>
      <w:r w:rsidR="00125353">
        <w:t xml:space="preserve"> that</w:t>
      </w:r>
      <w:r w:rsidR="0078353F">
        <w:t xml:space="preserve"> these results prove </w:t>
      </w:r>
      <w:r w:rsidR="00DF085D">
        <w:t>to be inconsistent</w:t>
      </w:r>
      <w:r w:rsidR="0078353F">
        <w:t xml:space="preserve"> with </w:t>
      </w:r>
      <w:r w:rsidR="000A3515">
        <w:t>previously kno</w:t>
      </w:r>
      <w:r w:rsidR="00A470BA">
        <w:t xml:space="preserve">wn </w:t>
      </w:r>
      <w:r w:rsidR="00371247">
        <w:t>cognitive theories</w:t>
      </w:r>
      <w:r w:rsidR="00A470BA">
        <w:t>.</w:t>
      </w:r>
      <w:r w:rsidR="00371247">
        <w:t xml:space="preserve"> </w:t>
      </w:r>
      <w:r w:rsidR="00A470BA">
        <w:t>The theories</w:t>
      </w:r>
      <w:r w:rsidR="00371247">
        <w:t xml:space="preserve"> </w:t>
      </w:r>
      <w:r w:rsidR="00E84CEF">
        <w:t xml:space="preserve">presumed </w:t>
      </w:r>
      <w:r w:rsidR="009C4ACA">
        <w:t xml:space="preserve">that </w:t>
      </w:r>
      <w:r w:rsidR="00E84CEF">
        <w:t>a</w:t>
      </w:r>
      <w:r w:rsidR="004609EA">
        <w:t>ttitud</w:t>
      </w:r>
      <w:r w:rsidR="00232E0F">
        <w:t>e of individuals to be consistent with their initial believes.</w:t>
      </w:r>
      <w:r w:rsidR="004515E7">
        <w:rPr>
          <w:rStyle w:val="FootnoteReference"/>
        </w:rPr>
        <w:footnoteReference w:id="8"/>
      </w:r>
    </w:p>
    <w:p w14:paraId="36E398D7" w14:textId="272763AE" w:rsidR="00B27380" w:rsidRDefault="00070E7D" w:rsidP="001E11FC">
      <w:pPr>
        <w:spacing w:line="360" w:lineRule="auto"/>
        <w:jc w:val="both"/>
      </w:pPr>
      <w:r>
        <w:t xml:space="preserve">The main point of Brink’s hypothesis is to </w:t>
      </w:r>
      <w:r w:rsidR="009A6278">
        <w:t xml:space="preserve">enhance </w:t>
      </w:r>
      <w:r w:rsidR="00E01D29">
        <w:t xml:space="preserve">the fact that </w:t>
      </w:r>
      <w:r w:rsidR="005336CD">
        <w:t>conflict ari</w:t>
      </w:r>
      <w:r w:rsidR="001A4633">
        <w:t xml:space="preserve">ses when an individual believes in both astrology and Roman Catholicism. </w:t>
      </w:r>
      <w:r w:rsidR="00322869">
        <w:t xml:space="preserve">He </w:t>
      </w:r>
      <w:r w:rsidR="00FF1B1C">
        <w:t>states that</w:t>
      </w:r>
      <w:r w:rsidR="007E761A">
        <w:t>: “</w:t>
      </w:r>
      <w:r w:rsidR="001E11FC">
        <w:t>Simultaneous belief in Roman Catholic doctrine, astrology</w:t>
      </w:r>
      <w:r w:rsidR="001E11FC">
        <w:t xml:space="preserve">, and </w:t>
      </w:r>
      <w:r w:rsidR="001E11FC">
        <w:t>reincarnation is logically incompatible. The body of Catholi</w:t>
      </w:r>
      <w:r w:rsidR="00EB1718">
        <w:t>c doc</w:t>
      </w:r>
      <w:r w:rsidR="001E11FC">
        <w:t>trine presumes both the omnipotence of God and the free</w:t>
      </w:r>
      <w:r w:rsidR="00EB1718">
        <w:t xml:space="preserve"> will of </w:t>
      </w:r>
      <w:r w:rsidR="001E11FC">
        <w:t>man, which is inconsistent with fate being determ</w:t>
      </w:r>
      <w:r w:rsidR="00EB1718">
        <w:t>ined by the stars.”</w:t>
      </w:r>
      <w:r w:rsidR="00EB1718">
        <w:rPr>
          <w:rStyle w:val="FootnoteReference"/>
        </w:rPr>
        <w:footnoteReference w:id="9"/>
      </w:r>
      <w:r w:rsidR="00A90FA9">
        <w:t xml:space="preserve"> He goes on to state other factors why these belief systems are incompatible with one another. For these reasons it should not be possible that </w:t>
      </w:r>
      <w:r w:rsidR="008127B0">
        <w:t>the Roman Catholic girls expressed</w:t>
      </w:r>
      <w:r w:rsidR="00737545">
        <w:t xml:space="preserve"> all these sorts of beliefs</w:t>
      </w:r>
      <w:r w:rsidR="00E623F2">
        <w:t xml:space="preserve">. </w:t>
      </w:r>
      <w:r w:rsidR="00AF4EAB">
        <w:t xml:space="preserve">Despite this reasoning, </w:t>
      </w:r>
      <w:r w:rsidR="008201B9">
        <w:t xml:space="preserve">the results of the </w:t>
      </w:r>
      <w:r w:rsidR="005E2648">
        <w:t>questionnaire suggest otherwise. Whi</w:t>
      </w:r>
      <w:r w:rsidR="00123629">
        <w:t xml:space="preserve">le there was a </w:t>
      </w:r>
      <w:r w:rsidR="00693F1A">
        <w:t>very slight difference between</w:t>
      </w:r>
      <w:r w:rsidR="004F6BF4">
        <w:t xml:space="preserve"> the answers from</w:t>
      </w:r>
      <w:r w:rsidR="00693F1A">
        <w:t xml:space="preserve"> believers in astrology, rein</w:t>
      </w:r>
      <w:r w:rsidR="004B2D25">
        <w:t>carnation, and non-believer</w:t>
      </w:r>
      <w:r w:rsidR="004F6BF4">
        <w:t>s</w:t>
      </w:r>
      <w:r w:rsidR="004B2D25">
        <w:t xml:space="preserve"> (non-believer</w:t>
      </w:r>
      <w:r w:rsidR="00E74D1E">
        <w:t xml:space="preserve">s </w:t>
      </w:r>
      <w:r w:rsidR="004B2D25">
        <w:t>in the alternative forms of faith</w:t>
      </w:r>
      <w:r w:rsidR="00E74D1E">
        <w:t xml:space="preserve"> but still Roman Catholic), </w:t>
      </w:r>
      <w:r w:rsidR="00EB793B">
        <w:t xml:space="preserve">they all still held similar </w:t>
      </w:r>
      <w:r w:rsidR="00FF6BF2">
        <w:t>worldviews</w:t>
      </w:r>
      <w:r w:rsidR="00844E2C">
        <w:t xml:space="preserve">, some even reported </w:t>
      </w:r>
      <w:r w:rsidR="00D830D1">
        <w:t>belief in both of these faiths despite their incompatibility.</w:t>
      </w:r>
      <w:r w:rsidR="00D830D1">
        <w:rPr>
          <w:rStyle w:val="FootnoteReference"/>
        </w:rPr>
        <w:footnoteReference w:id="10"/>
      </w:r>
      <w:r w:rsidR="00B63944">
        <w:t xml:space="preserve"> </w:t>
      </w:r>
    </w:p>
    <w:p w14:paraId="6A374880" w14:textId="7C1592F1" w:rsidR="00B63944" w:rsidRDefault="00B63944" w:rsidP="001E11FC">
      <w:pPr>
        <w:spacing w:line="360" w:lineRule="auto"/>
        <w:jc w:val="both"/>
      </w:pPr>
      <w:r>
        <w:t xml:space="preserve">In the discussion part of his research, Brink </w:t>
      </w:r>
      <w:r w:rsidR="00D83EF3">
        <w:t xml:space="preserve">states that his hypothesis was not confirmed because </w:t>
      </w:r>
      <w:r w:rsidR="0020394C">
        <w:t xml:space="preserve">“acceptance of one belief system was no assurance that </w:t>
      </w:r>
      <w:r w:rsidR="0041755C">
        <w:t>incompatible beliefs would be rejected.”</w:t>
      </w:r>
      <w:r w:rsidR="000353C0">
        <w:rPr>
          <w:rStyle w:val="FootnoteReference"/>
        </w:rPr>
        <w:footnoteReference w:id="11"/>
      </w:r>
      <w:r w:rsidR="000500A0">
        <w:t xml:space="preserve"> He then concludes his research </w:t>
      </w:r>
      <w:r w:rsidR="009F099E">
        <w:t xml:space="preserve">by stating </w:t>
      </w:r>
      <w:r w:rsidR="001748F1">
        <w:t xml:space="preserve">his questionnaire ultimately raises more questions than </w:t>
      </w:r>
      <w:r w:rsidR="00E10ACE">
        <w:t>answers</w:t>
      </w:r>
      <w:r w:rsidR="000C7DC0">
        <w:t>. It is because some of the answers differed greatly from what he ha</w:t>
      </w:r>
      <w:r w:rsidR="00EB7C8C">
        <w:t>d expected, al</w:t>
      </w:r>
      <w:r w:rsidR="00BD11D3">
        <w:t xml:space="preserve">ongside the inconsistencies the results also suggest </w:t>
      </w:r>
      <w:r w:rsidR="00F554D4">
        <w:t>that a great number of respondents was not fully alig</w:t>
      </w:r>
      <w:r w:rsidR="00314365">
        <w:t xml:space="preserve">ned with the Roman Catholic Church. Because a </w:t>
      </w:r>
      <w:r w:rsidR="006D75F3">
        <w:t>significant number of girls answered that the Roman Catholicism might not be</w:t>
      </w:r>
      <w:r w:rsidR="0088249C">
        <w:t xml:space="preserve"> the right religion for them, </w:t>
      </w:r>
      <w:r w:rsidR="008E2DFC">
        <w:t>Brink began to question the fragmentation of American religious culture in general.</w:t>
      </w:r>
      <w:r w:rsidR="00545DF4">
        <w:t xml:space="preserve"> </w:t>
      </w:r>
      <w:r w:rsidR="00E55E4F">
        <w:t>He attempts to give an explanation to the possibility of a  person believing in two</w:t>
      </w:r>
      <w:r w:rsidR="00ED3BC4">
        <w:t xml:space="preserve"> seemingly </w:t>
      </w:r>
      <w:r w:rsidR="00E1756E">
        <w:t xml:space="preserve">incompatible worldviews using Freud. Freud states that people who are afraid of death might </w:t>
      </w:r>
      <w:r w:rsidR="00F2400D">
        <w:t xml:space="preserve">try to ensure </w:t>
      </w:r>
      <w:r w:rsidR="00961C01">
        <w:t xml:space="preserve">‘a life after death’ by believing in more than </w:t>
      </w:r>
      <w:r w:rsidR="00792656">
        <w:t xml:space="preserve">one </w:t>
      </w:r>
      <w:r w:rsidR="00792656">
        <w:lastRenderedPageBreak/>
        <w:t>possibility of what might happen after it.</w:t>
      </w:r>
      <w:r w:rsidR="009F09BA" w:rsidRPr="009F09BA">
        <w:rPr>
          <w:rStyle w:val="FootnoteReference"/>
        </w:rPr>
        <w:t xml:space="preserve"> </w:t>
      </w:r>
      <w:r w:rsidR="009F09BA">
        <w:rPr>
          <w:rStyle w:val="FootnoteReference"/>
        </w:rPr>
        <w:footnoteReference w:id="12"/>
      </w:r>
      <w:r w:rsidR="009F09BA">
        <w:t xml:space="preserve"> </w:t>
      </w:r>
      <w:r w:rsidR="00792656">
        <w:t xml:space="preserve"> Ultimately, </w:t>
      </w:r>
      <w:r w:rsidR="00A03046">
        <w:t xml:space="preserve">Brink is aware that there is more research to be done on this topic because </w:t>
      </w:r>
      <w:r w:rsidR="009F09BA">
        <w:t>this research left him with more questions rather than answers.</w:t>
      </w:r>
    </w:p>
    <w:p w14:paraId="4F1E37E2" w14:textId="70CA42D9" w:rsidR="006A1D9E" w:rsidRPr="006A1D9E" w:rsidRDefault="006A1D9E" w:rsidP="001E11FC">
      <w:pPr>
        <w:spacing w:line="360" w:lineRule="auto"/>
        <w:jc w:val="both"/>
        <w:rPr>
          <w:b/>
          <w:bCs/>
        </w:rPr>
      </w:pPr>
      <w:r w:rsidRPr="006A1D9E">
        <w:rPr>
          <w:b/>
          <w:bCs/>
        </w:rPr>
        <w:t>Critical Comparison of the Two Texts</w:t>
      </w:r>
    </w:p>
    <w:p w14:paraId="5A7BBDD9" w14:textId="605088A3" w:rsidR="006A1D9E" w:rsidRDefault="008E2106" w:rsidP="001E11FC">
      <w:pPr>
        <w:spacing w:line="360" w:lineRule="auto"/>
        <w:jc w:val="both"/>
      </w:pPr>
      <w:r>
        <w:t>There</w:t>
      </w:r>
      <w:r w:rsidR="006C252E">
        <w:t xml:space="preserve"> are</w:t>
      </w:r>
      <w:r>
        <w:t xml:space="preserve"> a few main points to consider when comparing the two texts in </w:t>
      </w:r>
      <w:r w:rsidR="006C252E">
        <w:t>question:</w:t>
      </w:r>
      <w:r w:rsidR="00472069">
        <w:t xml:space="preserve"> the topic</w:t>
      </w:r>
      <w:r w:rsidR="00582EB4">
        <w:t xml:space="preserve"> or topics</w:t>
      </w:r>
      <w:r w:rsidR="00472069">
        <w:t xml:space="preserve">, </w:t>
      </w:r>
      <w:r w:rsidR="00000745">
        <w:t>methodology</w:t>
      </w:r>
      <w:r w:rsidR="00CF2B2D">
        <w:t>, author</w:t>
      </w:r>
      <w:r w:rsidR="00C52445">
        <w:t xml:space="preserve">s’ their </w:t>
      </w:r>
      <w:r w:rsidR="0029487A">
        <w:t>assumptions</w:t>
      </w:r>
      <w:r w:rsidR="006E6E06">
        <w:t xml:space="preserve">, </w:t>
      </w:r>
      <w:r w:rsidR="00C52445">
        <w:t>arguments</w:t>
      </w:r>
      <w:r w:rsidR="002B21BA">
        <w:t xml:space="preserve">, </w:t>
      </w:r>
      <w:r w:rsidR="006C252E">
        <w:t xml:space="preserve">and results. This part of the </w:t>
      </w:r>
      <w:r w:rsidR="008F1489">
        <w:t>essay is going to examine each part respectively</w:t>
      </w:r>
      <w:r w:rsidR="008902EA">
        <w:t xml:space="preserve"> in order to fully compare the two of them.</w:t>
      </w:r>
      <w:r w:rsidR="000D29EC">
        <w:t xml:space="preserve"> </w:t>
      </w:r>
    </w:p>
    <w:p w14:paraId="577286EE" w14:textId="6B8CFF3F" w:rsidR="008902EA" w:rsidRDefault="00140D29" w:rsidP="001E11FC">
      <w:pPr>
        <w:spacing w:line="360" w:lineRule="auto"/>
        <w:jc w:val="both"/>
      </w:pPr>
      <w:r>
        <w:t xml:space="preserve">Unquestionably, the main topic that connects </w:t>
      </w:r>
      <w:r w:rsidR="003849CB">
        <w:t xml:space="preserve">these two </w:t>
      </w:r>
      <w:r w:rsidR="00920BDE">
        <w:t>texts</w:t>
      </w:r>
      <w:r w:rsidR="003849CB">
        <w:t xml:space="preserve"> is the </w:t>
      </w:r>
      <w:r w:rsidR="007D4AE0">
        <w:t xml:space="preserve">belief in reincarnation among a specific </w:t>
      </w:r>
      <w:r w:rsidR="005B2763">
        <w:t>group of people</w:t>
      </w:r>
      <w:r w:rsidR="007D4AE0">
        <w:t xml:space="preserve">. </w:t>
      </w:r>
      <w:r>
        <w:t xml:space="preserve">Walter and Waterhouse look </w:t>
      </w:r>
      <w:r w:rsidR="00672FFB">
        <w:t xml:space="preserve">specifically at </w:t>
      </w:r>
      <w:r w:rsidR="00E404CC">
        <w:t>deeper</w:t>
      </w:r>
      <w:r w:rsidR="00672FFB">
        <w:t xml:space="preserve"> connection</w:t>
      </w:r>
      <w:r w:rsidR="00886793">
        <w:t xml:space="preserve"> to reincarnation</w:t>
      </w:r>
      <w:r w:rsidR="00672FFB">
        <w:t xml:space="preserve"> </w:t>
      </w:r>
      <w:r w:rsidR="00E404CC">
        <w:t>of the people the</w:t>
      </w:r>
      <w:r w:rsidR="00D61537">
        <w:t>y</w:t>
      </w:r>
      <w:r w:rsidR="00E404CC">
        <w:t xml:space="preserve"> interviewed</w:t>
      </w:r>
      <w:r w:rsidR="007223D0">
        <w:t xml:space="preserve">, </w:t>
      </w:r>
      <w:r w:rsidR="00F35CA8">
        <w:t xml:space="preserve">while </w:t>
      </w:r>
      <w:r w:rsidR="007223D0">
        <w:t xml:space="preserve">Brink </w:t>
      </w:r>
      <w:r w:rsidR="007F5810">
        <w:t xml:space="preserve">studies reincarnation and astrology </w:t>
      </w:r>
      <w:r w:rsidR="00DA0D40">
        <w:t>as a belief which is incompatible with the assumed religion</w:t>
      </w:r>
      <w:r w:rsidR="00EA3617">
        <w:t xml:space="preserve"> of his research group. </w:t>
      </w:r>
      <w:r w:rsidR="00BB5E86">
        <w:t xml:space="preserve">Both of them recognize reincarnation as </w:t>
      </w:r>
      <w:r w:rsidR="00F35CA8">
        <w:t xml:space="preserve">a </w:t>
      </w:r>
      <w:r w:rsidR="00E50597">
        <w:t>belief system</w:t>
      </w:r>
      <w:r w:rsidR="00F35CA8">
        <w:t xml:space="preserve"> that migh</w:t>
      </w:r>
      <w:r w:rsidR="0022045E">
        <w:t xml:space="preserve">t or might not play a role in a person’s life. </w:t>
      </w:r>
      <w:r w:rsidR="00DE26AC">
        <w:t>And t</w:t>
      </w:r>
      <w:r w:rsidR="00E50597">
        <w:t xml:space="preserve">hey both </w:t>
      </w:r>
      <w:r w:rsidR="00CF0F59">
        <w:t xml:space="preserve">view reincarnation </w:t>
      </w:r>
      <w:r w:rsidR="00D14E4B">
        <w:t xml:space="preserve">as an alternative to </w:t>
      </w:r>
      <w:r w:rsidR="00345EAC">
        <w:t xml:space="preserve">Western traditional religion in contemporary times. </w:t>
      </w:r>
      <w:r w:rsidR="000E40C0">
        <w:t>The reason for their each respective approaches to the re</w:t>
      </w:r>
      <w:r w:rsidR="007D1A33">
        <w:t xml:space="preserve">incarnation is </w:t>
      </w:r>
      <w:r w:rsidR="00FE47F8">
        <w:t xml:space="preserve">simply a different point of view. While they both wanted to </w:t>
      </w:r>
      <w:r w:rsidR="00293160">
        <w:t xml:space="preserve">record people relationships and attitudes towards reincarnation (in Brink’s case also astrology), </w:t>
      </w:r>
      <w:r w:rsidR="004C33EE">
        <w:t xml:space="preserve">but </w:t>
      </w:r>
      <w:r w:rsidR="00293160">
        <w:t xml:space="preserve">they </w:t>
      </w:r>
      <w:r w:rsidR="00633628">
        <w:t>set up their research in opposite directions. Walter and Waterhouse</w:t>
      </w:r>
      <w:r w:rsidR="008E2E07">
        <w:t xml:space="preserve"> saw reincarnation to be a part of people lives </w:t>
      </w:r>
      <w:r w:rsidR="00756489">
        <w:t xml:space="preserve">not as an inconsistency with their belief like Brink did. </w:t>
      </w:r>
      <w:r w:rsidR="004C33EE">
        <w:t xml:space="preserve">Despite this they came to a similar conclusion, that </w:t>
      </w:r>
      <w:r w:rsidR="00F51E90">
        <w:t xml:space="preserve">belief in reincarnation and other New Age </w:t>
      </w:r>
      <w:r w:rsidR="00BA340F">
        <w:t xml:space="preserve">spiritualities is integrated within </w:t>
      </w:r>
      <w:r w:rsidR="00973C78">
        <w:t>one’s belief system</w:t>
      </w:r>
      <w:r w:rsidR="002F215A">
        <w:t xml:space="preserve"> and blended together with </w:t>
      </w:r>
      <w:r w:rsidR="00734723">
        <w:t xml:space="preserve">their </w:t>
      </w:r>
      <w:r w:rsidR="002F215A">
        <w:t xml:space="preserve">culture. </w:t>
      </w:r>
      <w:r w:rsidR="00612644">
        <w:t xml:space="preserve">They both found out that the people who entertain the idea of reincarnation </w:t>
      </w:r>
      <w:r w:rsidR="00C56B14">
        <w:t>still culturally fit with the</w:t>
      </w:r>
      <w:r w:rsidR="00C55803">
        <w:t xml:space="preserve"> rest of the society</w:t>
      </w:r>
      <w:r w:rsidR="00770C5E">
        <w:t xml:space="preserve">, most decisions people do regarding their life are </w:t>
      </w:r>
      <w:r w:rsidR="000B6BEE">
        <w:t>more connected to culture rather than personal spiritual belief</w:t>
      </w:r>
      <w:r w:rsidR="00632170">
        <w:t>s</w:t>
      </w:r>
      <w:r w:rsidR="000B6BEE">
        <w:t>.</w:t>
      </w:r>
    </w:p>
    <w:p w14:paraId="637201AB" w14:textId="1DDD4E22" w:rsidR="00E6437A" w:rsidRDefault="00E6437A" w:rsidP="001E11FC">
      <w:pPr>
        <w:spacing w:line="360" w:lineRule="auto"/>
        <w:jc w:val="both"/>
      </w:pPr>
      <w:r>
        <w:t>While Walter and Waterhouse conclude their research in 1999 among people of various ages in England,</w:t>
      </w:r>
      <w:r w:rsidR="00B63CF6">
        <w:t xml:space="preserve"> Brink acquires his data in 1978 from</w:t>
      </w:r>
      <w:r w:rsidR="009F641A">
        <w:t xml:space="preserve"> an American Roman Catholic </w:t>
      </w:r>
      <w:r w:rsidR="00DE26AC">
        <w:t>girl’s</w:t>
      </w:r>
      <w:r w:rsidR="009F641A">
        <w:t xml:space="preserve"> high school</w:t>
      </w:r>
      <w:r w:rsidR="00111361">
        <w:t>.</w:t>
      </w:r>
      <w:r w:rsidR="004405AC">
        <w:t xml:space="preserve"> And while both of these setting differ, the methodology used in their respective research differs as well. Walter and Waterhouse </w:t>
      </w:r>
      <w:r w:rsidR="001F4DA8">
        <w:t xml:space="preserve">use qualitative research, they do personal interview from </w:t>
      </w:r>
      <w:r w:rsidR="00F26EB8">
        <w:t xml:space="preserve">the </w:t>
      </w:r>
      <w:r w:rsidR="001F4DA8">
        <w:t>homes</w:t>
      </w:r>
      <w:r w:rsidR="00F26EB8">
        <w:t xml:space="preserve"> of the people </w:t>
      </w:r>
      <w:r w:rsidR="0068715B">
        <w:t>that were asked</w:t>
      </w:r>
      <w:r w:rsidR="001F4DA8">
        <w:t>. They only interview</w:t>
      </w:r>
      <w:r w:rsidR="0068715B">
        <w:t>ed</w:t>
      </w:r>
      <w:r w:rsidR="001F4DA8">
        <w:t xml:space="preserve"> </w:t>
      </w:r>
      <w:r w:rsidR="00206683">
        <w:t>51 people in total</w:t>
      </w:r>
      <w:r w:rsidR="00374D27">
        <w:t xml:space="preserve"> </w:t>
      </w:r>
      <w:r w:rsidR="00ED2FA1">
        <w:t>and ask specifically curated personal questions to which answers will vary. Brin, on the other hand, use quantitative research</w:t>
      </w:r>
      <w:r w:rsidR="001E0C9E">
        <w:t xml:space="preserve">, </w:t>
      </w:r>
      <w:r w:rsidR="001E2D08">
        <w:t xml:space="preserve">he had a questionnaire with simple yes and no questions to be handed to </w:t>
      </w:r>
      <w:r w:rsidR="001D3407">
        <w:t>227 high school students.</w:t>
      </w:r>
      <w:r w:rsidR="006C77E1">
        <w:t xml:space="preserve"> </w:t>
      </w:r>
      <w:r w:rsidR="006C4D34">
        <w:t xml:space="preserve">Because of this, Brink mainly works with numbers and </w:t>
      </w:r>
      <w:r w:rsidR="004879F2">
        <w:t xml:space="preserve">percentages whilst </w:t>
      </w:r>
      <w:r w:rsidR="004920EC">
        <w:t>Walter and Waterhouse had to evaluate complex individual data.</w:t>
      </w:r>
    </w:p>
    <w:p w14:paraId="1B089F09" w14:textId="64275457" w:rsidR="00B65BAE" w:rsidRDefault="00B65BAE" w:rsidP="001E11FC">
      <w:pPr>
        <w:spacing w:line="360" w:lineRule="auto"/>
        <w:jc w:val="both"/>
      </w:pPr>
      <w:r>
        <w:lastRenderedPageBreak/>
        <w:t>Each of the author’s began their work with</w:t>
      </w:r>
      <w:r w:rsidR="000E7AD3">
        <w:t xml:space="preserve"> a</w:t>
      </w:r>
      <w:r>
        <w:t xml:space="preserve"> </w:t>
      </w:r>
      <w:r w:rsidR="0051311C">
        <w:t>certain assumption</w:t>
      </w:r>
      <w:r w:rsidR="00E81C4C">
        <w:t>.</w:t>
      </w:r>
      <w:r w:rsidR="008C1142">
        <w:t xml:space="preserve"> </w:t>
      </w:r>
      <w:r w:rsidR="00E81C4C">
        <w:t xml:space="preserve">In </w:t>
      </w:r>
      <w:r w:rsidR="005A7AA3">
        <w:t>Walter and Waterhou</w:t>
      </w:r>
      <w:r w:rsidR="000C0E54">
        <w:t>se’s case,</w:t>
      </w:r>
      <w:r w:rsidR="008C1142">
        <w:t xml:space="preserve"> </w:t>
      </w:r>
      <w:r w:rsidR="00FF577D">
        <w:t xml:space="preserve">the </w:t>
      </w:r>
      <w:r w:rsidR="00683D76">
        <w:t>gradual rise of belief in reincarnation</w:t>
      </w:r>
      <w:r w:rsidR="00E81C4C">
        <w:t xml:space="preserve"> has been assume</w:t>
      </w:r>
      <w:r w:rsidR="00F141B7">
        <w:t>d</w:t>
      </w:r>
      <w:r w:rsidR="00E81C4C">
        <w:t xml:space="preserve"> because of previous studies that </w:t>
      </w:r>
      <w:r w:rsidR="007D1D10">
        <w:t xml:space="preserve">have </w:t>
      </w:r>
      <w:r w:rsidR="00F141B7">
        <w:t xml:space="preserve">taken </w:t>
      </w:r>
      <w:r w:rsidR="007D1D10">
        <w:t>place.</w:t>
      </w:r>
      <w:r w:rsidR="007A7150">
        <w:t xml:space="preserve"> While the numbers are on the rise, </w:t>
      </w:r>
      <w:r w:rsidR="003C13CD">
        <w:t xml:space="preserve">their research has proved that there are different degrees to the intensity of the belief and that </w:t>
      </w:r>
      <w:r w:rsidR="00B44572">
        <w:t>in the end people are more likely to be influenced by their cultures rather than their belief systems (that if they differ from the cultural norm.</w:t>
      </w:r>
      <w:r w:rsidR="0051311C">
        <w:t>)</w:t>
      </w:r>
      <w:r w:rsidR="00B44572">
        <w:t xml:space="preserve"> In </w:t>
      </w:r>
      <w:r w:rsidR="0029487A">
        <w:t xml:space="preserve">Brink’s case, </w:t>
      </w:r>
      <w:r w:rsidR="00D73924">
        <w:t xml:space="preserve">he assumes the absolute incompatibility of </w:t>
      </w:r>
      <w:r w:rsidR="0075003B">
        <w:t>Catholicism with reincarnation and astrology.</w:t>
      </w:r>
      <w:r w:rsidR="00037106">
        <w:t xml:space="preserve"> I</w:t>
      </w:r>
      <w:r w:rsidR="00373E49">
        <w:t xml:space="preserve">t seems logical, especially with the </w:t>
      </w:r>
      <w:r w:rsidR="00F15C90">
        <w:t xml:space="preserve">examples he uses, that </w:t>
      </w:r>
      <w:r w:rsidR="008C26EE">
        <w:t xml:space="preserve">reincarnation and belief in </w:t>
      </w:r>
      <w:r w:rsidR="00AC7806">
        <w:t>the existence of heaven, canno</w:t>
      </w:r>
      <w:r w:rsidR="00037106">
        <w:t>t coexist</w:t>
      </w:r>
      <w:r w:rsidR="006E1FEC">
        <w:t xml:space="preserve">. However, because of the data he collected </w:t>
      </w:r>
      <w:r w:rsidR="007213B1">
        <w:t>which suggest that believe in both is somewhat possible he</w:t>
      </w:r>
      <w:r w:rsidR="002839A9">
        <w:t xml:space="preserve"> references Freud in stating that belief in both is </w:t>
      </w:r>
      <w:r w:rsidR="0060478E">
        <w:t>a greater protection from the fear of death.</w:t>
      </w:r>
    </w:p>
    <w:p w14:paraId="248C4189" w14:textId="201098B2" w:rsidR="0060478E" w:rsidRDefault="00CB6A6F" w:rsidP="001E11FC">
      <w:pPr>
        <w:spacing w:line="360" w:lineRule="auto"/>
        <w:jc w:val="both"/>
      </w:pPr>
      <w:r>
        <w:t xml:space="preserve">In the end, </w:t>
      </w:r>
      <w:r w:rsidR="00D92FB8">
        <w:t>one</w:t>
      </w:r>
      <w:r>
        <w:t xml:space="preserve"> </w:t>
      </w:r>
      <w:r w:rsidR="00A44974">
        <w:t>research</w:t>
      </w:r>
      <w:r>
        <w:t xml:space="preserve"> w</w:t>
      </w:r>
      <w:r w:rsidR="00A44974">
        <w:t xml:space="preserve">as </w:t>
      </w:r>
      <w:r w:rsidR="00190A58">
        <w:t xml:space="preserve">left somewhat unsatisfactory. </w:t>
      </w:r>
      <w:r w:rsidR="004E6D9F">
        <w:t>Brink</w:t>
      </w:r>
      <w:r w:rsidR="00A44974">
        <w:t xml:space="preserve"> explicitly states that </w:t>
      </w:r>
      <w:r w:rsidR="008D5196">
        <w:t>the hypothesis was not confirmed</w:t>
      </w:r>
      <w:r w:rsidR="00446DBC">
        <w:t xml:space="preserve"> because his data suggested that alignment with one belief system did not guarantee</w:t>
      </w:r>
      <w:r w:rsidR="00E83C00">
        <w:t xml:space="preserve"> refusal of other</w:t>
      </w:r>
      <w:r w:rsidR="00403810">
        <w:t>s</w:t>
      </w:r>
      <w:r w:rsidR="00E83C00">
        <w:t xml:space="preserve"> for whatever reasons.</w:t>
      </w:r>
      <w:r w:rsidR="00683FCA">
        <w:t xml:space="preserve"> However, this result suggested that further research into the topic would </w:t>
      </w:r>
      <w:r w:rsidR="000209BF">
        <w:t xml:space="preserve">be </w:t>
      </w:r>
      <w:r w:rsidR="00683FCA">
        <w:t>appropriate</w:t>
      </w:r>
      <w:r w:rsidR="000209BF">
        <w:t>, as</w:t>
      </w:r>
      <w:r w:rsidR="00AB61D7">
        <w:t xml:space="preserve"> the author was left with more </w:t>
      </w:r>
      <w:r w:rsidR="002B66A3">
        <w:t>questions than answers. Walter</w:t>
      </w:r>
      <w:r w:rsidR="005D7877">
        <w:t xml:space="preserve"> and Waterhouse’s research did not come </w:t>
      </w:r>
      <w:r w:rsidR="00114F6D">
        <w:t xml:space="preserve">into an explicitly unsatisfactory ending, </w:t>
      </w:r>
      <w:r w:rsidR="00F62399">
        <w:t>although it was similar to Brink’s. They had a completely different mindset whilst conducting the research</w:t>
      </w:r>
      <w:r w:rsidR="00770ABC">
        <w:t xml:space="preserve">; they were not curios about numbers of any sort, they simply wanted to </w:t>
      </w:r>
      <w:r w:rsidR="001404DA">
        <w:t xml:space="preserve">peep into </w:t>
      </w:r>
      <w:r w:rsidR="00C868C2">
        <w:t xml:space="preserve">the belief systems of people that already believed in reincarnation. </w:t>
      </w:r>
      <w:r w:rsidR="00F449BD">
        <w:t xml:space="preserve">What they found was that the existence of people who strictly believed in reincarnation was very limited, </w:t>
      </w:r>
      <w:r w:rsidR="001672BE">
        <w:t xml:space="preserve">it was far more common to hold a specific degree of this belief and </w:t>
      </w:r>
      <w:r w:rsidR="00031756">
        <w:t>blend</w:t>
      </w:r>
      <w:r w:rsidR="001672BE">
        <w:t xml:space="preserve"> it </w:t>
      </w:r>
      <w:r w:rsidR="00AC7F9F">
        <w:t xml:space="preserve">together with many other beliefs to make up their </w:t>
      </w:r>
      <w:r w:rsidR="00FC389F">
        <w:t>own understanding of their surroundings and the world.</w:t>
      </w:r>
    </w:p>
    <w:p w14:paraId="36E42492" w14:textId="77777777" w:rsidR="00586388" w:rsidRDefault="00586388" w:rsidP="00586388">
      <w:pPr>
        <w:spacing w:line="360" w:lineRule="auto"/>
        <w:rPr>
          <w:b/>
          <w:bCs/>
        </w:rPr>
      </w:pPr>
      <w:r>
        <w:rPr>
          <w:b/>
          <w:bCs/>
        </w:rPr>
        <w:t>Conclusion</w:t>
      </w:r>
    </w:p>
    <w:p w14:paraId="41018760" w14:textId="77DE7F25" w:rsidR="00772F4B" w:rsidRPr="00772F4B" w:rsidRDefault="00772F4B" w:rsidP="00F762B7">
      <w:pPr>
        <w:spacing w:line="360" w:lineRule="auto"/>
        <w:jc w:val="both"/>
      </w:pPr>
      <w:r w:rsidRPr="00772F4B">
        <w:t>To</w:t>
      </w:r>
      <w:r>
        <w:t xml:space="preserve"> conclude, </w:t>
      </w:r>
      <w:r w:rsidR="00FC389F">
        <w:t xml:space="preserve">this essay </w:t>
      </w:r>
      <w:r w:rsidR="001D2F06">
        <w:t xml:space="preserve">summarized both </w:t>
      </w:r>
      <w:r w:rsidR="001D2F06" w:rsidRPr="00E35F50">
        <w:rPr>
          <w:i/>
          <w:iCs/>
        </w:rPr>
        <w:t>‘A Very Private Belief: Reincarnation in Contemporary England’</w:t>
      </w:r>
      <w:r w:rsidR="001D2F06">
        <w:t xml:space="preserve"> by Tony Walter and Helen Waterhouse</w:t>
      </w:r>
      <w:r w:rsidR="001D2F06">
        <w:t xml:space="preserve"> and </w:t>
      </w:r>
      <w:r w:rsidR="00480A91" w:rsidRPr="00AA6FCA">
        <w:rPr>
          <w:i/>
          <w:iCs/>
        </w:rPr>
        <w:t xml:space="preserve">‘Inconsistency of Belief among Roman Catholic Girls: Concerning Religion, Astrology, Reincarnation’ </w:t>
      </w:r>
      <w:r w:rsidR="00480A91">
        <w:t>by T. L. Brink</w:t>
      </w:r>
      <w:r w:rsidR="00480A91">
        <w:t xml:space="preserve">. </w:t>
      </w:r>
      <w:r w:rsidR="00F762B7">
        <w:t xml:space="preserve">A critical summary is a necessary part of every comparison. </w:t>
      </w:r>
      <w:r w:rsidR="0063208E">
        <w:t xml:space="preserve"> It stated main points of each of the texts as well as it followed their st</w:t>
      </w:r>
      <w:r w:rsidR="009C7476">
        <w:t xml:space="preserve">ructure. Furthermore, it explained the reasoning for the research </w:t>
      </w:r>
      <w:r w:rsidR="00533B25">
        <w:t xml:space="preserve">and their conclusion. It fully contrasted each necessary part </w:t>
      </w:r>
      <w:r w:rsidR="00FF07D0">
        <w:t>of the text for comparison from the dis</w:t>
      </w:r>
      <w:r w:rsidR="00E6711C">
        <w:t>cussion about the similarities of the topic</w:t>
      </w:r>
      <w:r w:rsidR="00A3717D">
        <w:t xml:space="preserve"> to their conclusions. While each research dwells into a similar topic and the result seems to be similar as well, one was left unsatisfactory because of the specific point of view it held. </w:t>
      </w:r>
    </w:p>
    <w:p w14:paraId="695BC4D6" w14:textId="4314E29D" w:rsidR="00586388" w:rsidRDefault="00586388" w:rsidP="00586388">
      <w:pPr>
        <w:spacing w:line="360" w:lineRule="auto"/>
        <w:rPr>
          <w:b/>
          <w:bCs/>
        </w:rPr>
      </w:pPr>
      <w:r>
        <w:rPr>
          <w:b/>
          <w:bCs/>
        </w:rPr>
        <w:t>Bibliography</w:t>
      </w:r>
    </w:p>
    <w:p w14:paraId="6D1DEF33" w14:textId="77777777" w:rsidR="00632EAE" w:rsidRPr="00632EAE" w:rsidRDefault="00632EAE" w:rsidP="00632EAE">
      <w:pPr>
        <w:spacing w:after="240" w:line="360" w:lineRule="auto"/>
        <w:ind w:left="720" w:hanging="720"/>
        <w:rPr>
          <w:rFonts w:eastAsia="Times New Roman" w:cstheme="minorHAnsi"/>
          <w:kern w:val="0"/>
          <w14:ligatures w14:val="none"/>
        </w:rPr>
      </w:pPr>
      <w:r w:rsidRPr="00632EAE">
        <w:rPr>
          <w:rFonts w:eastAsia="Times New Roman" w:cstheme="minorHAnsi"/>
          <w:kern w:val="0"/>
          <w14:ligatures w14:val="none"/>
        </w:rPr>
        <w:t xml:space="preserve">Brink, T. L. 1978. ‘Inconsistency of Belief among Roman Catholic Girls: Concerning Religion, Astrology, Reincarnation’, </w:t>
      </w:r>
      <w:r w:rsidRPr="00632EAE">
        <w:rPr>
          <w:rFonts w:eastAsia="Times New Roman" w:cstheme="minorHAnsi"/>
          <w:i/>
          <w:iCs/>
          <w:kern w:val="0"/>
          <w14:ligatures w14:val="none"/>
        </w:rPr>
        <w:t>Review of Religious Research</w:t>
      </w:r>
      <w:r w:rsidRPr="00632EAE">
        <w:rPr>
          <w:rFonts w:eastAsia="Times New Roman" w:cstheme="minorHAnsi"/>
          <w:kern w:val="0"/>
          <w14:ligatures w14:val="none"/>
        </w:rPr>
        <w:t>, 20.1: 82 &lt;https://doi.org/10.2307/3509943&gt;</w:t>
      </w:r>
    </w:p>
    <w:p w14:paraId="306E5F28" w14:textId="77777777" w:rsidR="00632EAE" w:rsidRPr="00632EAE" w:rsidRDefault="00632EAE" w:rsidP="00632EAE">
      <w:pPr>
        <w:spacing w:after="240" w:line="360" w:lineRule="auto"/>
        <w:ind w:left="720" w:hanging="720"/>
        <w:rPr>
          <w:rFonts w:eastAsia="Times New Roman" w:cstheme="minorHAnsi"/>
          <w:kern w:val="0"/>
          <w14:ligatures w14:val="none"/>
        </w:rPr>
      </w:pPr>
      <w:r w:rsidRPr="00632EAE">
        <w:rPr>
          <w:rFonts w:eastAsia="Times New Roman" w:cstheme="minorHAnsi"/>
          <w:kern w:val="0"/>
          <w14:ligatures w14:val="none"/>
        </w:rPr>
        <w:lastRenderedPageBreak/>
        <w:t xml:space="preserve">Walter, Tony, and Helen Waterhouse. 1999. ‘A Very Private Belief: Reincarnation in Contemporary England’, </w:t>
      </w:r>
      <w:r w:rsidRPr="00632EAE">
        <w:rPr>
          <w:rFonts w:eastAsia="Times New Roman" w:cstheme="minorHAnsi"/>
          <w:i/>
          <w:iCs/>
          <w:kern w:val="0"/>
          <w14:ligatures w14:val="none"/>
        </w:rPr>
        <w:t>Sociology of Religion</w:t>
      </w:r>
      <w:r w:rsidRPr="00632EAE">
        <w:rPr>
          <w:rFonts w:eastAsia="Times New Roman" w:cstheme="minorHAnsi"/>
          <w:kern w:val="0"/>
          <w14:ligatures w14:val="none"/>
        </w:rPr>
        <w:t>, 60.2: 187 &lt;https://doi.org/10.2307/3711748&gt;</w:t>
      </w:r>
    </w:p>
    <w:p w14:paraId="60D06CA0" w14:textId="77777777" w:rsidR="00586388" w:rsidRPr="00CA162E" w:rsidRDefault="00586388" w:rsidP="001E11FC">
      <w:pPr>
        <w:spacing w:line="360" w:lineRule="auto"/>
        <w:jc w:val="both"/>
      </w:pPr>
    </w:p>
    <w:sectPr w:rsidR="00586388" w:rsidRPr="00CA162E">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D1CAA6" w14:textId="77777777" w:rsidR="00C46AC9" w:rsidRDefault="00C46AC9" w:rsidP="00C46AC9">
      <w:pPr>
        <w:spacing w:after="0" w:line="240" w:lineRule="auto"/>
      </w:pPr>
      <w:r>
        <w:separator/>
      </w:r>
    </w:p>
  </w:endnote>
  <w:endnote w:type="continuationSeparator" w:id="0">
    <w:p w14:paraId="68F3B37E" w14:textId="77777777" w:rsidR="00C46AC9" w:rsidRDefault="00C46AC9" w:rsidP="00C46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242117"/>
      <w:docPartObj>
        <w:docPartGallery w:val="Page Numbers (Bottom of Page)"/>
        <w:docPartUnique/>
      </w:docPartObj>
    </w:sdtPr>
    <w:sdtEndPr>
      <w:rPr>
        <w:noProof/>
      </w:rPr>
    </w:sdtEndPr>
    <w:sdtContent>
      <w:p w14:paraId="317DF956" w14:textId="650ABCC8" w:rsidR="00CF5C8A" w:rsidRDefault="00CF5C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AB00DE" w14:textId="77777777" w:rsidR="00CF5C8A" w:rsidRDefault="00CF5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7E874F" w14:textId="77777777" w:rsidR="00C46AC9" w:rsidRDefault="00C46AC9" w:rsidP="00C46AC9">
      <w:pPr>
        <w:spacing w:after="0" w:line="240" w:lineRule="auto"/>
      </w:pPr>
      <w:r>
        <w:separator/>
      </w:r>
    </w:p>
  </w:footnote>
  <w:footnote w:type="continuationSeparator" w:id="0">
    <w:p w14:paraId="685B5DC6" w14:textId="77777777" w:rsidR="00C46AC9" w:rsidRDefault="00C46AC9" w:rsidP="00C46AC9">
      <w:pPr>
        <w:spacing w:after="0" w:line="240" w:lineRule="auto"/>
      </w:pPr>
      <w:r>
        <w:continuationSeparator/>
      </w:r>
    </w:p>
  </w:footnote>
  <w:footnote w:id="1">
    <w:p w14:paraId="7C33A985" w14:textId="5BEA9AB6" w:rsidR="00C46AC9" w:rsidRPr="00F573EE" w:rsidRDefault="00C46AC9" w:rsidP="00F573EE">
      <w:pPr>
        <w:pStyle w:val="NormalWeb"/>
        <w:spacing w:before="0" w:beforeAutospacing="0" w:after="0" w:afterAutospacing="0"/>
        <w:contextualSpacing/>
        <w:rPr>
          <w:rFonts w:asciiTheme="minorHAnsi" w:hAnsiTheme="minorHAnsi" w:cstheme="minorHAnsi"/>
          <w:sz w:val="20"/>
          <w:szCs w:val="20"/>
        </w:rPr>
      </w:pPr>
      <w:r w:rsidRPr="00C46AC9">
        <w:rPr>
          <w:rStyle w:val="FootnoteReference"/>
          <w:rFonts w:asciiTheme="minorHAnsi" w:hAnsiTheme="minorHAnsi" w:cstheme="minorHAnsi"/>
          <w:sz w:val="20"/>
          <w:szCs w:val="20"/>
        </w:rPr>
        <w:footnoteRef/>
      </w:r>
      <w:r>
        <w:rPr>
          <w:rFonts w:asciiTheme="minorHAnsi" w:hAnsiTheme="minorHAnsi" w:cstheme="minorHAnsi"/>
          <w:sz w:val="20"/>
          <w:szCs w:val="20"/>
        </w:rPr>
        <w:t xml:space="preserve"> </w:t>
      </w:r>
      <w:r w:rsidRPr="00C46AC9">
        <w:rPr>
          <w:rFonts w:asciiTheme="minorHAnsi" w:hAnsiTheme="minorHAnsi" w:cstheme="minorHAnsi"/>
          <w:sz w:val="20"/>
          <w:szCs w:val="20"/>
        </w:rPr>
        <w:t xml:space="preserve">Walter, Tony, and Helen Waterhouse. 1999. ‘A Very Private Belief: Reincarnation in Contemporary England’, </w:t>
      </w:r>
      <w:r w:rsidRPr="00C46AC9">
        <w:rPr>
          <w:rFonts w:asciiTheme="minorHAnsi" w:hAnsiTheme="minorHAnsi" w:cstheme="minorHAnsi"/>
          <w:i/>
          <w:iCs/>
          <w:sz w:val="20"/>
          <w:szCs w:val="20"/>
        </w:rPr>
        <w:t>Sociology of Religion</w:t>
      </w:r>
      <w:r w:rsidRPr="00C46AC9">
        <w:rPr>
          <w:rFonts w:asciiTheme="minorHAnsi" w:hAnsiTheme="minorHAnsi" w:cstheme="minorHAnsi"/>
          <w:sz w:val="20"/>
          <w:szCs w:val="20"/>
        </w:rPr>
        <w:t>,</w:t>
      </w:r>
      <w:r w:rsidRPr="00C46AC9">
        <w:rPr>
          <w:rFonts w:asciiTheme="minorHAnsi" w:hAnsiTheme="minorHAnsi" w:cstheme="minorHAnsi"/>
          <w:sz w:val="20"/>
          <w:szCs w:val="20"/>
        </w:rPr>
        <w:t xml:space="preserve"> pp. 187.</w:t>
      </w:r>
    </w:p>
  </w:footnote>
  <w:footnote w:id="2">
    <w:p w14:paraId="66B02A2B" w14:textId="036FC3E3" w:rsidR="00F573EE" w:rsidRPr="00F573EE" w:rsidRDefault="00F573EE" w:rsidP="00F573EE">
      <w:pPr>
        <w:pStyle w:val="FootnoteText"/>
        <w:contextualSpacing/>
        <w:rPr>
          <w:lang w:val="cs-CZ"/>
        </w:rPr>
      </w:pPr>
      <w:r>
        <w:rPr>
          <w:rStyle w:val="FootnoteReference"/>
        </w:rPr>
        <w:footnoteRef/>
      </w:r>
      <w:r>
        <w:t xml:space="preserve"> Ibid, </w:t>
      </w:r>
      <w:r w:rsidR="00615545">
        <w:t xml:space="preserve">pp. </w:t>
      </w:r>
      <w:r>
        <w:t>188.</w:t>
      </w:r>
    </w:p>
  </w:footnote>
  <w:footnote w:id="3">
    <w:p w14:paraId="056457DE" w14:textId="6B4C86F8" w:rsidR="007F2F49" w:rsidRPr="007F2F49" w:rsidRDefault="007F2F49">
      <w:pPr>
        <w:pStyle w:val="FootnoteText"/>
        <w:rPr>
          <w:lang w:val="cs-CZ"/>
        </w:rPr>
      </w:pPr>
      <w:r>
        <w:rPr>
          <w:rStyle w:val="FootnoteReference"/>
        </w:rPr>
        <w:footnoteRef/>
      </w:r>
      <w:r>
        <w:t xml:space="preserve"> </w:t>
      </w:r>
      <w:r>
        <w:rPr>
          <w:lang w:val="cs-CZ"/>
        </w:rPr>
        <w:t xml:space="preserve">Ibid, </w:t>
      </w:r>
      <w:r w:rsidR="00615545">
        <w:rPr>
          <w:lang w:val="cs-CZ"/>
        </w:rPr>
        <w:t xml:space="preserve">pp. </w:t>
      </w:r>
      <w:r>
        <w:rPr>
          <w:lang w:val="cs-CZ"/>
        </w:rPr>
        <w:t xml:space="preserve">189. </w:t>
      </w:r>
    </w:p>
  </w:footnote>
  <w:footnote w:id="4">
    <w:p w14:paraId="681E4F55" w14:textId="683FF0E4" w:rsidR="00615545" w:rsidRPr="00615545" w:rsidRDefault="00615545">
      <w:pPr>
        <w:pStyle w:val="FootnoteText"/>
        <w:rPr>
          <w:lang w:val="cs-CZ"/>
        </w:rPr>
      </w:pPr>
      <w:r>
        <w:rPr>
          <w:rStyle w:val="FootnoteReference"/>
        </w:rPr>
        <w:footnoteRef/>
      </w:r>
      <w:r>
        <w:t xml:space="preserve"> </w:t>
      </w:r>
      <w:r>
        <w:rPr>
          <w:lang w:val="cs-CZ"/>
        </w:rPr>
        <w:t>Ibid, pp</w:t>
      </w:r>
      <w:r w:rsidR="00154BEA">
        <w:rPr>
          <w:lang w:val="cs-CZ"/>
        </w:rPr>
        <w:t xml:space="preserve">. </w:t>
      </w:r>
      <w:r>
        <w:rPr>
          <w:lang w:val="cs-CZ"/>
        </w:rPr>
        <w:t>189.</w:t>
      </w:r>
    </w:p>
  </w:footnote>
  <w:footnote w:id="5">
    <w:p w14:paraId="1C58DBFF" w14:textId="615E2660" w:rsidR="00CC3874" w:rsidRPr="00CC3874" w:rsidRDefault="00CC3874">
      <w:pPr>
        <w:pStyle w:val="FootnoteText"/>
        <w:rPr>
          <w:lang w:val="cs-CZ"/>
        </w:rPr>
      </w:pPr>
      <w:r>
        <w:rPr>
          <w:rStyle w:val="FootnoteReference"/>
        </w:rPr>
        <w:footnoteRef/>
      </w:r>
      <w:r>
        <w:t xml:space="preserve"> </w:t>
      </w:r>
      <w:r>
        <w:rPr>
          <w:lang w:val="cs-CZ"/>
        </w:rPr>
        <w:t>Ibid, pp. 193</w:t>
      </w:r>
    </w:p>
  </w:footnote>
  <w:footnote w:id="6">
    <w:p w14:paraId="746C6104" w14:textId="4D8DC1E2" w:rsidR="00F610DE" w:rsidRPr="00F610DE" w:rsidRDefault="00F610DE">
      <w:pPr>
        <w:pStyle w:val="FootnoteText"/>
        <w:rPr>
          <w:lang w:val="cs-CZ"/>
        </w:rPr>
      </w:pPr>
      <w:r>
        <w:rPr>
          <w:rStyle w:val="FootnoteReference"/>
        </w:rPr>
        <w:footnoteRef/>
      </w:r>
      <w:r>
        <w:t xml:space="preserve"> </w:t>
      </w:r>
      <w:r>
        <w:rPr>
          <w:lang w:val="cs-CZ"/>
        </w:rPr>
        <w:t>Ibid, pp. 195.</w:t>
      </w:r>
    </w:p>
  </w:footnote>
  <w:footnote w:id="7">
    <w:p w14:paraId="1A55A00A" w14:textId="3F5020EB" w:rsidR="00EB50CF" w:rsidRPr="00A91A0F" w:rsidRDefault="00EB50CF" w:rsidP="00A91A0F">
      <w:pPr>
        <w:pStyle w:val="NormalWeb"/>
        <w:spacing w:before="0" w:beforeAutospacing="0" w:after="0" w:afterAutospacing="0"/>
        <w:rPr>
          <w:rFonts w:asciiTheme="minorHAnsi" w:hAnsiTheme="minorHAnsi" w:cstheme="minorHAnsi"/>
          <w:sz w:val="20"/>
          <w:szCs w:val="20"/>
          <w14:ligatures w14:val="none"/>
        </w:rPr>
      </w:pPr>
      <w:r w:rsidRPr="00A91A0F">
        <w:rPr>
          <w:rStyle w:val="FootnoteReference"/>
          <w:rFonts w:asciiTheme="minorHAnsi" w:hAnsiTheme="minorHAnsi" w:cstheme="minorHAnsi"/>
          <w:sz w:val="20"/>
          <w:szCs w:val="20"/>
        </w:rPr>
        <w:footnoteRef/>
      </w:r>
      <w:r w:rsidR="00A91A0F">
        <w:rPr>
          <w:rFonts w:asciiTheme="minorHAnsi" w:hAnsiTheme="minorHAnsi" w:cstheme="minorHAnsi"/>
          <w:sz w:val="20"/>
          <w:szCs w:val="20"/>
          <w14:ligatures w14:val="none"/>
        </w:rPr>
        <w:t xml:space="preserve"> </w:t>
      </w:r>
      <w:r w:rsidR="00CC7B86" w:rsidRPr="00A91A0F">
        <w:rPr>
          <w:rFonts w:asciiTheme="minorHAnsi" w:hAnsiTheme="minorHAnsi" w:cstheme="minorHAnsi"/>
          <w:sz w:val="20"/>
          <w:szCs w:val="20"/>
          <w14:ligatures w14:val="none"/>
        </w:rPr>
        <w:t xml:space="preserve">Brink, T. L. 1978. ‘Inconsistency of Belief among Roman Catholic Girls: Concerning Religion, Astrology, Reincarnation’, </w:t>
      </w:r>
      <w:r w:rsidR="00CC7B86" w:rsidRPr="00A91A0F">
        <w:rPr>
          <w:rFonts w:asciiTheme="minorHAnsi" w:hAnsiTheme="minorHAnsi" w:cstheme="minorHAnsi"/>
          <w:i/>
          <w:iCs/>
          <w:sz w:val="20"/>
          <w:szCs w:val="20"/>
          <w14:ligatures w14:val="none"/>
        </w:rPr>
        <w:t>Review of Religious Research</w:t>
      </w:r>
      <w:r w:rsidR="00CC7B86" w:rsidRPr="00A91A0F">
        <w:rPr>
          <w:rFonts w:asciiTheme="minorHAnsi" w:hAnsiTheme="minorHAnsi" w:cstheme="minorHAnsi"/>
          <w:sz w:val="20"/>
          <w:szCs w:val="20"/>
          <w14:ligatures w14:val="none"/>
        </w:rPr>
        <w:t xml:space="preserve">, </w:t>
      </w:r>
      <w:r w:rsidR="00CC7B86" w:rsidRPr="00A91A0F">
        <w:rPr>
          <w:rFonts w:asciiTheme="minorHAnsi" w:hAnsiTheme="minorHAnsi" w:cstheme="minorHAnsi"/>
          <w:sz w:val="20"/>
          <w:szCs w:val="20"/>
          <w14:ligatures w14:val="none"/>
        </w:rPr>
        <w:t>pp. 82.</w:t>
      </w:r>
    </w:p>
  </w:footnote>
  <w:footnote w:id="8">
    <w:p w14:paraId="263CE262" w14:textId="2D4A9D43" w:rsidR="004515E7" w:rsidRPr="004515E7" w:rsidRDefault="004515E7">
      <w:pPr>
        <w:pStyle w:val="FootnoteText"/>
        <w:rPr>
          <w:lang w:val="cs-CZ"/>
        </w:rPr>
      </w:pPr>
      <w:r>
        <w:rPr>
          <w:rStyle w:val="FootnoteReference"/>
        </w:rPr>
        <w:footnoteRef/>
      </w:r>
      <w:r>
        <w:t xml:space="preserve"> </w:t>
      </w:r>
      <w:r>
        <w:rPr>
          <w:lang w:val="cs-CZ"/>
        </w:rPr>
        <w:t>Ibid, pp.82.</w:t>
      </w:r>
    </w:p>
  </w:footnote>
  <w:footnote w:id="9">
    <w:p w14:paraId="33B1A6AF" w14:textId="3F71ECE3" w:rsidR="00EB1718" w:rsidRPr="00EB1718" w:rsidRDefault="00EB1718">
      <w:pPr>
        <w:pStyle w:val="FootnoteText"/>
        <w:rPr>
          <w:lang w:val="cs-CZ"/>
        </w:rPr>
      </w:pPr>
      <w:r>
        <w:rPr>
          <w:rStyle w:val="FootnoteReference"/>
        </w:rPr>
        <w:footnoteRef/>
      </w:r>
      <w:r>
        <w:t xml:space="preserve"> </w:t>
      </w:r>
      <w:r>
        <w:rPr>
          <w:lang w:val="cs-CZ"/>
        </w:rPr>
        <w:t xml:space="preserve">Ibid, pp. </w:t>
      </w:r>
      <w:r w:rsidR="00A90FA9">
        <w:rPr>
          <w:lang w:val="cs-CZ"/>
        </w:rPr>
        <w:t>82.</w:t>
      </w:r>
    </w:p>
  </w:footnote>
  <w:footnote w:id="10">
    <w:p w14:paraId="230E4CFA" w14:textId="787D3DFB" w:rsidR="00D830D1" w:rsidRPr="00D830D1" w:rsidRDefault="00D830D1">
      <w:pPr>
        <w:pStyle w:val="FootnoteText"/>
        <w:rPr>
          <w:lang w:val="cs-CZ"/>
        </w:rPr>
      </w:pPr>
      <w:r>
        <w:rPr>
          <w:rStyle w:val="FootnoteReference"/>
        </w:rPr>
        <w:footnoteRef/>
      </w:r>
      <w:r>
        <w:t xml:space="preserve"> </w:t>
      </w:r>
      <w:r>
        <w:rPr>
          <w:lang w:val="cs-CZ"/>
        </w:rPr>
        <w:t xml:space="preserve">Ibid, pp. </w:t>
      </w:r>
      <w:r w:rsidR="00A67B0F">
        <w:rPr>
          <w:lang w:val="cs-CZ"/>
        </w:rPr>
        <w:t>83.</w:t>
      </w:r>
    </w:p>
  </w:footnote>
  <w:footnote w:id="11">
    <w:p w14:paraId="105DD889" w14:textId="19E34DFA" w:rsidR="000353C0" w:rsidRPr="000353C0" w:rsidRDefault="000353C0">
      <w:pPr>
        <w:pStyle w:val="FootnoteText"/>
        <w:rPr>
          <w:lang w:val="cs-CZ"/>
        </w:rPr>
      </w:pPr>
      <w:r>
        <w:rPr>
          <w:rStyle w:val="FootnoteReference"/>
        </w:rPr>
        <w:footnoteRef/>
      </w:r>
      <w:r>
        <w:t xml:space="preserve"> </w:t>
      </w:r>
      <w:r>
        <w:rPr>
          <w:lang w:val="cs-CZ"/>
        </w:rPr>
        <w:t>Ibid, pp. 84.</w:t>
      </w:r>
    </w:p>
  </w:footnote>
  <w:footnote w:id="12">
    <w:p w14:paraId="6C07A36E" w14:textId="77777777" w:rsidR="009F09BA" w:rsidRPr="00F44168" w:rsidRDefault="009F09BA" w:rsidP="009F09BA">
      <w:pPr>
        <w:pStyle w:val="FootnoteText"/>
        <w:rPr>
          <w:lang w:val="cs-CZ"/>
        </w:rPr>
      </w:pPr>
      <w:r>
        <w:rPr>
          <w:rStyle w:val="FootnoteReference"/>
        </w:rPr>
        <w:footnoteRef/>
      </w:r>
      <w:r>
        <w:t xml:space="preserve"> </w:t>
      </w:r>
      <w:r>
        <w:rPr>
          <w:lang w:val="cs-CZ"/>
        </w:rPr>
        <w:t>Ibid, pp. 84.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F50"/>
    <w:rsid w:val="00000745"/>
    <w:rsid w:val="000116B3"/>
    <w:rsid w:val="000209BF"/>
    <w:rsid w:val="00031756"/>
    <w:rsid w:val="000353C0"/>
    <w:rsid w:val="00037106"/>
    <w:rsid w:val="000500A0"/>
    <w:rsid w:val="00070E7D"/>
    <w:rsid w:val="000778CD"/>
    <w:rsid w:val="00080348"/>
    <w:rsid w:val="000A3515"/>
    <w:rsid w:val="000A642F"/>
    <w:rsid w:val="000B6BEE"/>
    <w:rsid w:val="000C0E54"/>
    <w:rsid w:val="000C7DC0"/>
    <w:rsid w:val="000D29EC"/>
    <w:rsid w:val="000E35F8"/>
    <w:rsid w:val="000E40C0"/>
    <w:rsid w:val="000E7AD3"/>
    <w:rsid w:val="000F6293"/>
    <w:rsid w:val="00111361"/>
    <w:rsid w:val="00112965"/>
    <w:rsid w:val="00112AEB"/>
    <w:rsid w:val="00114F6D"/>
    <w:rsid w:val="00123629"/>
    <w:rsid w:val="00125353"/>
    <w:rsid w:val="001404DA"/>
    <w:rsid w:val="00140D29"/>
    <w:rsid w:val="00146A10"/>
    <w:rsid w:val="00154BEA"/>
    <w:rsid w:val="001672BE"/>
    <w:rsid w:val="001748F1"/>
    <w:rsid w:val="00190A58"/>
    <w:rsid w:val="00190CB5"/>
    <w:rsid w:val="001A4633"/>
    <w:rsid w:val="001A7086"/>
    <w:rsid w:val="001B75A7"/>
    <w:rsid w:val="001D2F06"/>
    <w:rsid w:val="001D3407"/>
    <w:rsid w:val="001E0C9E"/>
    <w:rsid w:val="001E11FC"/>
    <w:rsid w:val="001E2D08"/>
    <w:rsid w:val="001F4DA8"/>
    <w:rsid w:val="0020394C"/>
    <w:rsid w:val="00203EC8"/>
    <w:rsid w:val="00206683"/>
    <w:rsid w:val="0022045E"/>
    <w:rsid w:val="00232E0F"/>
    <w:rsid w:val="00246CB3"/>
    <w:rsid w:val="00250173"/>
    <w:rsid w:val="002732ED"/>
    <w:rsid w:val="002839A9"/>
    <w:rsid w:val="0028673B"/>
    <w:rsid w:val="00293160"/>
    <w:rsid w:val="0029487A"/>
    <w:rsid w:val="002B21BA"/>
    <w:rsid w:val="002B66A3"/>
    <w:rsid w:val="002C05A8"/>
    <w:rsid w:val="002C6A07"/>
    <w:rsid w:val="002F215A"/>
    <w:rsid w:val="00304ECD"/>
    <w:rsid w:val="00305F68"/>
    <w:rsid w:val="003065A2"/>
    <w:rsid w:val="00314365"/>
    <w:rsid w:val="00317543"/>
    <w:rsid w:val="00322869"/>
    <w:rsid w:val="00345EAC"/>
    <w:rsid w:val="0034665C"/>
    <w:rsid w:val="00371247"/>
    <w:rsid w:val="0037290F"/>
    <w:rsid w:val="00373E49"/>
    <w:rsid w:val="00374D27"/>
    <w:rsid w:val="00376514"/>
    <w:rsid w:val="003849CB"/>
    <w:rsid w:val="0039535C"/>
    <w:rsid w:val="003B15E1"/>
    <w:rsid w:val="003C13CD"/>
    <w:rsid w:val="003C7BBA"/>
    <w:rsid w:val="00403810"/>
    <w:rsid w:val="00415563"/>
    <w:rsid w:val="0041755C"/>
    <w:rsid w:val="0042208C"/>
    <w:rsid w:val="004405AC"/>
    <w:rsid w:val="00446DBC"/>
    <w:rsid w:val="004515E7"/>
    <w:rsid w:val="004609EA"/>
    <w:rsid w:val="00472069"/>
    <w:rsid w:val="00480A91"/>
    <w:rsid w:val="00481521"/>
    <w:rsid w:val="00483350"/>
    <w:rsid w:val="004879F2"/>
    <w:rsid w:val="00490007"/>
    <w:rsid w:val="004920EC"/>
    <w:rsid w:val="00497FFB"/>
    <w:rsid w:val="004A4D26"/>
    <w:rsid w:val="004B2B56"/>
    <w:rsid w:val="004B2D25"/>
    <w:rsid w:val="004B5653"/>
    <w:rsid w:val="004C33EE"/>
    <w:rsid w:val="004C7954"/>
    <w:rsid w:val="004D075B"/>
    <w:rsid w:val="004E62E9"/>
    <w:rsid w:val="004E6D9F"/>
    <w:rsid w:val="004F6BF4"/>
    <w:rsid w:val="0051311C"/>
    <w:rsid w:val="00517F65"/>
    <w:rsid w:val="005336CD"/>
    <w:rsid w:val="00533B25"/>
    <w:rsid w:val="005342B4"/>
    <w:rsid w:val="00545DF4"/>
    <w:rsid w:val="00555473"/>
    <w:rsid w:val="005667F0"/>
    <w:rsid w:val="00575579"/>
    <w:rsid w:val="00582EB4"/>
    <w:rsid w:val="00586388"/>
    <w:rsid w:val="005933AC"/>
    <w:rsid w:val="005A742B"/>
    <w:rsid w:val="005A7AA3"/>
    <w:rsid w:val="005B2763"/>
    <w:rsid w:val="005D7877"/>
    <w:rsid w:val="005E2648"/>
    <w:rsid w:val="00601E58"/>
    <w:rsid w:val="0060478E"/>
    <w:rsid w:val="00612644"/>
    <w:rsid w:val="00613FD2"/>
    <w:rsid w:val="00615545"/>
    <w:rsid w:val="00631AF6"/>
    <w:rsid w:val="0063208E"/>
    <w:rsid w:val="00632170"/>
    <w:rsid w:val="00632EAE"/>
    <w:rsid w:val="00633628"/>
    <w:rsid w:val="00634509"/>
    <w:rsid w:val="00634EFB"/>
    <w:rsid w:val="00655966"/>
    <w:rsid w:val="00672FFB"/>
    <w:rsid w:val="00683D76"/>
    <w:rsid w:val="00683FCA"/>
    <w:rsid w:val="0068715B"/>
    <w:rsid w:val="0068756E"/>
    <w:rsid w:val="00693F1A"/>
    <w:rsid w:val="006A1D9E"/>
    <w:rsid w:val="006A5D4C"/>
    <w:rsid w:val="006C252E"/>
    <w:rsid w:val="006C4D34"/>
    <w:rsid w:val="006C77E1"/>
    <w:rsid w:val="006D75F3"/>
    <w:rsid w:val="006E1FEC"/>
    <w:rsid w:val="006E6E06"/>
    <w:rsid w:val="007061B8"/>
    <w:rsid w:val="00717CD5"/>
    <w:rsid w:val="007213B1"/>
    <w:rsid w:val="007223D0"/>
    <w:rsid w:val="0072666D"/>
    <w:rsid w:val="0073207C"/>
    <w:rsid w:val="00734723"/>
    <w:rsid w:val="00737545"/>
    <w:rsid w:val="0075003B"/>
    <w:rsid w:val="007514AF"/>
    <w:rsid w:val="0075243B"/>
    <w:rsid w:val="00756489"/>
    <w:rsid w:val="00770ABC"/>
    <w:rsid w:val="00770C5E"/>
    <w:rsid w:val="00772F4B"/>
    <w:rsid w:val="00781751"/>
    <w:rsid w:val="0078353F"/>
    <w:rsid w:val="00792656"/>
    <w:rsid w:val="007A4CD2"/>
    <w:rsid w:val="007A7150"/>
    <w:rsid w:val="007D01A2"/>
    <w:rsid w:val="007D1A33"/>
    <w:rsid w:val="007D1D10"/>
    <w:rsid w:val="007D4AE0"/>
    <w:rsid w:val="007D5D56"/>
    <w:rsid w:val="007E761A"/>
    <w:rsid w:val="007F1AAA"/>
    <w:rsid w:val="007F2F49"/>
    <w:rsid w:val="007F5810"/>
    <w:rsid w:val="008127B0"/>
    <w:rsid w:val="008133BC"/>
    <w:rsid w:val="008201B9"/>
    <w:rsid w:val="0084180A"/>
    <w:rsid w:val="00844E2C"/>
    <w:rsid w:val="00857FE5"/>
    <w:rsid w:val="008640E5"/>
    <w:rsid w:val="0088249C"/>
    <w:rsid w:val="00886793"/>
    <w:rsid w:val="008902EA"/>
    <w:rsid w:val="008C1142"/>
    <w:rsid w:val="008C26EE"/>
    <w:rsid w:val="008D5196"/>
    <w:rsid w:val="008E2106"/>
    <w:rsid w:val="008E2DFC"/>
    <w:rsid w:val="008E2E07"/>
    <w:rsid w:val="008E3BA3"/>
    <w:rsid w:val="008E4840"/>
    <w:rsid w:val="008F1489"/>
    <w:rsid w:val="00902978"/>
    <w:rsid w:val="00920BDE"/>
    <w:rsid w:val="00947608"/>
    <w:rsid w:val="00961C01"/>
    <w:rsid w:val="00973C78"/>
    <w:rsid w:val="009867FF"/>
    <w:rsid w:val="009878D0"/>
    <w:rsid w:val="009A6278"/>
    <w:rsid w:val="009C4ACA"/>
    <w:rsid w:val="009C7476"/>
    <w:rsid w:val="009C75F1"/>
    <w:rsid w:val="009F099E"/>
    <w:rsid w:val="009F09BA"/>
    <w:rsid w:val="009F641A"/>
    <w:rsid w:val="00A00D5D"/>
    <w:rsid w:val="00A03046"/>
    <w:rsid w:val="00A14173"/>
    <w:rsid w:val="00A3717D"/>
    <w:rsid w:val="00A40D24"/>
    <w:rsid w:val="00A432EE"/>
    <w:rsid w:val="00A44974"/>
    <w:rsid w:val="00A470BA"/>
    <w:rsid w:val="00A54E11"/>
    <w:rsid w:val="00A63FCD"/>
    <w:rsid w:val="00A67B0F"/>
    <w:rsid w:val="00A90FA9"/>
    <w:rsid w:val="00A91A0F"/>
    <w:rsid w:val="00A96390"/>
    <w:rsid w:val="00AA5121"/>
    <w:rsid w:val="00AA6FCA"/>
    <w:rsid w:val="00AB61D7"/>
    <w:rsid w:val="00AB65EE"/>
    <w:rsid w:val="00AC3344"/>
    <w:rsid w:val="00AC7806"/>
    <w:rsid w:val="00AC7F9F"/>
    <w:rsid w:val="00AF288B"/>
    <w:rsid w:val="00AF33F6"/>
    <w:rsid w:val="00AF4EAB"/>
    <w:rsid w:val="00B03B41"/>
    <w:rsid w:val="00B06F0E"/>
    <w:rsid w:val="00B11735"/>
    <w:rsid w:val="00B27380"/>
    <w:rsid w:val="00B44572"/>
    <w:rsid w:val="00B53F74"/>
    <w:rsid w:val="00B63944"/>
    <w:rsid w:val="00B63CF6"/>
    <w:rsid w:val="00B65BAE"/>
    <w:rsid w:val="00B73D06"/>
    <w:rsid w:val="00B9040D"/>
    <w:rsid w:val="00BA340F"/>
    <w:rsid w:val="00BB5E86"/>
    <w:rsid w:val="00BD11D3"/>
    <w:rsid w:val="00BF0C5D"/>
    <w:rsid w:val="00C01233"/>
    <w:rsid w:val="00C024C5"/>
    <w:rsid w:val="00C03606"/>
    <w:rsid w:val="00C22C83"/>
    <w:rsid w:val="00C46AC9"/>
    <w:rsid w:val="00C52445"/>
    <w:rsid w:val="00C55803"/>
    <w:rsid w:val="00C56B14"/>
    <w:rsid w:val="00C62050"/>
    <w:rsid w:val="00C826F3"/>
    <w:rsid w:val="00C868C2"/>
    <w:rsid w:val="00CA162E"/>
    <w:rsid w:val="00CA37F8"/>
    <w:rsid w:val="00CB6A6F"/>
    <w:rsid w:val="00CC3874"/>
    <w:rsid w:val="00CC7B86"/>
    <w:rsid w:val="00CD58DC"/>
    <w:rsid w:val="00CD6811"/>
    <w:rsid w:val="00CD7D23"/>
    <w:rsid w:val="00CF0F59"/>
    <w:rsid w:val="00CF2B2D"/>
    <w:rsid w:val="00CF5C8A"/>
    <w:rsid w:val="00D0743E"/>
    <w:rsid w:val="00D14E4B"/>
    <w:rsid w:val="00D279C0"/>
    <w:rsid w:val="00D55DA9"/>
    <w:rsid w:val="00D57346"/>
    <w:rsid w:val="00D61537"/>
    <w:rsid w:val="00D73924"/>
    <w:rsid w:val="00D830D1"/>
    <w:rsid w:val="00D83EF3"/>
    <w:rsid w:val="00D92FB8"/>
    <w:rsid w:val="00DA0D40"/>
    <w:rsid w:val="00DA151A"/>
    <w:rsid w:val="00DA7D79"/>
    <w:rsid w:val="00DC4C58"/>
    <w:rsid w:val="00DE26AC"/>
    <w:rsid w:val="00DF085D"/>
    <w:rsid w:val="00E01D29"/>
    <w:rsid w:val="00E10ACE"/>
    <w:rsid w:val="00E127F7"/>
    <w:rsid w:val="00E1756E"/>
    <w:rsid w:val="00E270BB"/>
    <w:rsid w:val="00E34CCB"/>
    <w:rsid w:val="00E35F50"/>
    <w:rsid w:val="00E37519"/>
    <w:rsid w:val="00E404CC"/>
    <w:rsid w:val="00E4298F"/>
    <w:rsid w:val="00E50597"/>
    <w:rsid w:val="00E55E4F"/>
    <w:rsid w:val="00E623F2"/>
    <w:rsid w:val="00E6437A"/>
    <w:rsid w:val="00E6711C"/>
    <w:rsid w:val="00E74D1E"/>
    <w:rsid w:val="00E81C4C"/>
    <w:rsid w:val="00E83C00"/>
    <w:rsid w:val="00E83F1E"/>
    <w:rsid w:val="00E84CEF"/>
    <w:rsid w:val="00EA3617"/>
    <w:rsid w:val="00EA5F00"/>
    <w:rsid w:val="00EB1718"/>
    <w:rsid w:val="00EB50CF"/>
    <w:rsid w:val="00EB5B42"/>
    <w:rsid w:val="00EB793B"/>
    <w:rsid w:val="00EB7C8C"/>
    <w:rsid w:val="00ED2FA1"/>
    <w:rsid w:val="00ED3BC4"/>
    <w:rsid w:val="00F141B7"/>
    <w:rsid w:val="00F15C90"/>
    <w:rsid w:val="00F224AC"/>
    <w:rsid w:val="00F2400D"/>
    <w:rsid w:val="00F26EB8"/>
    <w:rsid w:val="00F35CA8"/>
    <w:rsid w:val="00F44168"/>
    <w:rsid w:val="00F449BD"/>
    <w:rsid w:val="00F45211"/>
    <w:rsid w:val="00F51E90"/>
    <w:rsid w:val="00F554D4"/>
    <w:rsid w:val="00F573EE"/>
    <w:rsid w:val="00F610DE"/>
    <w:rsid w:val="00F62399"/>
    <w:rsid w:val="00F62D49"/>
    <w:rsid w:val="00F762B7"/>
    <w:rsid w:val="00FA4742"/>
    <w:rsid w:val="00FC389F"/>
    <w:rsid w:val="00FE47F8"/>
    <w:rsid w:val="00FF07D0"/>
    <w:rsid w:val="00FF1B1C"/>
    <w:rsid w:val="00FF3075"/>
    <w:rsid w:val="00FF3F72"/>
    <w:rsid w:val="00FF577D"/>
    <w:rsid w:val="00FF6BF2"/>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2032E"/>
  <w15:chartTrackingRefBased/>
  <w15:docId w15:val="{0083422E-4673-462A-838C-FB1CCC8E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E35F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5F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E35F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5F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5F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5F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F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F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F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5F50"/>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35F50"/>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rsid w:val="00E35F5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35F5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35F5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35F5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35F5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35F5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35F5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35F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F5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35F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F5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35F50"/>
    <w:pPr>
      <w:spacing w:before="160"/>
      <w:jc w:val="center"/>
    </w:pPr>
    <w:rPr>
      <w:i/>
      <w:iCs/>
      <w:color w:val="404040" w:themeColor="text1" w:themeTint="BF"/>
    </w:rPr>
  </w:style>
  <w:style w:type="character" w:customStyle="1" w:styleId="QuoteChar">
    <w:name w:val="Quote Char"/>
    <w:basedOn w:val="DefaultParagraphFont"/>
    <w:link w:val="Quote"/>
    <w:uiPriority w:val="29"/>
    <w:rsid w:val="00E35F50"/>
    <w:rPr>
      <w:i/>
      <w:iCs/>
      <w:color w:val="404040" w:themeColor="text1" w:themeTint="BF"/>
      <w:lang w:val="en-GB"/>
    </w:rPr>
  </w:style>
  <w:style w:type="paragraph" w:styleId="ListParagraph">
    <w:name w:val="List Paragraph"/>
    <w:basedOn w:val="Normal"/>
    <w:uiPriority w:val="34"/>
    <w:qFormat/>
    <w:rsid w:val="00E35F50"/>
    <w:pPr>
      <w:ind w:left="720"/>
      <w:contextualSpacing/>
    </w:pPr>
  </w:style>
  <w:style w:type="character" w:styleId="IntenseEmphasis">
    <w:name w:val="Intense Emphasis"/>
    <w:basedOn w:val="DefaultParagraphFont"/>
    <w:uiPriority w:val="21"/>
    <w:qFormat/>
    <w:rsid w:val="00E35F50"/>
    <w:rPr>
      <w:i/>
      <w:iCs/>
      <w:color w:val="2F5496" w:themeColor="accent1" w:themeShade="BF"/>
    </w:rPr>
  </w:style>
  <w:style w:type="paragraph" w:styleId="IntenseQuote">
    <w:name w:val="Intense Quote"/>
    <w:basedOn w:val="Normal"/>
    <w:next w:val="Normal"/>
    <w:link w:val="IntenseQuoteChar"/>
    <w:uiPriority w:val="30"/>
    <w:qFormat/>
    <w:rsid w:val="00E35F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5F50"/>
    <w:rPr>
      <w:i/>
      <w:iCs/>
      <w:color w:val="2F5496" w:themeColor="accent1" w:themeShade="BF"/>
      <w:lang w:val="en-GB"/>
    </w:rPr>
  </w:style>
  <w:style w:type="character" w:styleId="IntenseReference">
    <w:name w:val="Intense Reference"/>
    <w:basedOn w:val="DefaultParagraphFont"/>
    <w:uiPriority w:val="32"/>
    <w:qFormat/>
    <w:rsid w:val="00E35F50"/>
    <w:rPr>
      <w:b/>
      <w:bCs/>
      <w:smallCaps/>
      <w:color w:val="2F5496" w:themeColor="accent1" w:themeShade="BF"/>
      <w:spacing w:val="5"/>
    </w:rPr>
  </w:style>
  <w:style w:type="paragraph" w:styleId="FootnoteText">
    <w:name w:val="footnote text"/>
    <w:basedOn w:val="Normal"/>
    <w:link w:val="FootnoteTextChar"/>
    <w:uiPriority w:val="99"/>
    <w:semiHidden/>
    <w:unhideWhenUsed/>
    <w:rsid w:val="00C46A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AC9"/>
    <w:rPr>
      <w:sz w:val="20"/>
      <w:szCs w:val="20"/>
      <w:lang w:val="en-GB"/>
    </w:rPr>
  </w:style>
  <w:style w:type="character" w:styleId="FootnoteReference">
    <w:name w:val="footnote reference"/>
    <w:basedOn w:val="DefaultParagraphFont"/>
    <w:uiPriority w:val="99"/>
    <w:semiHidden/>
    <w:unhideWhenUsed/>
    <w:rsid w:val="00C46AC9"/>
    <w:rPr>
      <w:vertAlign w:val="superscript"/>
    </w:rPr>
  </w:style>
  <w:style w:type="paragraph" w:styleId="NormalWeb">
    <w:name w:val="Normal (Web)"/>
    <w:basedOn w:val="Normal"/>
    <w:unhideWhenUsed/>
    <w:rsid w:val="00C46AC9"/>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Header">
    <w:name w:val="header"/>
    <w:basedOn w:val="Normal"/>
    <w:link w:val="HeaderChar"/>
    <w:uiPriority w:val="99"/>
    <w:unhideWhenUsed/>
    <w:rsid w:val="00CF5C8A"/>
    <w:pPr>
      <w:tabs>
        <w:tab w:val="center" w:pos="4536"/>
        <w:tab w:val="right" w:pos="9072"/>
      </w:tabs>
      <w:spacing w:after="0" w:line="240" w:lineRule="auto"/>
    </w:pPr>
  </w:style>
  <w:style w:type="character" w:customStyle="1" w:styleId="HeaderChar">
    <w:name w:val="Header Char"/>
    <w:basedOn w:val="DefaultParagraphFont"/>
    <w:link w:val="Header"/>
    <w:uiPriority w:val="99"/>
    <w:rsid w:val="00CF5C8A"/>
    <w:rPr>
      <w:lang w:val="en-GB"/>
    </w:rPr>
  </w:style>
  <w:style w:type="paragraph" w:styleId="Footer">
    <w:name w:val="footer"/>
    <w:basedOn w:val="Normal"/>
    <w:link w:val="FooterChar"/>
    <w:uiPriority w:val="99"/>
    <w:unhideWhenUsed/>
    <w:rsid w:val="00CF5C8A"/>
    <w:pPr>
      <w:tabs>
        <w:tab w:val="center" w:pos="4536"/>
        <w:tab w:val="right" w:pos="9072"/>
      </w:tabs>
      <w:spacing w:after="0" w:line="240" w:lineRule="auto"/>
    </w:pPr>
  </w:style>
  <w:style w:type="character" w:customStyle="1" w:styleId="FooterChar">
    <w:name w:val="Footer Char"/>
    <w:basedOn w:val="DefaultParagraphFont"/>
    <w:link w:val="Footer"/>
    <w:uiPriority w:val="99"/>
    <w:rsid w:val="00CF5C8A"/>
    <w:rPr>
      <w:lang w:val="en-GB"/>
    </w:rPr>
  </w:style>
  <w:style w:type="character" w:styleId="Strong">
    <w:name w:val="Strong"/>
    <w:uiPriority w:val="22"/>
    <w:qFormat/>
    <w:rsid w:val="00CD7D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7842614">
      <w:bodyDiv w:val="1"/>
      <w:marLeft w:val="0"/>
      <w:marRight w:val="0"/>
      <w:marTop w:val="0"/>
      <w:marBottom w:val="0"/>
      <w:divBdr>
        <w:top w:val="none" w:sz="0" w:space="0" w:color="auto"/>
        <w:left w:val="none" w:sz="0" w:space="0" w:color="auto"/>
        <w:bottom w:val="none" w:sz="0" w:space="0" w:color="auto"/>
        <w:right w:val="none" w:sz="0" w:space="0" w:color="auto"/>
      </w:divBdr>
      <w:divsChild>
        <w:div w:id="1108769004">
          <w:marLeft w:val="-720"/>
          <w:marRight w:val="0"/>
          <w:marTop w:val="0"/>
          <w:marBottom w:val="0"/>
          <w:divBdr>
            <w:top w:val="none" w:sz="0" w:space="0" w:color="auto"/>
            <w:left w:val="none" w:sz="0" w:space="0" w:color="auto"/>
            <w:bottom w:val="none" w:sz="0" w:space="0" w:color="auto"/>
            <w:right w:val="none" w:sz="0" w:space="0" w:color="auto"/>
          </w:divBdr>
        </w:div>
      </w:divsChild>
    </w:div>
    <w:div w:id="1486437940">
      <w:bodyDiv w:val="1"/>
      <w:marLeft w:val="0"/>
      <w:marRight w:val="0"/>
      <w:marTop w:val="0"/>
      <w:marBottom w:val="0"/>
      <w:divBdr>
        <w:top w:val="none" w:sz="0" w:space="0" w:color="auto"/>
        <w:left w:val="none" w:sz="0" w:space="0" w:color="auto"/>
        <w:bottom w:val="none" w:sz="0" w:space="0" w:color="auto"/>
        <w:right w:val="none" w:sz="0" w:space="0" w:color="auto"/>
      </w:divBdr>
    </w:div>
    <w:div w:id="2019773264">
      <w:bodyDiv w:val="1"/>
      <w:marLeft w:val="0"/>
      <w:marRight w:val="0"/>
      <w:marTop w:val="0"/>
      <w:marBottom w:val="0"/>
      <w:divBdr>
        <w:top w:val="none" w:sz="0" w:space="0" w:color="auto"/>
        <w:left w:val="none" w:sz="0" w:space="0" w:color="auto"/>
        <w:bottom w:val="none" w:sz="0" w:space="0" w:color="auto"/>
        <w:right w:val="none" w:sz="0" w:space="0" w:color="auto"/>
      </w:divBdr>
      <w:divsChild>
        <w:div w:id="177694661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C22FB-C732-46FE-9B8E-C8EECCFD2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2348</Words>
  <Characters>13388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2</cp:revision>
  <dcterms:created xsi:type="dcterms:W3CDTF">2024-03-15T17:01:00Z</dcterms:created>
  <dcterms:modified xsi:type="dcterms:W3CDTF">2024-03-15T17:01:00Z</dcterms:modified>
</cp:coreProperties>
</file>