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07853" w14:textId="77777777" w:rsidR="00B51F55" w:rsidRDefault="00B51F55" w:rsidP="008A067C">
      <w:pPr>
        <w:spacing w:line="360" w:lineRule="auto"/>
        <w:jc w:val="center"/>
        <w:rPr>
          <w:rFonts w:ascii="Times New Roman" w:hAnsi="Times New Roman" w:cs="Times New Roman"/>
          <w:b/>
          <w:sz w:val="32"/>
        </w:rPr>
      </w:pPr>
    </w:p>
    <w:p w14:paraId="2B54BDCD" w14:textId="77777777" w:rsidR="00B51F55" w:rsidRDefault="00B51F55" w:rsidP="008A067C">
      <w:pPr>
        <w:spacing w:line="360" w:lineRule="auto"/>
        <w:jc w:val="center"/>
        <w:rPr>
          <w:rFonts w:ascii="Times New Roman" w:hAnsi="Times New Roman" w:cs="Times New Roman"/>
          <w:b/>
          <w:sz w:val="32"/>
        </w:rPr>
      </w:pPr>
    </w:p>
    <w:p w14:paraId="6D023D68" w14:textId="77777777" w:rsidR="00B51F55" w:rsidRDefault="00B51F55" w:rsidP="008A067C">
      <w:pPr>
        <w:spacing w:line="360" w:lineRule="auto"/>
        <w:jc w:val="center"/>
        <w:rPr>
          <w:rFonts w:ascii="Times New Roman" w:hAnsi="Times New Roman" w:cs="Times New Roman"/>
          <w:b/>
          <w:sz w:val="32"/>
        </w:rPr>
      </w:pPr>
    </w:p>
    <w:p w14:paraId="09FABA1E" w14:textId="77777777" w:rsidR="00B51F55" w:rsidRDefault="00B51F55" w:rsidP="008A067C">
      <w:pPr>
        <w:spacing w:line="360" w:lineRule="auto"/>
        <w:jc w:val="center"/>
        <w:rPr>
          <w:rFonts w:ascii="Times New Roman" w:hAnsi="Times New Roman" w:cs="Times New Roman"/>
          <w:b/>
          <w:sz w:val="32"/>
        </w:rPr>
      </w:pPr>
    </w:p>
    <w:p w14:paraId="5AE4C2FE" w14:textId="77777777" w:rsidR="00B51F55" w:rsidRDefault="00B51F55" w:rsidP="006605B0">
      <w:pPr>
        <w:spacing w:line="360" w:lineRule="auto"/>
        <w:rPr>
          <w:rFonts w:ascii="Times New Roman" w:hAnsi="Times New Roman" w:cs="Times New Roman"/>
          <w:b/>
          <w:sz w:val="32"/>
        </w:rPr>
      </w:pPr>
    </w:p>
    <w:p w14:paraId="1519719A" w14:textId="77777777" w:rsidR="00B51F55" w:rsidRDefault="00B51F55" w:rsidP="008A067C">
      <w:pPr>
        <w:spacing w:line="360" w:lineRule="auto"/>
        <w:jc w:val="center"/>
        <w:rPr>
          <w:rFonts w:ascii="Times New Roman" w:hAnsi="Times New Roman" w:cs="Times New Roman"/>
          <w:b/>
          <w:sz w:val="32"/>
        </w:rPr>
      </w:pPr>
    </w:p>
    <w:p w14:paraId="05160BCA" w14:textId="77777777" w:rsidR="006605B0" w:rsidRDefault="006605B0" w:rsidP="006605B0">
      <w:pPr>
        <w:spacing w:line="360" w:lineRule="auto"/>
        <w:jc w:val="center"/>
        <w:rPr>
          <w:rFonts w:ascii="Times New Roman" w:eastAsia="Times New Roman" w:hAnsi="Times New Roman" w:cs="Times New Roman"/>
          <w:b/>
          <w:sz w:val="24"/>
          <w:szCs w:val="24"/>
        </w:rPr>
      </w:pPr>
    </w:p>
    <w:p w14:paraId="39CEE9C6" w14:textId="4DB4C64D" w:rsidR="006605B0" w:rsidRDefault="006605B0" w:rsidP="006605B0">
      <w:pPr>
        <w:spacing w:line="360" w:lineRule="auto"/>
        <w:jc w:val="center"/>
        <w:rPr>
          <w:rFonts w:ascii="Times New Roman" w:eastAsia="Times New Roman" w:hAnsi="Times New Roman" w:cs="Times New Roman"/>
          <w:b/>
          <w:sz w:val="24"/>
          <w:szCs w:val="24"/>
        </w:rPr>
      </w:pPr>
      <w:r>
        <w:rPr>
          <w:noProof/>
        </w:rPr>
        <w:drawing>
          <wp:inline distT="0" distB="0" distL="0" distR="0" wp14:anchorId="689A5E06" wp14:editId="5EC88575">
            <wp:extent cx="4124325" cy="1647825"/>
            <wp:effectExtent l="0" t="0" r="9525"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24325" cy="1647825"/>
                    </a:xfrm>
                    <a:prstGeom prst="rect">
                      <a:avLst/>
                    </a:prstGeom>
                    <a:noFill/>
                    <a:ln>
                      <a:noFill/>
                    </a:ln>
                  </pic:spPr>
                </pic:pic>
              </a:graphicData>
            </a:graphic>
          </wp:inline>
        </w:drawing>
      </w:r>
    </w:p>
    <w:p w14:paraId="51EB1CE8" w14:textId="77777777" w:rsidR="006605B0" w:rsidRDefault="006605B0" w:rsidP="006605B0">
      <w:pPr>
        <w:spacing w:line="360" w:lineRule="auto"/>
        <w:jc w:val="center"/>
        <w:rPr>
          <w:rFonts w:ascii="Times New Roman" w:eastAsia="Times New Roman" w:hAnsi="Times New Roman" w:cs="Times New Roman"/>
          <w:b/>
          <w:sz w:val="24"/>
          <w:szCs w:val="24"/>
        </w:rPr>
      </w:pPr>
    </w:p>
    <w:p w14:paraId="43C0D12A" w14:textId="77777777" w:rsidR="006605B0" w:rsidRDefault="006605B0" w:rsidP="006605B0">
      <w:pPr>
        <w:spacing w:line="360" w:lineRule="auto"/>
        <w:jc w:val="center"/>
        <w:rPr>
          <w:rFonts w:ascii="Times New Roman" w:eastAsia="Times New Roman" w:hAnsi="Times New Roman" w:cs="Times New Roman"/>
          <w:b/>
          <w:sz w:val="24"/>
          <w:szCs w:val="24"/>
        </w:rPr>
      </w:pPr>
    </w:p>
    <w:p w14:paraId="57250CC7" w14:textId="77777777" w:rsidR="006605B0" w:rsidRDefault="006605B0" w:rsidP="006605B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Assessment 2 Community Engagement</w:t>
      </w:r>
    </w:p>
    <w:p w14:paraId="436803F0" w14:textId="77777777" w:rsidR="006605B0" w:rsidRDefault="006605B0" w:rsidP="006605B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Code: LCBB4002</w:t>
      </w:r>
    </w:p>
    <w:p w14:paraId="086BD945" w14:textId="77777777" w:rsidR="006605B0" w:rsidRDefault="006605B0" w:rsidP="006605B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Module: Community Engagement </w:t>
      </w:r>
    </w:p>
    <w:p w14:paraId="2C7ADFB2" w14:textId="0FA2485A" w:rsidR="006605B0" w:rsidRDefault="006605B0" w:rsidP="006605B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Name: </w:t>
      </w:r>
      <w:proofErr w:type="spellStart"/>
      <w:r w:rsidR="0043525A">
        <w:rPr>
          <w:rFonts w:ascii="Times New Roman" w:eastAsia="Times New Roman" w:hAnsi="Times New Roman" w:cs="Times New Roman"/>
          <w:b/>
          <w:sz w:val="24"/>
          <w:szCs w:val="24"/>
        </w:rPr>
        <w:t>Sanjana</w:t>
      </w:r>
      <w:proofErr w:type="spellEnd"/>
    </w:p>
    <w:p w14:paraId="00E468EA" w14:textId="77E9D91C" w:rsidR="006605B0" w:rsidRDefault="006605B0" w:rsidP="006605B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w:t>
      </w:r>
      <w:r>
        <w:t xml:space="preserve"> </w:t>
      </w:r>
      <w:r w:rsidR="0043525A">
        <w:t>2128205</w:t>
      </w:r>
    </w:p>
    <w:p w14:paraId="0C27E6EF" w14:textId="0149003A" w:rsidR="00767099" w:rsidRPr="00B51F55" w:rsidRDefault="00B51F55" w:rsidP="008A067C">
      <w:pPr>
        <w:spacing w:line="360" w:lineRule="auto"/>
        <w:jc w:val="center"/>
        <w:rPr>
          <w:rFonts w:ascii="Times New Roman" w:eastAsia="Times New Roman" w:hAnsi="Times New Roman" w:cs="Times New Roman"/>
          <w:b/>
          <w:sz w:val="36"/>
          <w:szCs w:val="24"/>
        </w:rPr>
      </w:pPr>
      <w:r w:rsidRPr="00B51F55">
        <w:rPr>
          <w:rFonts w:ascii="Times New Roman" w:eastAsia="Times New Roman" w:hAnsi="Times New Roman" w:cs="Times New Roman"/>
          <w:b/>
          <w:sz w:val="36"/>
          <w:szCs w:val="24"/>
        </w:rPr>
        <w:br w:type="page"/>
      </w:r>
    </w:p>
    <w:sdt>
      <w:sdtPr>
        <w:rPr>
          <w:rFonts w:ascii="Arial" w:eastAsia="Arial" w:hAnsi="Arial" w:cs="Arial"/>
          <w:b w:val="0"/>
          <w:bCs w:val="0"/>
          <w:color w:val="auto"/>
          <w:sz w:val="22"/>
          <w:szCs w:val="22"/>
          <w:lang w:val="en" w:eastAsia="en-US"/>
        </w:rPr>
        <w:id w:val="1768116839"/>
        <w:docPartObj>
          <w:docPartGallery w:val="Table of Contents"/>
          <w:docPartUnique/>
        </w:docPartObj>
      </w:sdtPr>
      <w:sdtEndPr>
        <w:rPr>
          <w:noProof/>
        </w:rPr>
      </w:sdtEndPr>
      <w:sdtContent>
        <w:p w14:paraId="71D304F6" w14:textId="77777777" w:rsidR="00B51F55" w:rsidRPr="00B51F55" w:rsidRDefault="00B51F55" w:rsidP="008A067C">
          <w:pPr>
            <w:pStyle w:val="TOCHeading"/>
            <w:spacing w:line="360" w:lineRule="auto"/>
            <w:jc w:val="center"/>
            <w:rPr>
              <w:rFonts w:ascii="Times New Roman" w:hAnsi="Times New Roman" w:cs="Times New Roman"/>
              <w:color w:val="auto"/>
            </w:rPr>
          </w:pPr>
          <w:r w:rsidRPr="00B51F55">
            <w:rPr>
              <w:rFonts w:ascii="Times New Roman" w:hAnsi="Times New Roman" w:cs="Times New Roman"/>
              <w:color w:val="auto"/>
            </w:rPr>
            <w:t>Table of Contents</w:t>
          </w:r>
        </w:p>
        <w:p w14:paraId="47723CAA" w14:textId="77777777" w:rsidR="00B51F55" w:rsidRPr="00B51F55" w:rsidRDefault="00B51F55" w:rsidP="008A067C">
          <w:pPr>
            <w:pStyle w:val="TOC1"/>
            <w:tabs>
              <w:tab w:val="right" w:leader="dot" w:pos="9350"/>
            </w:tabs>
            <w:spacing w:line="360" w:lineRule="auto"/>
            <w:jc w:val="both"/>
            <w:rPr>
              <w:rFonts w:ascii="Times New Roman" w:hAnsi="Times New Roman" w:cs="Times New Roman"/>
              <w:noProof/>
              <w:sz w:val="24"/>
              <w:szCs w:val="24"/>
            </w:rPr>
          </w:pPr>
          <w:r w:rsidRPr="00B51F55">
            <w:rPr>
              <w:rFonts w:ascii="Times New Roman" w:hAnsi="Times New Roman" w:cs="Times New Roman"/>
              <w:sz w:val="24"/>
              <w:szCs w:val="24"/>
            </w:rPr>
            <w:fldChar w:fldCharType="begin"/>
          </w:r>
          <w:r w:rsidRPr="00B51F55">
            <w:rPr>
              <w:rFonts w:ascii="Times New Roman" w:hAnsi="Times New Roman" w:cs="Times New Roman"/>
              <w:sz w:val="24"/>
              <w:szCs w:val="24"/>
            </w:rPr>
            <w:instrText xml:space="preserve"> TOC \o "1-3" \h \z \u </w:instrText>
          </w:r>
          <w:r w:rsidRPr="00B51F55">
            <w:rPr>
              <w:rFonts w:ascii="Times New Roman" w:hAnsi="Times New Roman" w:cs="Times New Roman"/>
              <w:sz w:val="24"/>
              <w:szCs w:val="24"/>
            </w:rPr>
            <w:fldChar w:fldCharType="separate"/>
          </w:r>
          <w:hyperlink w:anchor="_Toc120899864" w:history="1">
            <w:r w:rsidRPr="00B51F55">
              <w:rPr>
                <w:rStyle w:val="Hyperlink"/>
                <w:rFonts w:ascii="Times New Roman" w:hAnsi="Times New Roman" w:cs="Times New Roman"/>
                <w:noProof/>
                <w:sz w:val="24"/>
                <w:szCs w:val="24"/>
              </w:rPr>
              <w:t>Introduction</w:t>
            </w:r>
            <w:r w:rsidRPr="00B51F55">
              <w:rPr>
                <w:rFonts w:ascii="Times New Roman" w:hAnsi="Times New Roman" w:cs="Times New Roman"/>
                <w:noProof/>
                <w:webHidden/>
                <w:sz w:val="24"/>
                <w:szCs w:val="24"/>
              </w:rPr>
              <w:tab/>
            </w:r>
            <w:r w:rsidRPr="00B51F55">
              <w:rPr>
                <w:rFonts w:ascii="Times New Roman" w:hAnsi="Times New Roman" w:cs="Times New Roman"/>
                <w:noProof/>
                <w:webHidden/>
                <w:sz w:val="24"/>
                <w:szCs w:val="24"/>
              </w:rPr>
              <w:fldChar w:fldCharType="begin"/>
            </w:r>
            <w:r w:rsidRPr="00B51F55">
              <w:rPr>
                <w:rFonts w:ascii="Times New Roman" w:hAnsi="Times New Roman" w:cs="Times New Roman"/>
                <w:noProof/>
                <w:webHidden/>
                <w:sz w:val="24"/>
                <w:szCs w:val="24"/>
              </w:rPr>
              <w:instrText xml:space="preserve"> PAGEREF _Toc120899864 \h </w:instrText>
            </w:r>
            <w:r w:rsidRPr="00B51F55">
              <w:rPr>
                <w:rFonts w:ascii="Times New Roman" w:hAnsi="Times New Roman" w:cs="Times New Roman"/>
                <w:noProof/>
                <w:webHidden/>
                <w:sz w:val="24"/>
                <w:szCs w:val="24"/>
              </w:rPr>
            </w:r>
            <w:r w:rsidRPr="00B51F55">
              <w:rPr>
                <w:rFonts w:ascii="Times New Roman" w:hAnsi="Times New Roman" w:cs="Times New Roman"/>
                <w:noProof/>
                <w:webHidden/>
                <w:sz w:val="24"/>
                <w:szCs w:val="24"/>
              </w:rPr>
              <w:fldChar w:fldCharType="separate"/>
            </w:r>
            <w:r w:rsidRPr="00B51F55">
              <w:rPr>
                <w:rFonts w:ascii="Times New Roman" w:hAnsi="Times New Roman" w:cs="Times New Roman"/>
                <w:noProof/>
                <w:webHidden/>
                <w:sz w:val="24"/>
                <w:szCs w:val="24"/>
              </w:rPr>
              <w:t>3</w:t>
            </w:r>
            <w:r w:rsidRPr="00B51F55">
              <w:rPr>
                <w:rFonts w:ascii="Times New Roman" w:hAnsi="Times New Roman" w:cs="Times New Roman"/>
                <w:noProof/>
                <w:webHidden/>
                <w:sz w:val="24"/>
                <w:szCs w:val="24"/>
              </w:rPr>
              <w:fldChar w:fldCharType="end"/>
            </w:r>
          </w:hyperlink>
        </w:p>
        <w:p w14:paraId="048E23CC" w14:textId="77777777" w:rsidR="00B51F55" w:rsidRPr="00B51F55" w:rsidRDefault="00017658" w:rsidP="008A067C">
          <w:pPr>
            <w:pStyle w:val="TOC1"/>
            <w:tabs>
              <w:tab w:val="right" w:leader="dot" w:pos="9350"/>
            </w:tabs>
            <w:spacing w:line="360" w:lineRule="auto"/>
            <w:jc w:val="both"/>
            <w:rPr>
              <w:rFonts w:ascii="Times New Roman" w:hAnsi="Times New Roman" w:cs="Times New Roman"/>
              <w:noProof/>
              <w:sz w:val="24"/>
              <w:szCs w:val="24"/>
            </w:rPr>
          </w:pPr>
          <w:hyperlink w:anchor="_Toc120899865" w:history="1">
            <w:r w:rsidR="00B51F55" w:rsidRPr="00B51F55">
              <w:rPr>
                <w:rStyle w:val="Hyperlink"/>
                <w:rFonts w:ascii="Times New Roman" w:hAnsi="Times New Roman" w:cs="Times New Roman"/>
                <w:noProof/>
                <w:sz w:val="24"/>
                <w:szCs w:val="24"/>
              </w:rPr>
              <w:t>Body</w:t>
            </w:r>
            <w:r w:rsidR="00B51F55" w:rsidRPr="00B51F55">
              <w:rPr>
                <w:rFonts w:ascii="Times New Roman" w:hAnsi="Times New Roman" w:cs="Times New Roman"/>
                <w:noProof/>
                <w:webHidden/>
                <w:sz w:val="24"/>
                <w:szCs w:val="24"/>
              </w:rPr>
              <w:tab/>
            </w:r>
            <w:r w:rsidR="00B51F55" w:rsidRPr="00B51F55">
              <w:rPr>
                <w:rFonts w:ascii="Times New Roman" w:hAnsi="Times New Roman" w:cs="Times New Roman"/>
                <w:noProof/>
                <w:webHidden/>
                <w:sz w:val="24"/>
                <w:szCs w:val="24"/>
              </w:rPr>
              <w:fldChar w:fldCharType="begin"/>
            </w:r>
            <w:r w:rsidR="00B51F55" w:rsidRPr="00B51F55">
              <w:rPr>
                <w:rFonts w:ascii="Times New Roman" w:hAnsi="Times New Roman" w:cs="Times New Roman"/>
                <w:noProof/>
                <w:webHidden/>
                <w:sz w:val="24"/>
                <w:szCs w:val="24"/>
              </w:rPr>
              <w:instrText xml:space="preserve"> PAGEREF _Toc120899865 \h </w:instrText>
            </w:r>
            <w:r w:rsidR="00B51F55" w:rsidRPr="00B51F55">
              <w:rPr>
                <w:rFonts w:ascii="Times New Roman" w:hAnsi="Times New Roman" w:cs="Times New Roman"/>
                <w:noProof/>
                <w:webHidden/>
                <w:sz w:val="24"/>
                <w:szCs w:val="24"/>
              </w:rPr>
            </w:r>
            <w:r w:rsidR="00B51F55" w:rsidRPr="00B51F55">
              <w:rPr>
                <w:rFonts w:ascii="Times New Roman" w:hAnsi="Times New Roman" w:cs="Times New Roman"/>
                <w:noProof/>
                <w:webHidden/>
                <w:sz w:val="24"/>
                <w:szCs w:val="24"/>
              </w:rPr>
              <w:fldChar w:fldCharType="separate"/>
            </w:r>
            <w:r w:rsidR="00B51F55" w:rsidRPr="00B51F55">
              <w:rPr>
                <w:rFonts w:ascii="Times New Roman" w:hAnsi="Times New Roman" w:cs="Times New Roman"/>
                <w:noProof/>
                <w:webHidden/>
                <w:sz w:val="24"/>
                <w:szCs w:val="24"/>
              </w:rPr>
              <w:t>3</w:t>
            </w:r>
            <w:r w:rsidR="00B51F55" w:rsidRPr="00B51F55">
              <w:rPr>
                <w:rFonts w:ascii="Times New Roman" w:hAnsi="Times New Roman" w:cs="Times New Roman"/>
                <w:noProof/>
                <w:webHidden/>
                <w:sz w:val="24"/>
                <w:szCs w:val="24"/>
              </w:rPr>
              <w:fldChar w:fldCharType="end"/>
            </w:r>
          </w:hyperlink>
        </w:p>
        <w:p w14:paraId="5BFFFB03" w14:textId="77777777" w:rsidR="00B51F55" w:rsidRPr="00B51F55" w:rsidRDefault="00017658" w:rsidP="008A067C">
          <w:pPr>
            <w:pStyle w:val="TOC2"/>
            <w:tabs>
              <w:tab w:val="right" w:leader="dot" w:pos="9350"/>
            </w:tabs>
            <w:spacing w:line="360" w:lineRule="auto"/>
            <w:jc w:val="both"/>
            <w:rPr>
              <w:rFonts w:ascii="Times New Roman" w:hAnsi="Times New Roman" w:cs="Times New Roman"/>
              <w:noProof/>
              <w:sz w:val="24"/>
              <w:szCs w:val="24"/>
            </w:rPr>
          </w:pPr>
          <w:hyperlink w:anchor="_Toc120899866" w:history="1">
            <w:r w:rsidR="00B51F55" w:rsidRPr="00B51F55">
              <w:rPr>
                <w:rStyle w:val="Hyperlink"/>
                <w:rFonts w:ascii="Times New Roman" w:hAnsi="Times New Roman" w:cs="Times New Roman"/>
                <w:noProof/>
                <w:sz w:val="24"/>
                <w:szCs w:val="24"/>
              </w:rPr>
              <w:t>Stakeholder’s participation</w:t>
            </w:r>
            <w:r w:rsidR="00B51F55" w:rsidRPr="00B51F55">
              <w:rPr>
                <w:rFonts w:ascii="Times New Roman" w:hAnsi="Times New Roman" w:cs="Times New Roman"/>
                <w:noProof/>
                <w:webHidden/>
                <w:sz w:val="24"/>
                <w:szCs w:val="24"/>
              </w:rPr>
              <w:tab/>
            </w:r>
            <w:r w:rsidR="00B51F55" w:rsidRPr="00B51F55">
              <w:rPr>
                <w:rFonts w:ascii="Times New Roman" w:hAnsi="Times New Roman" w:cs="Times New Roman"/>
                <w:noProof/>
                <w:webHidden/>
                <w:sz w:val="24"/>
                <w:szCs w:val="24"/>
              </w:rPr>
              <w:fldChar w:fldCharType="begin"/>
            </w:r>
            <w:r w:rsidR="00B51F55" w:rsidRPr="00B51F55">
              <w:rPr>
                <w:rFonts w:ascii="Times New Roman" w:hAnsi="Times New Roman" w:cs="Times New Roman"/>
                <w:noProof/>
                <w:webHidden/>
                <w:sz w:val="24"/>
                <w:szCs w:val="24"/>
              </w:rPr>
              <w:instrText xml:space="preserve"> PAGEREF _Toc120899866 \h </w:instrText>
            </w:r>
            <w:r w:rsidR="00B51F55" w:rsidRPr="00B51F55">
              <w:rPr>
                <w:rFonts w:ascii="Times New Roman" w:hAnsi="Times New Roman" w:cs="Times New Roman"/>
                <w:noProof/>
                <w:webHidden/>
                <w:sz w:val="24"/>
                <w:szCs w:val="24"/>
              </w:rPr>
            </w:r>
            <w:r w:rsidR="00B51F55" w:rsidRPr="00B51F55">
              <w:rPr>
                <w:rFonts w:ascii="Times New Roman" w:hAnsi="Times New Roman" w:cs="Times New Roman"/>
                <w:noProof/>
                <w:webHidden/>
                <w:sz w:val="24"/>
                <w:szCs w:val="24"/>
              </w:rPr>
              <w:fldChar w:fldCharType="separate"/>
            </w:r>
            <w:r w:rsidR="00B51F55" w:rsidRPr="00B51F55">
              <w:rPr>
                <w:rFonts w:ascii="Times New Roman" w:hAnsi="Times New Roman" w:cs="Times New Roman"/>
                <w:noProof/>
                <w:webHidden/>
                <w:sz w:val="24"/>
                <w:szCs w:val="24"/>
              </w:rPr>
              <w:t>3</w:t>
            </w:r>
            <w:r w:rsidR="00B51F55" w:rsidRPr="00B51F55">
              <w:rPr>
                <w:rFonts w:ascii="Times New Roman" w:hAnsi="Times New Roman" w:cs="Times New Roman"/>
                <w:noProof/>
                <w:webHidden/>
                <w:sz w:val="24"/>
                <w:szCs w:val="24"/>
              </w:rPr>
              <w:fldChar w:fldCharType="end"/>
            </w:r>
          </w:hyperlink>
        </w:p>
        <w:p w14:paraId="064D7AE2" w14:textId="77777777" w:rsidR="00B51F55" w:rsidRPr="00B51F55" w:rsidRDefault="00017658" w:rsidP="008A067C">
          <w:pPr>
            <w:pStyle w:val="TOC2"/>
            <w:tabs>
              <w:tab w:val="right" w:leader="dot" w:pos="9350"/>
            </w:tabs>
            <w:spacing w:line="360" w:lineRule="auto"/>
            <w:jc w:val="both"/>
            <w:rPr>
              <w:rFonts w:ascii="Times New Roman" w:hAnsi="Times New Roman" w:cs="Times New Roman"/>
              <w:noProof/>
              <w:sz w:val="24"/>
              <w:szCs w:val="24"/>
            </w:rPr>
          </w:pPr>
          <w:hyperlink w:anchor="_Toc120899867" w:history="1">
            <w:r w:rsidR="00B51F55" w:rsidRPr="00B51F55">
              <w:rPr>
                <w:rStyle w:val="Hyperlink"/>
                <w:rFonts w:ascii="Times New Roman" w:hAnsi="Times New Roman" w:cs="Times New Roman"/>
                <w:noProof/>
                <w:sz w:val="24"/>
                <w:szCs w:val="24"/>
              </w:rPr>
              <w:t>Engagement Principle</w:t>
            </w:r>
            <w:r w:rsidR="00B51F55" w:rsidRPr="00B51F55">
              <w:rPr>
                <w:rFonts w:ascii="Times New Roman" w:hAnsi="Times New Roman" w:cs="Times New Roman"/>
                <w:noProof/>
                <w:webHidden/>
                <w:sz w:val="24"/>
                <w:szCs w:val="24"/>
              </w:rPr>
              <w:tab/>
            </w:r>
            <w:r w:rsidR="00B51F55" w:rsidRPr="00B51F55">
              <w:rPr>
                <w:rFonts w:ascii="Times New Roman" w:hAnsi="Times New Roman" w:cs="Times New Roman"/>
                <w:noProof/>
                <w:webHidden/>
                <w:sz w:val="24"/>
                <w:szCs w:val="24"/>
              </w:rPr>
              <w:fldChar w:fldCharType="begin"/>
            </w:r>
            <w:r w:rsidR="00B51F55" w:rsidRPr="00B51F55">
              <w:rPr>
                <w:rFonts w:ascii="Times New Roman" w:hAnsi="Times New Roman" w:cs="Times New Roman"/>
                <w:noProof/>
                <w:webHidden/>
                <w:sz w:val="24"/>
                <w:szCs w:val="24"/>
              </w:rPr>
              <w:instrText xml:space="preserve"> PAGEREF _Toc120899867 \h </w:instrText>
            </w:r>
            <w:r w:rsidR="00B51F55" w:rsidRPr="00B51F55">
              <w:rPr>
                <w:rFonts w:ascii="Times New Roman" w:hAnsi="Times New Roman" w:cs="Times New Roman"/>
                <w:noProof/>
                <w:webHidden/>
                <w:sz w:val="24"/>
                <w:szCs w:val="24"/>
              </w:rPr>
            </w:r>
            <w:r w:rsidR="00B51F55" w:rsidRPr="00B51F55">
              <w:rPr>
                <w:rFonts w:ascii="Times New Roman" w:hAnsi="Times New Roman" w:cs="Times New Roman"/>
                <w:noProof/>
                <w:webHidden/>
                <w:sz w:val="24"/>
                <w:szCs w:val="24"/>
              </w:rPr>
              <w:fldChar w:fldCharType="separate"/>
            </w:r>
            <w:r w:rsidR="00B51F55" w:rsidRPr="00B51F55">
              <w:rPr>
                <w:rFonts w:ascii="Times New Roman" w:hAnsi="Times New Roman" w:cs="Times New Roman"/>
                <w:noProof/>
                <w:webHidden/>
                <w:sz w:val="24"/>
                <w:szCs w:val="24"/>
              </w:rPr>
              <w:t>4</w:t>
            </w:r>
            <w:r w:rsidR="00B51F55" w:rsidRPr="00B51F55">
              <w:rPr>
                <w:rFonts w:ascii="Times New Roman" w:hAnsi="Times New Roman" w:cs="Times New Roman"/>
                <w:noProof/>
                <w:webHidden/>
                <w:sz w:val="24"/>
                <w:szCs w:val="24"/>
              </w:rPr>
              <w:fldChar w:fldCharType="end"/>
            </w:r>
          </w:hyperlink>
        </w:p>
        <w:p w14:paraId="656FECF1" w14:textId="77777777" w:rsidR="00B51F55" w:rsidRPr="00B51F55" w:rsidRDefault="00017658" w:rsidP="008A067C">
          <w:pPr>
            <w:pStyle w:val="TOC2"/>
            <w:tabs>
              <w:tab w:val="right" w:leader="dot" w:pos="9350"/>
            </w:tabs>
            <w:spacing w:line="360" w:lineRule="auto"/>
            <w:jc w:val="both"/>
            <w:rPr>
              <w:rFonts w:ascii="Times New Roman" w:hAnsi="Times New Roman" w:cs="Times New Roman"/>
              <w:noProof/>
              <w:sz w:val="24"/>
              <w:szCs w:val="24"/>
            </w:rPr>
          </w:pPr>
          <w:hyperlink w:anchor="_Toc120899868" w:history="1">
            <w:r w:rsidR="00B51F55" w:rsidRPr="00B51F55">
              <w:rPr>
                <w:rStyle w:val="Hyperlink"/>
                <w:rFonts w:ascii="Times New Roman" w:hAnsi="Times New Roman" w:cs="Times New Roman"/>
                <w:noProof/>
                <w:sz w:val="24"/>
                <w:szCs w:val="24"/>
              </w:rPr>
              <w:t>Social Media Activity</w:t>
            </w:r>
            <w:r w:rsidR="00B51F55" w:rsidRPr="00B51F55">
              <w:rPr>
                <w:rFonts w:ascii="Times New Roman" w:hAnsi="Times New Roman" w:cs="Times New Roman"/>
                <w:noProof/>
                <w:webHidden/>
                <w:sz w:val="24"/>
                <w:szCs w:val="24"/>
              </w:rPr>
              <w:tab/>
            </w:r>
            <w:r w:rsidR="00B51F55" w:rsidRPr="00B51F55">
              <w:rPr>
                <w:rFonts w:ascii="Times New Roman" w:hAnsi="Times New Roman" w:cs="Times New Roman"/>
                <w:noProof/>
                <w:webHidden/>
                <w:sz w:val="24"/>
                <w:szCs w:val="24"/>
              </w:rPr>
              <w:fldChar w:fldCharType="begin"/>
            </w:r>
            <w:r w:rsidR="00B51F55" w:rsidRPr="00B51F55">
              <w:rPr>
                <w:rFonts w:ascii="Times New Roman" w:hAnsi="Times New Roman" w:cs="Times New Roman"/>
                <w:noProof/>
                <w:webHidden/>
                <w:sz w:val="24"/>
                <w:szCs w:val="24"/>
              </w:rPr>
              <w:instrText xml:space="preserve"> PAGEREF _Toc120899868 \h </w:instrText>
            </w:r>
            <w:r w:rsidR="00B51F55" w:rsidRPr="00B51F55">
              <w:rPr>
                <w:rFonts w:ascii="Times New Roman" w:hAnsi="Times New Roman" w:cs="Times New Roman"/>
                <w:noProof/>
                <w:webHidden/>
                <w:sz w:val="24"/>
                <w:szCs w:val="24"/>
              </w:rPr>
            </w:r>
            <w:r w:rsidR="00B51F55" w:rsidRPr="00B51F55">
              <w:rPr>
                <w:rFonts w:ascii="Times New Roman" w:hAnsi="Times New Roman" w:cs="Times New Roman"/>
                <w:noProof/>
                <w:webHidden/>
                <w:sz w:val="24"/>
                <w:szCs w:val="24"/>
              </w:rPr>
              <w:fldChar w:fldCharType="separate"/>
            </w:r>
            <w:r w:rsidR="00B51F55" w:rsidRPr="00B51F55">
              <w:rPr>
                <w:rFonts w:ascii="Times New Roman" w:hAnsi="Times New Roman" w:cs="Times New Roman"/>
                <w:noProof/>
                <w:webHidden/>
                <w:sz w:val="24"/>
                <w:szCs w:val="24"/>
              </w:rPr>
              <w:t>4</w:t>
            </w:r>
            <w:r w:rsidR="00B51F55" w:rsidRPr="00B51F55">
              <w:rPr>
                <w:rFonts w:ascii="Times New Roman" w:hAnsi="Times New Roman" w:cs="Times New Roman"/>
                <w:noProof/>
                <w:webHidden/>
                <w:sz w:val="24"/>
                <w:szCs w:val="24"/>
              </w:rPr>
              <w:fldChar w:fldCharType="end"/>
            </w:r>
          </w:hyperlink>
        </w:p>
        <w:p w14:paraId="11E1C646" w14:textId="77777777" w:rsidR="00B51F55" w:rsidRPr="00B51F55" w:rsidRDefault="00017658" w:rsidP="008A067C">
          <w:pPr>
            <w:pStyle w:val="TOC2"/>
            <w:tabs>
              <w:tab w:val="right" w:leader="dot" w:pos="9350"/>
            </w:tabs>
            <w:spacing w:line="360" w:lineRule="auto"/>
            <w:jc w:val="both"/>
            <w:rPr>
              <w:rFonts w:ascii="Times New Roman" w:hAnsi="Times New Roman" w:cs="Times New Roman"/>
              <w:noProof/>
              <w:sz w:val="24"/>
              <w:szCs w:val="24"/>
            </w:rPr>
          </w:pPr>
          <w:hyperlink w:anchor="_Toc120899869" w:history="1">
            <w:r w:rsidR="00B51F55" w:rsidRPr="00B51F55">
              <w:rPr>
                <w:rStyle w:val="Hyperlink"/>
                <w:rFonts w:ascii="Times New Roman" w:hAnsi="Times New Roman" w:cs="Times New Roman"/>
                <w:noProof/>
                <w:sz w:val="24"/>
                <w:szCs w:val="24"/>
              </w:rPr>
              <w:t>Reflection</w:t>
            </w:r>
            <w:r w:rsidR="00B51F55" w:rsidRPr="00B51F55">
              <w:rPr>
                <w:rFonts w:ascii="Times New Roman" w:hAnsi="Times New Roman" w:cs="Times New Roman"/>
                <w:noProof/>
                <w:webHidden/>
                <w:sz w:val="24"/>
                <w:szCs w:val="24"/>
              </w:rPr>
              <w:tab/>
            </w:r>
            <w:r w:rsidR="00B51F55" w:rsidRPr="00B51F55">
              <w:rPr>
                <w:rFonts w:ascii="Times New Roman" w:hAnsi="Times New Roman" w:cs="Times New Roman"/>
                <w:noProof/>
                <w:webHidden/>
                <w:sz w:val="24"/>
                <w:szCs w:val="24"/>
              </w:rPr>
              <w:fldChar w:fldCharType="begin"/>
            </w:r>
            <w:r w:rsidR="00B51F55" w:rsidRPr="00B51F55">
              <w:rPr>
                <w:rFonts w:ascii="Times New Roman" w:hAnsi="Times New Roman" w:cs="Times New Roman"/>
                <w:noProof/>
                <w:webHidden/>
                <w:sz w:val="24"/>
                <w:szCs w:val="24"/>
              </w:rPr>
              <w:instrText xml:space="preserve"> PAGEREF _Toc120899869 \h </w:instrText>
            </w:r>
            <w:r w:rsidR="00B51F55" w:rsidRPr="00B51F55">
              <w:rPr>
                <w:rFonts w:ascii="Times New Roman" w:hAnsi="Times New Roman" w:cs="Times New Roman"/>
                <w:noProof/>
                <w:webHidden/>
                <w:sz w:val="24"/>
                <w:szCs w:val="24"/>
              </w:rPr>
            </w:r>
            <w:r w:rsidR="00B51F55" w:rsidRPr="00B51F55">
              <w:rPr>
                <w:rFonts w:ascii="Times New Roman" w:hAnsi="Times New Roman" w:cs="Times New Roman"/>
                <w:noProof/>
                <w:webHidden/>
                <w:sz w:val="24"/>
                <w:szCs w:val="24"/>
              </w:rPr>
              <w:fldChar w:fldCharType="separate"/>
            </w:r>
            <w:r w:rsidR="00B51F55" w:rsidRPr="00B51F55">
              <w:rPr>
                <w:rFonts w:ascii="Times New Roman" w:hAnsi="Times New Roman" w:cs="Times New Roman"/>
                <w:noProof/>
                <w:webHidden/>
                <w:sz w:val="24"/>
                <w:szCs w:val="24"/>
              </w:rPr>
              <w:t>5</w:t>
            </w:r>
            <w:r w:rsidR="00B51F55" w:rsidRPr="00B51F55">
              <w:rPr>
                <w:rFonts w:ascii="Times New Roman" w:hAnsi="Times New Roman" w:cs="Times New Roman"/>
                <w:noProof/>
                <w:webHidden/>
                <w:sz w:val="24"/>
                <w:szCs w:val="24"/>
              </w:rPr>
              <w:fldChar w:fldCharType="end"/>
            </w:r>
          </w:hyperlink>
        </w:p>
        <w:p w14:paraId="1D80346A" w14:textId="77777777" w:rsidR="00B51F55" w:rsidRPr="00B51F55" w:rsidRDefault="00017658" w:rsidP="008A067C">
          <w:pPr>
            <w:pStyle w:val="TOC1"/>
            <w:tabs>
              <w:tab w:val="right" w:leader="dot" w:pos="9350"/>
            </w:tabs>
            <w:spacing w:line="360" w:lineRule="auto"/>
            <w:jc w:val="both"/>
            <w:rPr>
              <w:rFonts w:ascii="Times New Roman" w:hAnsi="Times New Roman" w:cs="Times New Roman"/>
              <w:noProof/>
              <w:sz w:val="24"/>
              <w:szCs w:val="24"/>
            </w:rPr>
          </w:pPr>
          <w:hyperlink w:anchor="_Toc120899870" w:history="1">
            <w:r w:rsidR="00B51F55" w:rsidRPr="00B51F55">
              <w:rPr>
                <w:rStyle w:val="Hyperlink"/>
                <w:rFonts w:ascii="Times New Roman" w:hAnsi="Times New Roman" w:cs="Times New Roman"/>
                <w:noProof/>
                <w:sz w:val="24"/>
                <w:szCs w:val="24"/>
              </w:rPr>
              <w:t>Conclusion</w:t>
            </w:r>
            <w:r w:rsidR="00B51F55" w:rsidRPr="00B51F55">
              <w:rPr>
                <w:rFonts w:ascii="Times New Roman" w:hAnsi="Times New Roman" w:cs="Times New Roman"/>
                <w:noProof/>
                <w:webHidden/>
                <w:sz w:val="24"/>
                <w:szCs w:val="24"/>
              </w:rPr>
              <w:tab/>
            </w:r>
            <w:r w:rsidR="00B51F55" w:rsidRPr="00B51F55">
              <w:rPr>
                <w:rFonts w:ascii="Times New Roman" w:hAnsi="Times New Roman" w:cs="Times New Roman"/>
                <w:noProof/>
                <w:webHidden/>
                <w:sz w:val="24"/>
                <w:szCs w:val="24"/>
              </w:rPr>
              <w:fldChar w:fldCharType="begin"/>
            </w:r>
            <w:r w:rsidR="00B51F55" w:rsidRPr="00B51F55">
              <w:rPr>
                <w:rFonts w:ascii="Times New Roman" w:hAnsi="Times New Roman" w:cs="Times New Roman"/>
                <w:noProof/>
                <w:webHidden/>
                <w:sz w:val="24"/>
                <w:szCs w:val="24"/>
              </w:rPr>
              <w:instrText xml:space="preserve"> PAGEREF _Toc120899870 \h </w:instrText>
            </w:r>
            <w:r w:rsidR="00B51F55" w:rsidRPr="00B51F55">
              <w:rPr>
                <w:rFonts w:ascii="Times New Roman" w:hAnsi="Times New Roman" w:cs="Times New Roman"/>
                <w:noProof/>
                <w:webHidden/>
                <w:sz w:val="24"/>
                <w:szCs w:val="24"/>
              </w:rPr>
            </w:r>
            <w:r w:rsidR="00B51F55" w:rsidRPr="00B51F55">
              <w:rPr>
                <w:rFonts w:ascii="Times New Roman" w:hAnsi="Times New Roman" w:cs="Times New Roman"/>
                <w:noProof/>
                <w:webHidden/>
                <w:sz w:val="24"/>
                <w:szCs w:val="24"/>
              </w:rPr>
              <w:fldChar w:fldCharType="separate"/>
            </w:r>
            <w:r w:rsidR="00B51F55" w:rsidRPr="00B51F55">
              <w:rPr>
                <w:rFonts w:ascii="Times New Roman" w:hAnsi="Times New Roman" w:cs="Times New Roman"/>
                <w:noProof/>
                <w:webHidden/>
                <w:sz w:val="24"/>
                <w:szCs w:val="24"/>
              </w:rPr>
              <w:t>7</w:t>
            </w:r>
            <w:r w:rsidR="00B51F55" w:rsidRPr="00B51F55">
              <w:rPr>
                <w:rFonts w:ascii="Times New Roman" w:hAnsi="Times New Roman" w:cs="Times New Roman"/>
                <w:noProof/>
                <w:webHidden/>
                <w:sz w:val="24"/>
                <w:szCs w:val="24"/>
              </w:rPr>
              <w:fldChar w:fldCharType="end"/>
            </w:r>
          </w:hyperlink>
        </w:p>
        <w:p w14:paraId="5A6776D6" w14:textId="77777777" w:rsidR="00B51F55" w:rsidRPr="00B51F55" w:rsidRDefault="00017658" w:rsidP="008A067C">
          <w:pPr>
            <w:pStyle w:val="TOC1"/>
            <w:tabs>
              <w:tab w:val="right" w:leader="dot" w:pos="9350"/>
            </w:tabs>
            <w:spacing w:line="360" w:lineRule="auto"/>
            <w:jc w:val="both"/>
            <w:rPr>
              <w:rFonts w:ascii="Times New Roman" w:hAnsi="Times New Roman" w:cs="Times New Roman"/>
              <w:noProof/>
              <w:sz w:val="24"/>
              <w:szCs w:val="24"/>
            </w:rPr>
          </w:pPr>
          <w:hyperlink w:anchor="_Toc120899871" w:history="1">
            <w:r w:rsidR="00B51F55" w:rsidRPr="00B51F55">
              <w:rPr>
                <w:rStyle w:val="Hyperlink"/>
                <w:rFonts w:ascii="Times New Roman" w:hAnsi="Times New Roman" w:cs="Times New Roman"/>
                <w:noProof/>
                <w:sz w:val="24"/>
                <w:szCs w:val="24"/>
              </w:rPr>
              <w:t>Reference</w:t>
            </w:r>
            <w:r w:rsidR="00B51F55" w:rsidRPr="00B51F55">
              <w:rPr>
                <w:rFonts w:ascii="Times New Roman" w:hAnsi="Times New Roman" w:cs="Times New Roman"/>
                <w:noProof/>
                <w:webHidden/>
                <w:sz w:val="24"/>
                <w:szCs w:val="24"/>
              </w:rPr>
              <w:tab/>
            </w:r>
            <w:r w:rsidR="00B51F55" w:rsidRPr="00B51F55">
              <w:rPr>
                <w:rFonts w:ascii="Times New Roman" w:hAnsi="Times New Roman" w:cs="Times New Roman"/>
                <w:noProof/>
                <w:webHidden/>
                <w:sz w:val="24"/>
                <w:szCs w:val="24"/>
              </w:rPr>
              <w:fldChar w:fldCharType="begin"/>
            </w:r>
            <w:r w:rsidR="00B51F55" w:rsidRPr="00B51F55">
              <w:rPr>
                <w:rFonts w:ascii="Times New Roman" w:hAnsi="Times New Roman" w:cs="Times New Roman"/>
                <w:noProof/>
                <w:webHidden/>
                <w:sz w:val="24"/>
                <w:szCs w:val="24"/>
              </w:rPr>
              <w:instrText xml:space="preserve"> PAGEREF _Toc120899871 \h </w:instrText>
            </w:r>
            <w:r w:rsidR="00B51F55" w:rsidRPr="00B51F55">
              <w:rPr>
                <w:rFonts w:ascii="Times New Roman" w:hAnsi="Times New Roman" w:cs="Times New Roman"/>
                <w:noProof/>
                <w:webHidden/>
                <w:sz w:val="24"/>
                <w:szCs w:val="24"/>
              </w:rPr>
            </w:r>
            <w:r w:rsidR="00B51F55" w:rsidRPr="00B51F55">
              <w:rPr>
                <w:rFonts w:ascii="Times New Roman" w:hAnsi="Times New Roman" w:cs="Times New Roman"/>
                <w:noProof/>
                <w:webHidden/>
                <w:sz w:val="24"/>
                <w:szCs w:val="24"/>
              </w:rPr>
              <w:fldChar w:fldCharType="separate"/>
            </w:r>
            <w:r w:rsidR="00B51F55" w:rsidRPr="00B51F55">
              <w:rPr>
                <w:rFonts w:ascii="Times New Roman" w:hAnsi="Times New Roman" w:cs="Times New Roman"/>
                <w:noProof/>
                <w:webHidden/>
                <w:sz w:val="24"/>
                <w:szCs w:val="24"/>
              </w:rPr>
              <w:t>8</w:t>
            </w:r>
            <w:r w:rsidR="00B51F55" w:rsidRPr="00B51F55">
              <w:rPr>
                <w:rFonts w:ascii="Times New Roman" w:hAnsi="Times New Roman" w:cs="Times New Roman"/>
                <w:noProof/>
                <w:webHidden/>
                <w:sz w:val="24"/>
                <w:szCs w:val="24"/>
              </w:rPr>
              <w:fldChar w:fldCharType="end"/>
            </w:r>
          </w:hyperlink>
        </w:p>
        <w:p w14:paraId="4E46CFA6" w14:textId="77777777" w:rsidR="00B51F55" w:rsidRDefault="00B51F55" w:rsidP="008A067C">
          <w:pPr>
            <w:spacing w:line="360" w:lineRule="auto"/>
            <w:jc w:val="both"/>
          </w:pPr>
          <w:r w:rsidRPr="00B51F55">
            <w:rPr>
              <w:rFonts w:ascii="Times New Roman" w:hAnsi="Times New Roman" w:cs="Times New Roman"/>
              <w:b/>
              <w:bCs/>
              <w:noProof/>
              <w:sz w:val="24"/>
              <w:szCs w:val="24"/>
            </w:rPr>
            <w:fldChar w:fldCharType="end"/>
          </w:r>
        </w:p>
      </w:sdtContent>
    </w:sdt>
    <w:p w14:paraId="0D990054" w14:textId="77777777" w:rsidR="00767099" w:rsidRDefault="00767099" w:rsidP="008A067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41AE5502" w14:textId="77777777" w:rsidR="008B08D6" w:rsidRDefault="00683726" w:rsidP="008A067C">
      <w:pPr>
        <w:pStyle w:val="Heading1"/>
      </w:pPr>
      <w:bookmarkStart w:id="0" w:name="_Toc120899864"/>
      <w:r>
        <w:t>Introduction</w:t>
      </w:r>
      <w:bookmarkEnd w:id="0"/>
    </w:p>
    <w:p w14:paraId="57FFF3EF" w14:textId="77777777" w:rsidR="008B08D6" w:rsidRDefault="00683726" w:rsidP="008A067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essay has been conducted in order to achieve a better idea regarding the commonwealth games that has been held in Birmingham in 2022. The community engagement process has been discussed in this study can be helpful for understanding the strategies that have been followed in the games. The impact of using the social media platform in order to achieve a better engagement of the stakeholders for the commonwealth games has also been discussed in this essay, which can be effective in providing a brief idea regarding the social and economic development of the games. Community development and inclusion have also been discussed in the study, which can be able to provide a better understanding of the impact of the game. </w:t>
      </w:r>
    </w:p>
    <w:p w14:paraId="113DF93C" w14:textId="77777777" w:rsidR="008B08D6" w:rsidRDefault="00683726" w:rsidP="008A067C">
      <w:pPr>
        <w:pStyle w:val="Heading1"/>
      </w:pPr>
      <w:bookmarkStart w:id="1" w:name="_Toc120899865"/>
      <w:r>
        <w:t>Body</w:t>
      </w:r>
      <w:bookmarkEnd w:id="1"/>
    </w:p>
    <w:p w14:paraId="118F2B5F" w14:textId="77777777" w:rsidR="008B08D6" w:rsidRDefault="00F46C2A" w:rsidP="008A067C">
      <w:pPr>
        <w:pStyle w:val="Heading2"/>
      </w:pPr>
      <w:bookmarkStart w:id="2" w:name="_Toc120899866"/>
      <w:r>
        <w:t>Stakeholder’s</w:t>
      </w:r>
      <w:r w:rsidR="00683726">
        <w:t xml:space="preserve"> participation</w:t>
      </w:r>
      <w:bookmarkEnd w:id="2"/>
    </w:p>
    <w:p w14:paraId="3C7F944F" w14:textId="77777777" w:rsidR="008B08D6" w:rsidRDefault="00683726" w:rsidP="008A067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July 28 to August 8, 2022, Birmingham, England hosted the “XXII Commonwealth Games”, which is also known as Birmingham 2022, a worldwide multi-sport competition for competitors from the Commonwealth of Nations. On December 21, 2017, Birmingham was chosen to serve as the event's host city (</w:t>
      </w:r>
      <w:proofErr w:type="spellStart"/>
      <w:r>
        <w:rPr>
          <w:rFonts w:ascii="Times New Roman" w:eastAsia="Times New Roman" w:hAnsi="Times New Roman" w:cs="Times New Roman"/>
          <w:color w:val="222222"/>
          <w:sz w:val="24"/>
          <w:szCs w:val="24"/>
          <w:highlight w:val="white"/>
        </w:rPr>
        <w:t>Anggraeni</w:t>
      </w:r>
      <w:proofErr w:type="spellEnd"/>
      <w:r>
        <w:rPr>
          <w:rFonts w:ascii="Times New Roman" w:eastAsia="Times New Roman" w:hAnsi="Times New Roman" w:cs="Times New Roman"/>
          <w:color w:val="222222"/>
          <w:sz w:val="24"/>
          <w:szCs w:val="24"/>
          <w:highlight w:val="white"/>
        </w:rPr>
        <w:t xml:space="preserve">, Gupta and </w:t>
      </w:r>
      <w:proofErr w:type="spellStart"/>
      <w:r>
        <w:rPr>
          <w:rFonts w:ascii="Times New Roman" w:eastAsia="Times New Roman" w:hAnsi="Times New Roman" w:cs="Times New Roman"/>
          <w:color w:val="222222"/>
          <w:sz w:val="24"/>
          <w:szCs w:val="24"/>
          <w:highlight w:val="white"/>
        </w:rPr>
        <w:t>Verrest</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The games were held in England for the third time. The Games were the largest ever held, with more than 1.3 million tickets sold and 72 participant nations. Due to the concurrent para competition, this was the first tournament when there were more events geared toward women than toward men. The West Midlands also hosted a number of commercial events and a cultural festival throughout the Games. Additionally, there was an esports event. Then, impacted marketers and merchants may request authorization from the organizing committee for free. Each request for authorization to advertise or conduct business will be considered separately. After being informed of the regulations and the specifics of the approval process in early December 2021, advertisers and merchants will be able to submit requests for authorization beginning in January 2022. Where and when these measures will go into effect are shown in the table below. These restrictions are only in place for a short while. The 2022 Commonwealth Games were held in Birmingham in July and August (</w:t>
      </w:r>
      <w:r>
        <w:rPr>
          <w:rFonts w:ascii="Times New Roman" w:eastAsia="Times New Roman" w:hAnsi="Times New Roman" w:cs="Times New Roman"/>
          <w:color w:val="222222"/>
          <w:sz w:val="24"/>
          <w:szCs w:val="24"/>
          <w:highlight w:val="white"/>
        </w:rPr>
        <w:t>Ma et al. 2020</w:t>
      </w:r>
      <w:r>
        <w:rPr>
          <w:rFonts w:ascii="Times New Roman" w:eastAsia="Times New Roman" w:hAnsi="Times New Roman" w:cs="Times New Roman"/>
          <w:sz w:val="24"/>
          <w:szCs w:val="24"/>
        </w:rPr>
        <w:t>). It was the biggest multisport event ever hosted in the West Midlands and the biggest event in England since the Olympic and Paralympic Games in London in 2012. The 14,000 volunteers—often referred to as the "Commonwealth Collective"—became known as unsung heroes and were recognized as being essential to the great Games' success. The 14,000 volunteers in Birmingham outnumbered the thousands of exceptional athletes who competed in front of more than 1.5 million spectators due to the COVID-19 pandemic.</w:t>
      </w:r>
    </w:p>
    <w:p w14:paraId="05696867" w14:textId="77777777" w:rsidR="008B08D6" w:rsidRDefault="00683726" w:rsidP="008A067C">
      <w:pPr>
        <w:pStyle w:val="Heading2"/>
      </w:pPr>
      <w:bookmarkStart w:id="3" w:name="_Toc120899867"/>
      <w:r>
        <w:t>Engagement Principle</w:t>
      </w:r>
      <w:bookmarkEnd w:id="3"/>
    </w:p>
    <w:p w14:paraId="37D6F8C2" w14:textId="77777777" w:rsidR="008B08D6" w:rsidRDefault="00683726" w:rsidP="008A067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conditions for planning and carrying out 2022 were incredibly unusual. It was extremely difficult to locate, hire, retain, and educate the 50,000 personnel required to stage the Games due to the ongoing destruction. We might have been cut off from society at its worst by the epidemic. We were motivated by Birmingham 2022's potential to develop a volunteer initiative that would use sport to unite thousands of people while also assembling a team that could compete on a global level. Birmingham The 2022 Games were never meant to be a two-week competition; rather, they were meant to be open to everybody (</w:t>
      </w:r>
      <w:proofErr w:type="spellStart"/>
      <w:r>
        <w:rPr>
          <w:rFonts w:ascii="Times New Roman" w:eastAsia="Times New Roman" w:hAnsi="Times New Roman" w:cs="Times New Roman"/>
          <w:color w:val="222222"/>
          <w:sz w:val="24"/>
          <w:szCs w:val="24"/>
          <w:highlight w:val="white"/>
        </w:rPr>
        <w:t>Gelmon</w:t>
      </w:r>
      <w:proofErr w:type="spellEnd"/>
      <w:r>
        <w:rPr>
          <w:rFonts w:ascii="Times New Roman" w:eastAsia="Times New Roman" w:hAnsi="Times New Roman" w:cs="Times New Roman"/>
          <w:color w:val="222222"/>
          <w:sz w:val="24"/>
          <w:szCs w:val="24"/>
          <w:highlight w:val="white"/>
        </w:rPr>
        <w:t>, Holland and Spring, 2018</w:t>
      </w:r>
      <w:r>
        <w:rPr>
          <w:rFonts w:ascii="Times New Roman" w:eastAsia="Times New Roman" w:hAnsi="Times New Roman" w:cs="Times New Roman"/>
          <w:sz w:val="24"/>
          <w:szCs w:val="24"/>
        </w:rPr>
        <w:t xml:space="preserve">). We were required to perform unpaid work in order to represent all host communities. Diversity, inclusion, and equality In 2022, host the Olympics in a location that truly encompasses the entire earth. </w:t>
      </w:r>
    </w:p>
    <w:p w14:paraId="4D11ECF0" w14:textId="77777777" w:rsidR="008B08D6" w:rsidRDefault="00683726" w:rsidP="008A067C">
      <w:pPr>
        <w:pStyle w:val="Heading2"/>
      </w:pPr>
      <w:bookmarkStart w:id="4" w:name="_Toc120899868"/>
      <w:r>
        <w:t>Social Media Activity</w:t>
      </w:r>
      <w:bookmarkEnd w:id="4"/>
    </w:p>
    <w:p w14:paraId="43BB9173" w14:textId="77777777" w:rsidR="008B08D6" w:rsidRDefault="00683726" w:rsidP="008A067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Attract, employ, train, and provide the right number of volunteers at the right time to meet the needs of the Games. By utilizing ideas from B2022, we can assist tens of thousands of people in getting closer to education and employment. Our preferred method for managing employe</w:t>
      </w:r>
      <w:r w:rsidR="00B51F55">
        <w:rPr>
          <w:rFonts w:ascii="Times New Roman" w:eastAsia="Times New Roman" w:hAnsi="Times New Roman" w:cs="Times New Roman"/>
          <w:sz w:val="24"/>
          <w:szCs w:val="24"/>
        </w:rPr>
        <w:t>es</w:t>
      </w:r>
      <w:r>
        <w:rPr>
          <w:rFonts w:ascii="Times New Roman" w:eastAsia="Times New Roman" w:hAnsi="Times New Roman" w:cs="Times New Roman"/>
          <w:sz w:val="24"/>
          <w:szCs w:val="24"/>
        </w:rPr>
        <w:t>, was used to launch the Volunteer Program. 14 months before the beginning of the Games (</w:t>
      </w:r>
      <w:proofErr w:type="spellStart"/>
      <w:r>
        <w:rPr>
          <w:rFonts w:ascii="Times New Roman" w:eastAsia="Times New Roman" w:hAnsi="Times New Roman" w:cs="Times New Roman"/>
          <w:color w:val="222222"/>
          <w:sz w:val="24"/>
          <w:szCs w:val="24"/>
          <w:highlight w:val="white"/>
        </w:rPr>
        <w:t>Keles</w:t>
      </w:r>
      <w:proofErr w:type="spellEnd"/>
      <w:r>
        <w:rPr>
          <w:rFonts w:ascii="Times New Roman" w:eastAsia="Times New Roman" w:hAnsi="Times New Roman" w:cs="Times New Roman"/>
          <w:color w:val="222222"/>
          <w:sz w:val="24"/>
          <w:szCs w:val="24"/>
          <w:highlight w:val="white"/>
        </w:rPr>
        <w:t xml:space="preserve">, McCrae and </w:t>
      </w:r>
      <w:proofErr w:type="spellStart"/>
      <w:r>
        <w:rPr>
          <w:rFonts w:ascii="Times New Roman" w:eastAsia="Times New Roman" w:hAnsi="Times New Roman" w:cs="Times New Roman"/>
          <w:color w:val="222222"/>
          <w:sz w:val="24"/>
          <w:szCs w:val="24"/>
          <w:highlight w:val="white"/>
        </w:rPr>
        <w:t>Grealish</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It was crucial to set the tone and criteria by which the organizing committee would deliver the Games because it was the first time the Games concept had been made public. After a successful regional and national marketing campaign, months of prepared public interaction with local governments, educational institutions, Games partners, and hundreds of community organizations and forums, the volunteer registration process attracted 41,686 people (</w:t>
      </w:r>
      <w:proofErr w:type="spellStart"/>
      <w:r>
        <w:rPr>
          <w:rFonts w:ascii="Times New Roman" w:eastAsia="Times New Roman" w:hAnsi="Times New Roman" w:cs="Times New Roman"/>
          <w:color w:val="222222"/>
          <w:sz w:val="24"/>
          <w:szCs w:val="24"/>
          <w:highlight w:val="white"/>
        </w:rPr>
        <w:t>Keles</w:t>
      </w:r>
      <w:proofErr w:type="spellEnd"/>
      <w:r>
        <w:rPr>
          <w:rFonts w:ascii="Times New Roman" w:eastAsia="Times New Roman" w:hAnsi="Times New Roman" w:cs="Times New Roman"/>
          <w:color w:val="222222"/>
          <w:sz w:val="24"/>
          <w:szCs w:val="24"/>
          <w:highlight w:val="white"/>
        </w:rPr>
        <w:t xml:space="preserve"> McCrae and </w:t>
      </w:r>
      <w:proofErr w:type="spellStart"/>
      <w:r>
        <w:rPr>
          <w:rFonts w:ascii="Times New Roman" w:eastAsia="Times New Roman" w:hAnsi="Times New Roman" w:cs="Times New Roman"/>
          <w:color w:val="222222"/>
          <w:sz w:val="24"/>
          <w:szCs w:val="24"/>
          <w:highlight w:val="white"/>
        </w:rPr>
        <w:t>Grealish</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An international online orientation that brought together all volunteers remotely and was televised live introduced the general public and media to the Games uniform. To help forge the crucial links between venue staff, volunteers, and organizing committee staff, a new training program was created for all employees. Additionally, vital preparation techniques were given (recognizing that for so long, so many have worked remotely from home). Over 200,000 volunteer housing units will acquire their uniforms for the Games right now. When paired with the orientation broadcast, this resulted in time and money savings by preventing the need for each volunteer to make two trips to Birmingham. The Commonwealth Games' most comprehensive contractor integration program ever emphasized the importance of working together as a unified team and included contractors in the "recognition" program. These all were part of effective measures that made sure 40,000 residents had access to employment and educational opportunities (</w:t>
      </w:r>
      <w:r>
        <w:rPr>
          <w:rFonts w:ascii="Times New Roman" w:eastAsia="Times New Roman" w:hAnsi="Times New Roman" w:cs="Times New Roman"/>
          <w:color w:val="222222"/>
          <w:sz w:val="24"/>
          <w:szCs w:val="24"/>
          <w:highlight w:val="white"/>
        </w:rPr>
        <w:t>Duz Tan and Tas, 2021</w:t>
      </w:r>
      <w:r>
        <w:rPr>
          <w:rFonts w:ascii="Times New Roman" w:eastAsia="Times New Roman" w:hAnsi="Times New Roman" w:cs="Times New Roman"/>
          <w:sz w:val="24"/>
          <w:szCs w:val="24"/>
        </w:rPr>
        <w:t xml:space="preserve">). Many more businesses will be prepared to capitalize on the enthusiasm and upbeat atmosphere surrounding the 2017 Commonwealth Games in Birmingham in order to promote the event and fortify ties with both current and new clients. </w:t>
      </w:r>
    </w:p>
    <w:p w14:paraId="0DC7AF97" w14:textId="77777777" w:rsidR="008B08D6" w:rsidRDefault="00683726" w:rsidP="008A067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78961521" wp14:editId="30B578E4">
            <wp:extent cx="4572000" cy="44481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572000" cy="4448175"/>
                    </a:xfrm>
                    <a:prstGeom prst="rect">
                      <a:avLst/>
                    </a:prstGeom>
                  </pic:spPr>
                </pic:pic>
              </a:graphicData>
            </a:graphic>
          </wp:inline>
        </w:drawing>
      </w:r>
    </w:p>
    <w:p w14:paraId="40A7D9EB" w14:textId="77777777" w:rsidR="008B08D6" w:rsidRDefault="00683726" w:rsidP="008A067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Impact of Commonwealth games 2022</w:t>
      </w:r>
    </w:p>
    <w:p w14:paraId="025FF0B4" w14:textId="77777777" w:rsidR="008B08D6" w:rsidRDefault="00683726" w:rsidP="008A067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Tian and Tung, 2022</w:t>
      </w:r>
      <w:r>
        <w:rPr>
          <w:rFonts w:ascii="Times New Roman" w:eastAsia="Times New Roman" w:hAnsi="Times New Roman" w:cs="Times New Roman"/>
          <w:sz w:val="24"/>
          <w:szCs w:val="24"/>
        </w:rPr>
        <w:t xml:space="preserve"> )</w:t>
      </w:r>
    </w:p>
    <w:p w14:paraId="35A1E52F" w14:textId="77777777" w:rsidR="008B08D6" w:rsidRDefault="00683726" w:rsidP="008A067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Sponsors may have pledged to cover the cost of the event for a week, a month, or perhaps the entire year (</w:t>
      </w:r>
      <w:proofErr w:type="spellStart"/>
      <w:r>
        <w:rPr>
          <w:rFonts w:ascii="Times New Roman" w:eastAsia="Times New Roman" w:hAnsi="Times New Roman" w:cs="Times New Roman"/>
          <w:color w:val="222222"/>
          <w:sz w:val="24"/>
          <w:szCs w:val="24"/>
          <w:highlight w:val="white"/>
        </w:rPr>
        <w:t>Muninger</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Hammedi</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Mahr</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But there are rules that specify what companies in this sector can and cannot do. Here, we review the issues and offer guidance on the key "does and don'ts." Similar to the Olympic Games, local governments are permitted to submit bids to host the Commonwealth Games, but only if rules are in place that provides the Games administration the authority to restrict misuse of official terminology and insignia, particularly those associated with the Games. To safeguard the value and exclusivity of sponsorship for official Games partners, this is done. The complex rules for the 2022 Commonwealth Games are laid out in the Birmingham Commonwealth Games Act 2020 (</w:t>
      </w:r>
      <w:proofErr w:type="spellStart"/>
      <w:r>
        <w:rPr>
          <w:rFonts w:ascii="Times New Roman" w:eastAsia="Times New Roman" w:hAnsi="Times New Roman" w:cs="Times New Roman"/>
          <w:color w:val="222222"/>
          <w:sz w:val="24"/>
          <w:szCs w:val="24"/>
          <w:highlight w:val="white"/>
        </w:rPr>
        <w:t>Bhati</w:t>
      </w:r>
      <w:proofErr w:type="spellEnd"/>
      <w:r>
        <w:rPr>
          <w:rFonts w:ascii="Times New Roman" w:eastAsia="Times New Roman" w:hAnsi="Times New Roman" w:cs="Times New Roman"/>
          <w:color w:val="222222"/>
          <w:sz w:val="24"/>
          <w:szCs w:val="24"/>
          <w:highlight w:val="white"/>
        </w:rPr>
        <w:t xml:space="preserve"> and McDonnell, 2020</w:t>
      </w:r>
      <w:r>
        <w:rPr>
          <w:rFonts w:ascii="Times New Roman" w:eastAsia="Times New Roman" w:hAnsi="Times New Roman" w:cs="Times New Roman"/>
          <w:sz w:val="24"/>
          <w:szCs w:val="24"/>
        </w:rPr>
        <w:t>). Dealers are generally forbidden from "making any representation (of any type) in a manner likely to convey to the public that there is a relationship between the Games."</w:t>
      </w:r>
    </w:p>
    <w:p w14:paraId="1EE213F8" w14:textId="77777777" w:rsidR="008B08D6" w:rsidRDefault="00683726" w:rsidP="008A067C">
      <w:pPr>
        <w:pStyle w:val="Heading2"/>
      </w:pPr>
      <w:bookmarkStart w:id="5" w:name="_Toc120899869"/>
      <w:r>
        <w:t>Reflection</w:t>
      </w:r>
      <w:bookmarkEnd w:id="5"/>
    </w:p>
    <w:p w14:paraId="6224DE0B" w14:textId="77777777" w:rsidR="008B08D6" w:rsidRDefault="00683726" w:rsidP="008A067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commonwealth games have a high effect on community development that includes the process to follow proper maintenance of the rules and regulations. In order to achieve a better understanding of discrimination in the local area, I have used the research and development process, which can be effective in maintaining the sustainability of the environment (</w:t>
      </w:r>
      <w:r>
        <w:rPr>
          <w:rFonts w:ascii="Times New Roman" w:eastAsia="Times New Roman" w:hAnsi="Times New Roman" w:cs="Times New Roman"/>
          <w:color w:val="222222"/>
          <w:sz w:val="24"/>
          <w:szCs w:val="24"/>
          <w:highlight w:val="white"/>
        </w:rPr>
        <w:t>Verhoef et al. 2021</w:t>
      </w:r>
      <w:r>
        <w:rPr>
          <w:rFonts w:ascii="Times New Roman" w:eastAsia="Times New Roman" w:hAnsi="Times New Roman" w:cs="Times New Roman"/>
          <w:sz w:val="24"/>
          <w:szCs w:val="24"/>
        </w:rPr>
        <w:t xml:space="preserve">). Although neither term is defined in the act, the terms "representation" and "association" are frequently used interchangeably. "Association" includes sponsorships and other items that show a financial link with the game organizers. "Representation" refers to everything done to advertise goods or services. The Act offers the Games </w:t>
      </w:r>
      <w:proofErr w:type="spellStart"/>
      <w:r>
        <w:rPr>
          <w:rFonts w:ascii="Times New Roman" w:eastAsia="Times New Roman" w:hAnsi="Times New Roman" w:cs="Times New Roman"/>
          <w:sz w:val="24"/>
          <w:szCs w:val="24"/>
        </w:rPr>
        <w:t>Organising</w:t>
      </w:r>
      <w:proofErr w:type="spellEnd"/>
      <w:r>
        <w:rPr>
          <w:rFonts w:ascii="Times New Roman" w:eastAsia="Times New Roman" w:hAnsi="Times New Roman" w:cs="Times New Roman"/>
          <w:sz w:val="24"/>
          <w:szCs w:val="24"/>
        </w:rPr>
        <w:t xml:space="preserve"> Committee a lot of legal </w:t>
      </w:r>
      <w:proofErr w:type="spellStart"/>
      <w:r>
        <w:rPr>
          <w:rFonts w:ascii="Times New Roman" w:eastAsia="Times New Roman" w:hAnsi="Times New Roman" w:cs="Times New Roman"/>
          <w:sz w:val="24"/>
          <w:szCs w:val="24"/>
        </w:rPr>
        <w:t>leeways</w:t>
      </w:r>
      <w:proofErr w:type="spellEnd"/>
      <w:r>
        <w:rPr>
          <w:rFonts w:ascii="Times New Roman" w:eastAsia="Times New Roman" w:hAnsi="Times New Roman" w:cs="Times New Roman"/>
          <w:sz w:val="24"/>
          <w:szCs w:val="24"/>
        </w:rPr>
        <w:t xml:space="preserve"> to take legal action against behavior that violates the rules because it is unclear what, in terms of language or content, constitutes a "representation." There are a few acknowledged exceptions, such as reporting on an event that takes place during the Games or sharing information about the Games, but they are rare and do not apply when such acts are reported by the media to promote something other than the Games (</w:t>
      </w:r>
      <w:proofErr w:type="spellStart"/>
      <w:r>
        <w:rPr>
          <w:rFonts w:ascii="Times New Roman" w:eastAsia="Times New Roman" w:hAnsi="Times New Roman" w:cs="Times New Roman"/>
          <w:color w:val="222222"/>
          <w:sz w:val="24"/>
          <w:szCs w:val="24"/>
          <w:highlight w:val="white"/>
        </w:rPr>
        <w:t>Mansournia</w:t>
      </w:r>
      <w:proofErr w:type="spellEnd"/>
      <w:r>
        <w:rPr>
          <w:rFonts w:ascii="Times New Roman" w:eastAsia="Times New Roman" w:hAnsi="Times New Roman" w:cs="Times New Roman"/>
          <w:color w:val="222222"/>
          <w:sz w:val="24"/>
          <w:szCs w:val="24"/>
          <w:highlight w:val="white"/>
        </w:rPr>
        <w:t xml:space="preserve"> et al. 2021</w:t>
      </w:r>
      <w:r>
        <w:rPr>
          <w:rFonts w:ascii="Times New Roman" w:eastAsia="Times New Roman" w:hAnsi="Times New Roman" w:cs="Times New Roman"/>
          <w:sz w:val="24"/>
          <w:szCs w:val="24"/>
        </w:rPr>
        <w:t xml:space="preserve">). Therefore, the exclusions may still be applied if a company uses a report on the Games to sell its goods or services. The Birmingham 2022 Commonwealth Games </w:t>
      </w:r>
      <w:proofErr w:type="spellStart"/>
      <w:r>
        <w:rPr>
          <w:rFonts w:ascii="Times New Roman" w:eastAsia="Times New Roman" w:hAnsi="Times New Roman" w:cs="Times New Roman"/>
          <w:sz w:val="24"/>
          <w:szCs w:val="24"/>
        </w:rPr>
        <w:t>Organising</w:t>
      </w:r>
      <w:proofErr w:type="spellEnd"/>
      <w:r>
        <w:rPr>
          <w:rFonts w:ascii="Times New Roman" w:eastAsia="Times New Roman" w:hAnsi="Times New Roman" w:cs="Times New Roman"/>
          <w:sz w:val="24"/>
          <w:szCs w:val="24"/>
        </w:rPr>
        <w:t xml:space="preserve"> Committee will be in charge of putting the limits into action, so how they interpret the rules and deal with different proposals will have a significant impact on how they are actually enforced. They have provided guidance on this. This serves as a reminder that using terms like "Birmingham 2022," "B2022," and "United by Birmingham 2022" that are protected by the Birmingham 2022 trademark is Illegal. </w:t>
      </w:r>
    </w:p>
    <w:p w14:paraId="3B673ABE" w14:textId="77777777" w:rsidR="008B08D6" w:rsidRDefault="00683726" w:rsidP="008A067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Unless they have permission, traders should avoid using this terminology. </w:t>
      </w:r>
      <w:proofErr w:type="spellStart"/>
      <w:r>
        <w:rPr>
          <w:rFonts w:ascii="Times New Roman" w:eastAsia="Times New Roman" w:hAnsi="Times New Roman" w:cs="Times New Roman"/>
          <w:sz w:val="24"/>
          <w:szCs w:val="24"/>
        </w:rPr>
        <w:t>Gowling</w:t>
      </w:r>
      <w:proofErr w:type="spellEnd"/>
      <w:r>
        <w:rPr>
          <w:rFonts w:ascii="Times New Roman" w:eastAsia="Times New Roman" w:hAnsi="Times New Roman" w:cs="Times New Roman"/>
          <w:sz w:val="24"/>
          <w:szCs w:val="24"/>
        </w:rPr>
        <w:t xml:space="preserve"> WLG has enjoyed serving as the official legal counsel for the Birmingham 2022 Commonwealth Games. Last year, I so gladly agreed to take a job as a brand protection manager for nine months. The post required tight collaboration with many teams within the organizing committee. So whether it's to develop, exploit, and protect the Games' brand assets and marketing rights or to offer guidance on a variety of advertising law-related issues, Therefore, it is necessary to find solutions for Perry, the mascot, the start of the ticketing campaign, the OC's desired sustainable message, as well as other legal issues with advertising (</w:t>
      </w:r>
      <w:r>
        <w:rPr>
          <w:rFonts w:ascii="Times New Roman" w:eastAsia="Times New Roman" w:hAnsi="Times New Roman" w:cs="Times New Roman"/>
          <w:color w:val="222222"/>
          <w:sz w:val="24"/>
          <w:szCs w:val="24"/>
          <w:highlight w:val="white"/>
        </w:rPr>
        <w:t xml:space="preserve">Van </w:t>
      </w:r>
      <w:proofErr w:type="spellStart"/>
      <w:r>
        <w:rPr>
          <w:rFonts w:ascii="Times New Roman" w:eastAsia="Times New Roman" w:hAnsi="Times New Roman" w:cs="Times New Roman"/>
          <w:color w:val="222222"/>
          <w:sz w:val="24"/>
          <w:szCs w:val="24"/>
          <w:highlight w:val="white"/>
        </w:rPr>
        <w:t>Timmeren</w:t>
      </w:r>
      <w:proofErr w:type="spellEnd"/>
      <w:r>
        <w:rPr>
          <w:rFonts w:ascii="Times New Roman" w:eastAsia="Times New Roman" w:hAnsi="Times New Roman" w:cs="Times New Roman"/>
          <w:color w:val="222222"/>
          <w:sz w:val="24"/>
          <w:szCs w:val="24"/>
          <w:highlight w:val="white"/>
        </w:rPr>
        <w:t xml:space="preserve"> et al. 2020</w:t>
      </w:r>
      <w:r>
        <w:rPr>
          <w:rFonts w:ascii="Times New Roman" w:eastAsia="Times New Roman" w:hAnsi="Times New Roman" w:cs="Times New Roman"/>
          <w:sz w:val="24"/>
          <w:szCs w:val="24"/>
        </w:rPr>
        <w:t>). The Birmingham Commonwealth Games Advertising and Trading Regulations 2021, a piece of particular purpose secondary legislation, was another idea I completely endorsed for the government. These limitations maintain the joyous ambiance in the city center and all other Games areas while safeguarding the OC brand and the sponsors' property rights. Due to the way the law is being applied, there are restrictions on who may advertise and conduct business in the areas surrounding the Games, at the competition sites, in the neighborhoods where athletes live, and even within Birmingham City Centre. During consultations with local governments and other interested parties as part of the process of creating the regulations, the government specifically addressed the planned actions that would be covered by the law. I also spent a lot of time in the athlete villages, which served as the venues for the Games competitions.</w:t>
      </w:r>
    </w:p>
    <w:p w14:paraId="02455056" w14:textId="77777777" w:rsidR="008B08D6" w:rsidRDefault="00683726" w:rsidP="008A067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environmental concern has been considered by me in order to achieve a better process to maintain the carbon footprint of the game, along with the practice to maintain the ethics of the stakeholders during the commonwealth games held in Birmingham. I made a significant contribution to the rules' formulation, which also included the exclusions from the restrictions outlined in these laws. Additionally, I made rough maps that show precisely where these chores will be completed. Along with helping with the larger clearance process, I actually guided them through the clearing procedure both inside and outside the organizing committee (</w:t>
      </w:r>
      <w:proofErr w:type="spellStart"/>
      <w:r>
        <w:rPr>
          <w:rFonts w:ascii="Times New Roman" w:eastAsia="Times New Roman" w:hAnsi="Times New Roman" w:cs="Times New Roman"/>
          <w:color w:val="222222"/>
          <w:sz w:val="24"/>
          <w:szCs w:val="24"/>
          <w:highlight w:val="white"/>
        </w:rPr>
        <w:t>Plikusiene</w:t>
      </w:r>
      <w:proofErr w:type="spellEnd"/>
      <w:r>
        <w:rPr>
          <w:rFonts w:ascii="Times New Roman" w:eastAsia="Times New Roman" w:hAnsi="Times New Roman" w:cs="Times New Roman"/>
          <w:color w:val="222222"/>
          <w:sz w:val="24"/>
          <w:szCs w:val="24"/>
          <w:highlight w:val="white"/>
        </w:rPr>
        <w:t xml:space="preserve"> et al. 2021</w:t>
      </w:r>
      <w:r>
        <w:rPr>
          <w:rFonts w:ascii="Times New Roman" w:eastAsia="Times New Roman" w:hAnsi="Times New Roman" w:cs="Times New Roman"/>
          <w:sz w:val="24"/>
          <w:szCs w:val="24"/>
        </w:rPr>
        <w:t>). Since they are intended to protect and enhance both the Games brand and the exclusive rights of the sponsors, these restrictions had to be established before the Games ever started. I doubt I'll get the chance to work on the Commonwealth Games again anytime soon, but taking a break from my routine to reflect on it has been helpful. Because of this, I've treasured the chance to work on it this time, and I anticipate doing so this summer.</w:t>
      </w:r>
    </w:p>
    <w:p w14:paraId="3827A765" w14:textId="77777777" w:rsidR="008B08D6" w:rsidRDefault="00683726" w:rsidP="008A067C">
      <w:pPr>
        <w:pStyle w:val="Heading1"/>
      </w:pPr>
      <w:bookmarkStart w:id="6" w:name="_Toc120899870"/>
      <w:r>
        <w:t>Conclusion</w:t>
      </w:r>
      <w:bookmarkEnd w:id="6"/>
    </w:p>
    <w:p w14:paraId="644D915A" w14:textId="77777777" w:rsidR="008B08D6" w:rsidRDefault="00683726" w:rsidP="008A067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w:t>
      </w:r>
      <w:r w:rsidR="00767099">
        <w:rPr>
          <w:rFonts w:ascii="Times New Roman" w:eastAsia="Times New Roman" w:hAnsi="Times New Roman" w:cs="Times New Roman"/>
          <w:sz w:val="24"/>
          <w:szCs w:val="24"/>
        </w:rPr>
        <w:t>summarized</w:t>
      </w:r>
      <w:r>
        <w:rPr>
          <w:rFonts w:ascii="Times New Roman" w:eastAsia="Times New Roman" w:hAnsi="Times New Roman" w:cs="Times New Roman"/>
          <w:sz w:val="24"/>
          <w:szCs w:val="24"/>
        </w:rPr>
        <w:t xml:space="preserve"> from the above essay that the commonwealth games held has effect community consultation, along with the consideration of the environmental concern. In order to achieve a better understanding regarding the impact of the commonwealth games 2022, the approaches have been clustered in the above study that has proved effective for understanding the discrimination of the game. The participation of the social media platform in order to engage the audience, along with the process to increase the effectiveness of the game has also been discussed in this study. The engagement principles of the game have been discussed which can be helpful for understanding the multi-culturalism of the event. In order to achieve a better idea regarding the community development of the games, a reflection part has been provided that can be effective for analyzing the influence of the event on community engagement. The diversity of the event has also been discussed in this essay, which can be able to provide a better understanding regarding the outreach support of social media. The impact of using social media as one of the important marketing strategies has helped the event to increase its audience.</w:t>
      </w:r>
      <w:r>
        <w:br w:type="page"/>
      </w:r>
    </w:p>
    <w:p w14:paraId="0ECE1B5D" w14:textId="77777777" w:rsidR="008B08D6" w:rsidRDefault="00683726" w:rsidP="008A067C">
      <w:pPr>
        <w:pStyle w:val="Heading1"/>
      </w:pPr>
      <w:bookmarkStart w:id="7" w:name="_Toc120899871"/>
      <w:r>
        <w:t>Reference</w:t>
      </w:r>
      <w:bookmarkEnd w:id="7"/>
    </w:p>
    <w:p w14:paraId="13FC8752" w14:textId="77777777" w:rsidR="00BD4210" w:rsidRDefault="00BD4210" w:rsidP="008A067C">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Anggraeni</w:t>
      </w:r>
      <w:proofErr w:type="spellEnd"/>
      <w:r>
        <w:rPr>
          <w:rFonts w:ascii="Times New Roman" w:eastAsia="Times New Roman" w:hAnsi="Times New Roman" w:cs="Times New Roman"/>
          <w:color w:val="222222"/>
          <w:sz w:val="24"/>
          <w:szCs w:val="24"/>
          <w:highlight w:val="white"/>
        </w:rPr>
        <w:t xml:space="preserve">, M., Gupta, J. and </w:t>
      </w:r>
      <w:proofErr w:type="spellStart"/>
      <w:r>
        <w:rPr>
          <w:rFonts w:ascii="Times New Roman" w:eastAsia="Times New Roman" w:hAnsi="Times New Roman" w:cs="Times New Roman"/>
          <w:color w:val="222222"/>
          <w:sz w:val="24"/>
          <w:szCs w:val="24"/>
          <w:highlight w:val="white"/>
        </w:rPr>
        <w:t>Verrest</w:t>
      </w:r>
      <w:proofErr w:type="spellEnd"/>
      <w:r>
        <w:rPr>
          <w:rFonts w:ascii="Times New Roman" w:eastAsia="Times New Roman" w:hAnsi="Times New Roman" w:cs="Times New Roman"/>
          <w:color w:val="222222"/>
          <w:sz w:val="24"/>
          <w:szCs w:val="24"/>
          <w:highlight w:val="white"/>
        </w:rPr>
        <w:t xml:space="preserve">, H.J., 2019. Cost and value of stakeholders participation: A systematic literature review. </w:t>
      </w:r>
      <w:r>
        <w:rPr>
          <w:rFonts w:ascii="Times New Roman" w:eastAsia="Times New Roman" w:hAnsi="Times New Roman" w:cs="Times New Roman"/>
          <w:i/>
          <w:color w:val="222222"/>
          <w:sz w:val="24"/>
          <w:szCs w:val="24"/>
          <w:highlight w:val="white"/>
        </w:rPr>
        <w:t>Environmental Science &amp;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101</w:t>
      </w:r>
      <w:r>
        <w:rPr>
          <w:rFonts w:ascii="Times New Roman" w:eastAsia="Times New Roman" w:hAnsi="Times New Roman" w:cs="Times New Roman"/>
          <w:color w:val="222222"/>
          <w:sz w:val="24"/>
          <w:szCs w:val="24"/>
          <w:highlight w:val="white"/>
        </w:rPr>
        <w:t>, pp.364-373.</w:t>
      </w:r>
    </w:p>
    <w:p w14:paraId="59E001AB" w14:textId="77777777" w:rsidR="00BD4210" w:rsidRDefault="00BD4210" w:rsidP="008A067C">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Bhati</w:t>
      </w:r>
      <w:proofErr w:type="spellEnd"/>
      <w:r>
        <w:rPr>
          <w:rFonts w:ascii="Times New Roman" w:eastAsia="Times New Roman" w:hAnsi="Times New Roman" w:cs="Times New Roman"/>
          <w:color w:val="222222"/>
          <w:sz w:val="24"/>
          <w:szCs w:val="24"/>
          <w:highlight w:val="white"/>
        </w:rPr>
        <w:t xml:space="preserve">, A. and McDonnell, D., 2020. Success in an online giving day: The role of social media in fundraising. </w:t>
      </w:r>
      <w:r>
        <w:rPr>
          <w:rFonts w:ascii="Times New Roman" w:eastAsia="Times New Roman" w:hAnsi="Times New Roman" w:cs="Times New Roman"/>
          <w:i/>
          <w:color w:val="222222"/>
          <w:sz w:val="24"/>
          <w:szCs w:val="24"/>
          <w:highlight w:val="white"/>
        </w:rPr>
        <w:t>Nonprofit and Voluntary Sector Quarterly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49</w:t>
      </w:r>
      <w:r>
        <w:rPr>
          <w:rFonts w:ascii="Times New Roman" w:eastAsia="Times New Roman" w:hAnsi="Times New Roman" w:cs="Times New Roman"/>
          <w:color w:val="222222"/>
          <w:sz w:val="24"/>
          <w:szCs w:val="24"/>
          <w:highlight w:val="white"/>
        </w:rPr>
        <w:t>(1), pp.74-92.</w:t>
      </w:r>
    </w:p>
    <w:p w14:paraId="01ACF5C3" w14:textId="77777777" w:rsidR="00BD4210" w:rsidRDefault="00BD4210" w:rsidP="008A067C">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Duz Tan, S. and Tas, O., 2021. Social media sentiment in international stock returns and trading activity. </w:t>
      </w:r>
      <w:r>
        <w:rPr>
          <w:rFonts w:ascii="Times New Roman" w:eastAsia="Times New Roman" w:hAnsi="Times New Roman" w:cs="Times New Roman"/>
          <w:i/>
          <w:color w:val="222222"/>
          <w:sz w:val="24"/>
          <w:szCs w:val="24"/>
          <w:highlight w:val="white"/>
        </w:rPr>
        <w:t>Journal of Behavioral Finance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(2), pp.221-234.</w:t>
      </w:r>
    </w:p>
    <w:p w14:paraId="635CD7E2" w14:textId="77777777" w:rsidR="00BD4210" w:rsidRDefault="00BD4210" w:rsidP="008A067C">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Gelmon</w:t>
      </w:r>
      <w:proofErr w:type="spellEnd"/>
      <w:r>
        <w:rPr>
          <w:rFonts w:ascii="Times New Roman" w:eastAsia="Times New Roman" w:hAnsi="Times New Roman" w:cs="Times New Roman"/>
          <w:color w:val="222222"/>
          <w:sz w:val="24"/>
          <w:szCs w:val="24"/>
          <w:highlight w:val="white"/>
        </w:rPr>
        <w:t xml:space="preserve">, S.B., Holland, B.A. and Spring, A., 2018. </w:t>
      </w:r>
      <w:r>
        <w:rPr>
          <w:rFonts w:ascii="Times New Roman" w:eastAsia="Times New Roman" w:hAnsi="Times New Roman" w:cs="Times New Roman"/>
          <w:i/>
          <w:color w:val="222222"/>
          <w:sz w:val="24"/>
          <w:szCs w:val="24"/>
          <w:highlight w:val="white"/>
        </w:rPr>
        <w:t>Assessing service-learning and civic engagement: Principles and techniques</w:t>
      </w:r>
      <w:r>
        <w:rPr>
          <w:rFonts w:ascii="Times New Roman" w:eastAsia="Times New Roman" w:hAnsi="Times New Roman" w:cs="Times New Roman"/>
          <w:color w:val="222222"/>
          <w:sz w:val="24"/>
          <w:szCs w:val="24"/>
          <w:highlight w:val="white"/>
        </w:rPr>
        <w:t>. Campus Compact.</w:t>
      </w:r>
    </w:p>
    <w:p w14:paraId="7BD2F315" w14:textId="77777777" w:rsidR="00BD4210" w:rsidRDefault="00BD4210" w:rsidP="008A067C">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Keles</w:t>
      </w:r>
      <w:proofErr w:type="spellEnd"/>
      <w:r>
        <w:rPr>
          <w:rFonts w:ascii="Times New Roman" w:eastAsia="Times New Roman" w:hAnsi="Times New Roman" w:cs="Times New Roman"/>
          <w:color w:val="222222"/>
          <w:sz w:val="24"/>
          <w:szCs w:val="24"/>
          <w:highlight w:val="white"/>
        </w:rPr>
        <w:t xml:space="preserve">, B., McCrae, N. and </w:t>
      </w:r>
      <w:proofErr w:type="spellStart"/>
      <w:r>
        <w:rPr>
          <w:rFonts w:ascii="Times New Roman" w:eastAsia="Times New Roman" w:hAnsi="Times New Roman" w:cs="Times New Roman"/>
          <w:color w:val="222222"/>
          <w:sz w:val="24"/>
          <w:szCs w:val="24"/>
          <w:highlight w:val="white"/>
        </w:rPr>
        <w:t>Grealish</w:t>
      </w:r>
      <w:proofErr w:type="spellEnd"/>
      <w:r>
        <w:rPr>
          <w:rFonts w:ascii="Times New Roman" w:eastAsia="Times New Roman" w:hAnsi="Times New Roman" w:cs="Times New Roman"/>
          <w:color w:val="222222"/>
          <w:sz w:val="24"/>
          <w:szCs w:val="24"/>
          <w:highlight w:val="white"/>
        </w:rPr>
        <w:t xml:space="preserve">, A., 2020. A systematic review: the influence of social media on depression, anxiety and psychological distress in adolescents. </w:t>
      </w:r>
      <w:r>
        <w:rPr>
          <w:rFonts w:ascii="Times New Roman" w:eastAsia="Times New Roman" w:hAnsi="Times New Roman" w:cs="Times New Roman"/>
          <w:i/>
          <w:color w:val="222222"/>
          <w:sz w:val="24"/>
          <w:szCs w:val="24"/>
          <w:highlight w:val="white"/>
        </w:rPr>
        <w:t>International Journal of Adolescence and Youth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(1), pp.79-93.</w:t>
      </w:r>
    </w:p>
    <w:p w14:paraId="66C478BE" w14:textId="77777777" w:rsidR="00BD4210" w:rsidRDefault="00BD4210" w:rsidP="008A067C">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Keles</w:t>
      </w:r>
      <w:proofErr w:type="spellEnd"/>
      <w:r>
        <w:rPr>
          <w:rFonts w:ascii="Times New Roman" w:eastAsia="Times New Roman" w:hAnsi="Times New Roman" w:cs="Times New Roman"/>
          <w:color w:val="222222"/>
          <w:sz w:val="24"/>
          <w:szCs w:val="24"/>
          <w:highlight w:val="white"/>
        </w:rPr>
        <w:t xml:space="preserve">, B., McCrae, N. and </w:t>
      </w:r>
      <w:proofErr w:type="spellStart"/>
      <w:r>
        <w:rPr>
          <w:rFonts w:ascii="Times New Roman" w:eastAsia="Times New Roman" w:hAnsi="Times New Roman" w:cs="Times New Roman"/>
          <w:color w:val="222222"/>
          <w:sz w:val="24"/>
          <w:szCs w:val="24"/>
          <w:highlight w:val="white"/>
        </w:rPr>
        <w:t>Grealish</w:t>
      </w:r>
      <w:proofErr w:type="spellEnd"/>
      <w:r>
        <w:rPr>
          <w:rFonts w:ascii="Times New Roman" w:eastAsia="Times New Roman" w:hAnsi="Times New Roman" w:cs="Times New Roman"/>
          <w:color w:val="222222"/>
          <w:sz w:val="24"/>
          <w:szCs w:val="24"/>
          <w:highlight w:val="white"/>
        </w:rPr>
        <w:t xml:space="preserve">, A., 2020. A systematic review: the influence of social media on depression, anxiety and psychological distress in adolescents. </w:t>
      </w:r>
      <w:r>
        <w:rPr>
          <w:rFonts w:ascii="Times New Roman" w:eastAsia="Times New Roman" w:hAnsi="Times New Roman" w:cs="Times New Roman"/>
          <w:i/>
          <w:color w:val="222222"/>
          <w:sz w:val="24"/>
          <w:szCs w:val="24"/>
          <w:highlight w:val="white"/>
        </w:rPr>
        <w:t>International Journal of Adolescence and Youth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(1), pp.79-93.</w:t>
      </w:r>
    </w:p>
    <w:p w14:paraId="1A5904A4" w14:textId="77777777" w:rsidR="00BD4210" w:rsidRDefault="00BD4210" w:rsidP="008A067C">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Keles</w:t>
      </w:r>
      <w:proofErr w:type="spellEnd"/>
      <w:r>
        <w:rPr>
          <w:rFonts w:ascii="Times New Roman" w:eastAsia="Times New Roman" w:hAnsi="Times New Roman" w:cs="Times New Roman"/>
          <w:color w:val="222222"/>
          <w:sz w:val="24"/>
          <w:szCs w:val="24"/>
          <w:highlight w:val="white"/>
        </w:rPr>
        <w:t xml:space="preserve">, B., McCrae, N. and </w:t>
      </w:r>
      <w:proofErr w:type="spellStart"/>
      <w:r>
        <w:rPr>
          <w:rFonts w:ascii="Times New Roman" w:eastAsia="Times New Roman" w:hAnsi="Times New Roman" w:cs="Times New Roman"/>
          <w:color w:val="222222"/>
          <w:sz w:val="24"/>
          <w:szCs w:val="24"/>
          <w:highlight w:val="white"/>
        </w:rPr>
        <w:t>Grealish</w:t>
      </w:r>
      <w:proofErr w:type="spellEnd"/>
      <w:r>
        <w:rPr>
          <w:rFonts w:ascii="Times New Roman" w:eastAsia="Times New Roman" w:hAnsi="Times New Roman" w:cs="Times New Roman"/>
          <w:color w:val="222222"/>
          <w:sz w:val="24"/>
          <w:szCs w:val="24"/>
          <w:highlight w:val="white"/>
        </w:rPr>
        <w:t xml:space="preserve">, A., 2020. A systematic review: the influence of social media on depression, anxiety and psychological distress in adolescents. </w:t>
      </w:r>
      <w:r>
        <w:rPr>
          <w:rFonts w:ascii="Times New Roman" w:eastAsia="Times New Roman" w:hAnsi="Times New Roman" w:cs="Times New Roman"/>
          <w:i/>
          <w:color w:val="222222"/>
          <w:sz w:val="24"/>
          <w:szCs w:val="24"/>
          <w:highlight w:val="white"/>
        </w:rPr>
        <w:t>International Journal of Adolescence and Youth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(1), pp.79-93.</w:t>
      </w:r>
    </w:p>
    <w:p w14:paraId="6413C578" w14:textId="77777777" w:rsidR="00BD4210" w:rsidRDefault="00BD4210" w:rsidP="008A067C">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 Z., </w:t>
      </w:r>
      <w:proofErr w:type="spellStart"/>
      <w:r>
        <w:rPr>
          <w:rFonts w:ascii="Times New Roman" w:eastAsia="Times New Roman" w:hAnsi="Times New Roman" w:cs="Times New Roman"/>
          <w:color w:val="222222"/>
          <w:sz w:val="24"/>
          <w:szCs w:val="24"/>
          <w:highlight w:val="white"/>
        </w:rPr>
        <w:t>Knotzer</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Billanes</w:t>
      </w:r>
      <w:proofErr w:type="spellEnd"/>
      <w:r>
        <w:rPr>
          <w:rFonts w:ascii="Times New Roman" w:eastAsia="Times New Roman" w:hAnsi="Times New Roman" w:cs="Times New Roman"/>
          <w:color w:val="222222"/>
          <w:sz w:val="24"/>
          <w:szCs w:val="24"/>
          <w:highlight w:val="white"/>
        </w:rPr>
        <w:t xml:space="preserve">, J.D. and </w:t>
      </w:r>
      <w:proofErr w:type="spellStart"/>
      <w:r>
        <w:rPr>
          <w:rFonts w:ascii="Times New Roman" w:eastAsia="Times New Roman" w:hAnsi="Times New Roman" w:cs="Times New Roman"/>
          <w:color w:val="222222"/>
          <w:sz w:val="24"/>
          <w:szCs w:val="24"/>
          <w:highlight w:val="white"/>
        </w:rPr>
        <w:t>Jørgensen</w:t>
      </w:r>
      <w:proofErr w:type="spellEnd"/>
      <w:r>
        <w:rPr>
          <w:rFonts w:ascii="Times New Roman" w:eastAsia="Times New Roman" w:hAnsi="Times New Roman" w:cs="Times New Roman"/>
          <w:color w:val="222222"/>
          <w:sz w:val="24"/>
          <w:szCs w:val="24"/>
          <w:highlight w:val="white"/>
        </w:rPr>
        <w:t xml:space="preserve">, B.N., 2020. A literature review of energy flexibility in district heating with a survey of the stakeholders’ participation. </w:t>
      </w:r>
      <w:r>
        <w:rPr>
          <w:rFonts w:ascii="Times New Roman" w:eastAsia="Times New Roman" w:hAnsi="Times New Roman" w:cs="Times New Roman"/>
          <w:i/>
          <w:color w:val="222222"/>
          <w:sz w:val="24"/>
          <w:szCs w:val="24"/>
          <w:highlight w:val="white"/>
        </w:rPr>
        <w:t>Renewable and Sustainable Energy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123</w:t>
      </w:r>
      <w:r>
        <w:rPr>
          <w:rFonts w:ascii="Times New Roman" w:eastAsia="Times New Roman" w:hAnsi="Times New Roman" w:cs="Times New Roman"/>
          <w:color w:val="222222"/>
          <w:sz w:val="24"/>
          <w:szCs w:val="24"/>
          <w:highlight w:val="white"/>
        </w:rPr>
        <w:t>, p.109750.</w:t>
      </w:r>
    </w:p>
    <w:p w14:paraId="658B67C8" w14:textId="77777777" w:rsidR="00BD4210" w:rsidRDefault="00BD4210" w:rsidP="008A067C">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Mansournia</w:t>
      </w:r>
      <w:proofErr w:type="spellEnd"/>
      <w:r>
        <w:rPr>
          <w:rFonts w:ascii="Times New Roman" w:eastAsia="Times New Roman" w:hAnsi="Times New Roman" w:cs="Times New Roman"/>
          <w:color w:val="222222"/>
          <w:sz w:val="24"/>
          <w:szCs w:val="24"/>
          <w:highlight w:val="white"/>
        </w:rPr>
        <w:t xml:space="preserve">, M.A., </w:t>
      </w:r>
      <w:proofErr w:type="spellStart"/>
      <w:r>
        <w:rPr>
          <w:rFonts w:ascii="Times New Roman" w:eastAsia="Times New Roman" w:hAnsi="Times New Roman" w:cs="Times New Roman"/>
          <w:color w:val="222222"/>
          <w:sz w:val="24"/>
          <w:szCs w:val="24"/>
          <w:highlight w:val="white"/>
        </w:rPr>
        <w:t>Nazemipour</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Naimi</w:t>
      </w:r>
      <w:proofErr w:type="spellEnd"/>
      <w:r>
        <w:rPr>
          <w:rFonts w:ascii="Times New Roman" w:eastAsia="Times New Roman" w:hAnsi="Times New Roman" w:cs="Times New Roman"/>
          <w:color w:val="222222"/>
          <w:sz w:val="24"/>
          <w:szCs w:val="24"/>
          <w:highlight w:val="white"/>
        </w:rPr>
        <w:t xml:space="preserve">, A.I., Collins, G.S. and Campbell, M.J., 2021. Reflection on modern methods: demystifying robust standard errors for epidemiologists. </w:t>
      </w:r>
      <w:r>
        <w:rPr>
          <w:rFonts w:ascii="Times New Roman" w:eastAsia="Times New Roman" w:hAnsi="Times New Roman" w:cs="Times New Roman"/>
          <w:i/>
          <w:color w:val="222222"/>
          <w:sz w:val="24"/>
          <w:szCs w:val="24"/>
          <w:highlight w:val="white"/>
        </w:rPr>
        <w:t>International Journal of Epidemiology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50</w:t>
      </w:r>
      <w:r>
        <w:rPr>
          <w:rFonts w:ascii="Times New Roman" w:eastAsia="Times New Roman" w:hAnsi="Times New Roman" w:cs="Times New Roman"/>
          <w:color w:val="222222"/>
          <w:sz w:val="24"/>
          <w:szCs w:val="24"/>
          <w:highlight w:val="white"/>
        </w:rPr>
        <w:t>(1), pp.346-351.</w:t>
      </w:r>
    </w:p>
    <w:p w14:paraId="30193FAB" w14:textId="77777777" w:rsidR="00BD4210" w:rsidRDefault="00BD4210" w:rsidP="008A067C">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Muninger</w:t>
      </w:r>
      <w:proofErr w:type="spellEnd"/>
      <w:r>
        <w:rPr>
          <w:rFonts w:ascii="Times New Roman" w:eastAsia="Times New Roman" w:hAnsi="Times New Roman" w:cs="Times New Roman"/>
          <w:color w:val="222222"/>
          <w:sz w:val="24"/>
          <w:szCs w:val="24"/>
          <w:highlight w:val="white"/>
        </w:rPr>
        <w:t xml:space="preserve">, M.I., </w:t>
      </w:r>
      <w:proofErr w:type="spellStart"/>
      <w:r>
        <w:rPr>
          <w:rFonts w:ascii="Times New Roman" w:eastAsia="Times New Roman" w:hAnsi="Times New Roman" w:cs="Times New Roman"/>
          <w:color w:val="222222"/>
          <w:sz w:val="24"/>
          <w:szCs w:val="24"/>
          <w:highlight w:val="white"/>
        </w:rPr>
        <w:t>Hammedi</w:t>
      </w:r>
      <w:proofErr w:type="spellEnd"/>
      <w:r>
        <w:rPr>
          <w:rFonts w:ascii="Times New Roman" w:eastAsia="Times New Roman" w:hAnsi="Times New Roman" w:cs="Times New Roman"/>
          <w:color w:val="222222"/>
          <w:sz w:val="24"/>
          <w:szCs w:val="24"/>
          <w:highlight w:val="white"/>
        </w:rPr>
        <w:t xml:space="preserve">, W. and Mahr, D., 2019. The value of social media for innovation: A capability perspective.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95</w:t>
      </w:r>
      <w:r>
        <w:rPr>
          <w:rFonts w:ascii="Times New Roman" w:eastAsia="Times New Roman" w:hAnsi="Times New Roman" w:cs="Times New Roman"/>
          <w:color w:val="222222"/>
          <w:sz w:val="24"/>
          <w:szCs w:val="24"/>
          <w:highlight w:val="white"/>
        </w:rPr>
        <w:t>, pp.116-127.</w:t>
      </w:r>
    </w:p>
    <w:p w14:paraId="53AC5F0F" w14:textId="77777777" w:rsidR="00BD4210" w:rsidRDefault="00BD4210" w:rsidP="008A067C">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Plikusiene</w:t>
      </w:r>
      <w:proofErr w:type="spellEnd"/>
      <w:r>
        <w:rPr>
          <w:rFonts w:ascii="Times New Roman" w:eastAsia="Times New Roman" w:hAnsi="Times New Roman" w:cs="Times New Roman"/>
          <w:color w:val="222222"/>
          <w:sz w:val="24"/>
          <w:szCs w:val="24"/>
          <w:highlight w:val="white"/>
        </w:rPr>
        <w:t xml:space="preserve">, I., </w:t>
      </w:r>
      <w:proofErr w:type="spellStart"/>
      <w:r>
        <w:rPr>
          <w:rFonts w:ascii="Times New Roman" w:eastAsia="Times New Roman" w:hAnsi="Times New Roman" w:cs="Times New Roman"/>
          <w:color w:val="222222"/>
          <w:sz w:val="24"/>
          <w:szCs w:val="24"/>
          <w:highlight w:val="white"/>
        </w:rPr>
        <w:t>Maciulis</w:t>
      </w:r>
      <w:proofErr w:type="spellEnd"/>
      <w:r>
        <w:rPr>
          <w:rFonts w:ascii="Times New Roman" w:eastAsia="Times New Roman" w:hAnsi="Times New Roman" w:cs="Times New Roman"/>
          <w:color w:val="222222"/>
          <w:sz w:val="24"/>
          <w:szCs w:val="24"/>
          <w:highlight w:val="white"/>
        </w:rPr>
        <w:t xml:space="preserve">, V., </w:t>
      </w:r>
      <w:proofErr w:type="spellStart"/>
      <w:r>
        <w:rPr>
          <w:rFonts w:ascii="Times New Roman" w:eastAsia="Times New Roman" w:hAnsi="Times New Roman" w:cs="Times New Roman"/>
          <w:color w:val="222222"/>
          <w:sz w:val="24"/>
          <w:szCs w:val="24"/>
          <w:highlight w:val="white"/>
        </w:rPr>
        <w:t>Ramanaviciene</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Balevicius</w:t>
      </w:r>
      <w:proofErr w:type="spellEnd"/>
      <w:r>
        <w:rPr>
          <w:rFonts w:ascii="Times New Roman" w:eastAsia="Times New Roman" w:hAnsi="Times New Roman" w:cs="Times New Roman"/>
          <w:color w:val="222222"/>
          <w:sz w:val="24"/>
          <w:szCs w:val="24"/>
          <w:highlight w:val="white"/>
        </w:rPr>
        <w:t xml:space="preserve">, Z., </w:t>
      </w:r>
      <w:proofErr w:type="spellStart"/>
      <w:r>
        <w:rPr>
          <w:rFonts w:ascii="Times New Roman" w:eastAsia="Times New Roman" w:hAnsi="Times New Roman" w:cs="Times New Roman"/>
          <w:color w:val="222222"/>
          <w:sz w:val="24"/>
          <w:szCs w:val="24"/>
          <w:highlight w:val="white"/>
        </w:rPr>
        <w:t>Buzavaite-Verteliene</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Ciplys</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Slibinskas</w:t>
      </w:r>
      <w:proofErr w:type="spellEnd"/>
      <w:r>
        <w:rPr>
          <w:rFonts w:ascii="Times New Roman" w:eastAsia="Times New Roman" w:hAnsi="Times New Roman" w:cs="Times New Roman"/>
          <w:color w:val="222222"/>
          <w:sz w:val="24"/>
          <w:szCs w:val="24"/>
          <w:highlight w:val="white"/>
        </w:rPr>
        <w:t xml:space="preserve">, R., </w:t>
      </w:r>
      <w:proofErr w:type="spellStart"/>
      <w:r>
        <w:rPr>
          <w:rFonts w:ascii="Times New Roman" w:eastAsia="Times New Roman" w:hAnsi="Times New Roman" w:cs="Times New Roman"/>
          <w:color w:val="222222"/>
          <w:sz w:val="24"/>
          <w:szCs w:val="24"/>
          <w:highlight w:val="white"/>
        </w:rPr>
        <w:t>Simanavicius</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Zvirbliene</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Ramanavicius</w:t>
      </w:r>
      <w:proofErr w:type="spellEnd"/>
      <w:r>
        <w:rPr>
          <w:rFonts w:ascii="Times New Roman" w:eastAsia="Times New Roman" w:hAnsi="Times New Roman" w:cs="Times New Roman"/>
          <w:color w:val="222222"/>
          <w:sz w:val="24"/>
          <w:szCs w:val="24"/>
          <w:highlight w:val="white"/>
        </w:rPr>
        <w:t xml:space="preserve">, A., 2021. Evaluation of kinetics and thermodynamics of interaction between immobilized SARS-CoV-2 nucleoprotein and specific antibodies by total internal reflection ellipsometry. </w:t>
      </w:r>
      <w:r>
        <w:rPr>
          <w:rFonts w:ascii="Times New Roman" w:eastAsia="Times New Roman" w:hAnsi="Times New Roman" w:cs="Times New Roman"/>
          <w:i/>
          <w:color w:val="222222"/>
          <w:sz w:val="24"/>
          <w:szCs w:val="24"/>
          <w:highlight w:val="white"/>
        </w:rPr>
        <w:t>Journal of Colloid and Interface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594</w:t>
      </w:r>
      <w:r>
        <w:rPr>
          <w:rFonts w:ascii="Times New Roman" w:eastAsia="Times New Roman" w:hAnsi="Times New Roman" w:cs="Times New Roman"/>
          <w:color w:val="222222"/>
          <w:sz w:val="24"/>
          <w:szCs w:val="24"/>
          <w:highlight w:val="white"/>
        </w:rPr>
        <w:t>, pp.195-203.</w:t>
      </w:r>
    </w:p>
    <w:p w14:paraId="16C7976C" w14:textId="77777777" w:rsidR="00BD4210" w:rsidRDefault="00BD4210" w:rsidP="008A067C">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Tian, Y. and Tung, V.W.S., 2022. Investigating non-host residents’ perspectives of the impacts of a mega sports event: the Beijing 2022 winter </w:t>
      </w:r>
      <w:proofErr w:type="spellStart"/>
      <w:r>
        <w:rPr>
          <w:rFonts w:ascii="Times New Roman" w:eastAsia="Times New Roman" w:hAnsi="Times New Roman" w:cs="Times New Roman"/>
          <w:color w:val="222222"/>
          <w:sz w:val="24"/>
          <w:szCs w:val="24"/>
          <w:highlight w:val="white"/>
        </w:rPr>
        <w:t>olympic</w:t>
      </w:r>
      <w:proofErr w:type="spellEnd"/>
      <w:r>
        <w:rPr>
          <w:rFonts w:ascii="Times New Roman" w:eastAsia="Times New Roman" w:hAnsi="Times New Roman" w:cs="Times New Roman"/>
          <w:color w:val="222222"/>
          <w:sz w:val="24"/>
          <w:szCs w:val="24"/>
          <w:highlight w:val="white"/>
        </w:rPr>
        <w:t xml:space="preserve"> games. </w:t>
      </w:r>
      <w:r>
        <w:rPr>
          <w:rFonts w:ascii="Times New Roman" w:eastAsia="Times New Roman" w:hAnsi="Times New Roman" w:cs="Times New Roman"/>
          <w:i/>
          <w:color w:val="222222"/>
          <w:sz w:val="24"/>
          <w:szCs w:val="24"/>
          <w:highlight w:val="white"/>
        </w:rPr>
        <w:t>Journal of China Tourism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(5), pp.1057-1072.</w:t>
      </w:r>
    </w:p>
    <w:p w14:paraId="0208BCF7" w14:textId="77777777" w:rsidR="00BD4210" w:rsidRDefault="00BD4210" w:rsidP="008A067C">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Van </w:t>
      </w:r>
      <w:proofErr w:type="spellStart"/>
      <w:r>
        <w:rPr>
          <w:rFonts w:ascii="Times New Roman" w:eastAsia="Times New Roman" w:hAnsi="Times New Roman" w:cs="Times New Roman"/>
          <w:color w:val="222222"/>
          <w:sz w:val="24"/>
          <w:szCs w:val="24"/>
          <w:highlight w:val="white"/>
        </w:rPr>
        <w:t>Timmeren</w:t>
      </w:r>
      <w:proofErr w:type="spellEnd"/>
      <w:r>
        <w:rPr>
          <w:rFonts w:ascii="Times New Roman" w:eastAsia="Times New Roman" w:hAnsi="Times New Roman" w:cs="Times New Roman"/>
          <w:color w:val="222222"/>
          <w:sz w:val="24"/>
          <w:szCs w:val="24"/>
          <w:highlight w:val="white"/>
        </w:rPr>
        <w:t xml:space="preserve">, J.E., </w:t>
      </w:r>
      <w:proofErr w:type="spellStart"/>
      <w:r>
        <w:rPr>
          <w:rFonts w:ascii="Times New Roman" w:eastAsia="Times New Roman" w:hAnsi="Times New Roman" w:cs="Times New Roman"/>
          <w:color w:val="222222"/>
          <w:sz w:val="24"/>
          <w:szCs w:val="24"/>
          <w:highlight w:val="white"/>
        </w:rPr>
        <w:t>Cester</w:t>
      </w:r>
      <w:proofErr w:type="spellEnd"/>
      <w:r>
        <w:rPr>
          <w:rFonts w:ascii="Times New Roman" w:eastAsia="Times New Roman" w:hAnsi="Times New Roman" w:cs="Times New Roman"/>
          <w:color w:val="222222"/>
          <w:sz w:val="24"/>
          <w:szCs w:val="24"/>
          <w:highlight w:val="white"/>
        </w:rPr>
        <w:t xml:space="preserve">, D., </w:t>
      </w:r>
      <w:proofErr w:type="spellStart"/>
      <w:r>
        <w:rPr>
          <w:rFonts w:ascii="Times New Roman" w:eastAsia="Times New Roman" w:hAnsi="Times New Roman" w:cs="Times New Roman"/>
          <w:color w:val="222222"/>
          <w:sz w:val="24"/>
          <w:szCs w:val="24"/>
          <w:highlight w:val="white"/>
        </w:rPr>
        <w:t>Tanadini</w:t>
      </w:r>
      <w:proofErr w:type="spellEnd"/>
      <w:r>
        <w:rPr>
          <w:rFonts w:ascii="Times New Roman" w:eastAsia="Times New Roman" w:hAnsi="Times New Roman" w:cs="Times New Roman"/>
          <w:color w:val="222222"/>
          <w:sz w:val="24"/>
          <w:szCs w:val="24"/>
          <w:highlight w:val="white"/>
        </w:rPr>
        <w:t xml:space="preserve">-Lang, S., </w:t>
      </w:r>
      <w:proofErr w:type="spellStart"/>
      <w:r>
        <w:rPr>
          <w:rFonts w:ascii="Times New Roman" w:eastAsia="Times New Roman" w:hAnsi="Times New Roman" w:cs="Times New Roman"/>
          <w:color w:val="222222"/>
          <w:sz w:val="24"/>
          <w:szCs w:val="24"/>
          <w:highlight w:val="white"/>
        </w:rPr>
        <w:t>Alkadhi</w:t>
      </w:r>
      <w:proofErr w:type="spellEnd"/>
      <w:r>
        <w:rPr>
          <w:rFonts w:ascii="Times New Roman" w:eastAsia="Times New Roman" w:hAnsi="Times New Roman" w:cs="Times New Roman"/>
          <w:color w:val="222222"/>
          <w:sz w:val="24"/>
          <w:szCs w:val="24"/>
          <w:highlight w:val="white"/>
        </w:rPr>
        <w:t xml:space="preserve">, H. and </w:t>
      </w:r>
      <w:proofErr w:type="spellStart"/>
      <w:r>
        <w:rPr>
          <w:rFonts w:ascii="Times New Roman" w:eastAsia="Times New Roman" w:hAnsi="Times New Roman" w:cs="Times New Roman"/>
          <w:color w:val="222222"/>
          <w:sz w:val="24"/>
          <w:szCs w:val="24"/>
          <w:highlight w:val="white"/>
        </w:rPr>
        <w:t>Baessler</w:t>
      </w:r>
      <w:proofErr w:type="spellEnd"/>
      <w:r>
        <w:rPr>
          <w:rFonts w:ascii="Times New Roman" w:eastAsia="Times New Roman" w:hAnsi="Times New Roman" w:cs="Times New Roman"/>
          <w:color w:val="222222"/>
          <w:sz w:val="24"/>
          <w:szCs w:val="24"/>
          <w:highlight w:val="white"/>
        </w:rPr>
        <w:t xml:space="preserve">, B., 2020. Radiomics in medical imaging—“how-to” guide and critical reflection. </w:t>
      </w:r>
      <w:r>
        <w:rPr>
          <w:rFonts w:ascii="Times New Roman" w:eastAsia="Times New Roman" w:hAnsi="Times New Roman" w:cs="Times New Roman"/>
          <w:i/>
          <w:color w:val="222222"/>
          <w:sz w:val="24"/>
          <w:szCs w:val="24"/>
          <w:highlight w:val="white"/>
        </w:rPr>
        <w:t>Insights into imaging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 pp.1-16.</w:t>
      </w:r>
    </w:p>
    <w:p w14:paraId="24460216" w14:textId="77777777" w:rsidR="00BD4210" w:rsidRDefault="00BD4210" w:rsidP="008A067C">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Verhoef</w:t>
      </w:r>
      <w:proofErr w:type="spellEnd"/>
      <w:r>
        <w:rPr>
          <w:rFonts w:ascii="Times New Roman" w:eastAsia="Times New Roman" w:hAnsi="Times New Roman" w:cs="Times New Roman"/>
          <w:color w:val="222222"/>
          <w:sz w:val="24"/>
          <w:szCs w:val="24"/>
          <w:highlight w:val="white"/>
        </w:rPr>
        <w:t xml:space="preserve">, P.C., </w:t>
      </w:r>
      <w:proofErr w:type="spellStart"/>
      <w:r>
        <w:rPr>
          <w:rFonts w:ascii="Times New Roman" w:eastAsia="Times New Roman" w:hAnsi="Times New Roman" w:cs="Times New Roman"/>
          <w:color w:val="222222"/>
          <w:sz w:val="24"/>
          <w:szCs w:val="24"/>
          <w:highlight w:val="white"/>
        </w:rPr>
        <w:t>Broekhuizen</w:t>
      </w:r>
      <w:proofErr w:type="spellEnd"/>
      <w:r>
        <w:rPr>
          <w:rFonts w:ascii="Times New Roman" w:eastAsia="Times New Roman" w:hAnsi="Times New Roman" w:cs="Times New Roman"/>
          <w:color w:val="222222"/>
          <w:sz w:val="24"/>
          <w:szCs w:val="24"/>
          <w:highlight w:val="white"/>
        </w:rPr>
        <w:t xml:space="preserve">, T., Bart, Y., Bhattacharya, A., Dong, J.Q., Fabian, N. and </w:t>
      </w:r>
      <w:proofErr w:type="spellStart"/>
      <w:r>
        <w:rPr>
          <w:rFonts w:ascii="Times New Roman" w:eastAsia="Times New Roman" w:hAnsi="Times New Roman" w:cs="Times New Roman"/>
          <w:color w:val="222222"/>
          <w:sz w:val="24"/>
          <w:szCs w:val="24"/>
          <w:highlight w:val="white"/>
        </w:rPr>
        <w:t>Haenlein</w:t>
      </w:r>
      <w:proofErr w:type="spellEnd"/>
      <w:r>
        <w:rPr>
          <w:rFonts w:ascii="Times New Roman" w:eastAsia="Times New Roman" w:hAnsi="Times New Roman" w:cs="Times New Roman"/>
          <w:color w:val="222222"/>
          <w:sz w:val="24"/>
          <w:szCs w:val="24"/>
          <w:highlight w:val="white"/>
        </w:rPr>
        <w:t xml:space="preserve">, M., 2021. Digital transformation: A multidisciplinary reflection and research agenda.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122</w:t>
      </w:r>
      <w:r>
        <w:rPr>
          <w:rFonts w:ascii="Times New Roman" w:eastAsia="Times New Roman" w:hAnsi="Times New Roman" w:cs="Times New Roman"/>
          <w:color w:val="222222"/>
          <w:sz w:val="24"/>
          <w:szCs w:val="24"/>
          <w:highlight w:val="white"/>
        </w:rPr>
        <w:t>, pp.889-901.</w:t>
      </w:r>
    </w:p>
    <w:p w14:paraId="2CCABBDF" w14:textId="77777777" w:rsidR="008B08D6" w:rsidRDefault="008B08D6" w:rsidP="008A067C">
      <w:pPr>
        <w:pStyle w:val="Normal1"/>
        <w:spacing w:line="360" w:lineRule="auto"/>
        <w:jc w:val="both"/>
        <w:rPr>
          <w:rFonts w:ascii="Times New Roman" w:eastAsia="Times New Roman" w:hAnsi="Times New Roman" w:cs="Times New Roman"/>
          <w:sz w:val="24"/>
          <w:szCs w:val="24"/>
        </w:rPr>
      </w:pPr>
    </w:p>
    <w:sectPr w:rsidR="008B08D6" w:rsidSect="00767099">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73BA2" w14:textId="77777777" w:rsidR="00A525CB" w:rsidRDefault="00A525CB" w:rsidP="00B51F55">
      <w:pPr>
        <w:spacing w:line="240" w:lineRule="auto"/>
      </w:pPr>
      <w:r>
        <w:separator/>
      </w:r>
    </w:p>
  </w:endnote>
  <w:endnote w:type="continuationSeparator" w:id="0">
    <w:p w14:paraId="1CE3F9FE" w14:textId="77777777" w:rsidR="00A525CB" w:rsidRDefault="00A525CB" w:rsidP="00B51F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851331"/>
      <w:docPartObj>
        <w:docPartGallery w:val="Page Numbers (Bottom of Page)"/>
        <w:docPartUnique/>
      </w:docPartObj>
    </w:sdtPr>
    <w:sdtEndPr>
      <w:rPr>
        <w:rFonts w:ascii="Times New Roman" w:hAnsi="Times New Roman" w:cs="Times New Roman"/>
        <w:noProof/>
        <w:sz w:val="20"/>
      </w:rPr>
    </w:sdtEndPr>
    <w:sdtContent>
      <w:p w14:paraId="3FF640F0" w14:textId="77777777" w:rsidR="002B7848" w:rsidRPr="002B7848" w:rsidRDefault="002B7848">
        <w:pPr>
          <w:pStyle w:val="Footer"/>
          <w:jc w:val="right"/>
          <w:rPr>
            <w:rFonts w:ascii="Times New Roman" w:hAnsi="Times New Roman" w:cs="Times New Roman"/>
            <w:sz w:val="20"/>
          </w:rPr>
        </w:pPr>
        <w:r w:rsidRPr="002B7848">
          <w:rPr>
            <w:rFonts w:ascii="Times New Roman" w:hAnsi="Times New Roman" w:cs="Times New Roman"/>
            <w:sz w:val="20"/>
          </w:rPr>
          <w:fldChar w:fldCharType="begin"/>
        </w:r>
        <w:r w:rsidRPr="002B7848">
          <w:rPr>
            <w:rFonts w:ascii="Times New Roman" w:hAnsi="Times New Roman" w:cs="Times New Roman"/>
            <w:sz w:val="20"/>
          </w:rPr>
          <w:instrText xml:space="preserve"> PAGE   \* MERGEFORMAT </w:instrText>
        </w:r>
        <w:r w:rsidRPr="002B7848">
          <w:rPr>
            <w:rFonts w:ascii="Times New Roman" w:hAnsi="Times New Roman" w:cs="Times New Roman"/>
            <w:sz w:val="20"/>
          </w:rPr>
          <w:fldChar w:fldCharType="separate"/>
        </w:r>
        <w:r w:rsidR="008A067C">
          <w:rPr>
            <w:rFonts w:ascii="Times New Roman" w:hAnsi="Times New Roman" w:cs="Times New Roman"/>
            <w:noProof/>
            <w:sz w:val="20"/>
          </w:rPr>
          <w:t>4</w:t>
        </w:r>
        <w:r w:rsidRPr="002B7848">
          <w:rPr>
            <w:rFonts w:ascii="Times New Roman" w:hAnsi="Times New Roman" w:cs="Times New Roman"/>
            <w:noProof/>
            <w:sz w:val="20"/>
          </w:rPr>
          <w:fldChar w:fldCharType="end"/>
        </w:r>
      </w:p>
    </w:sdtContent>
  </w:sdt>
  <w:p w14:paraId="6525FB25" w14:textId="77777777" w:rsidR="002B7848" w:rsidRDefault="002B7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C3632" w14:textId="77777777" w:rsidR="00A525CB" w:rsidRDefault="00A525CB" w:rsidP="00B51F55">
      <w:pPr>
        <w:spacing w:line="240" w:lineRule="auto"/>
      </w:pPr>
      <w:r>
        <w:separator/>
      </w:r>
    </w:p>
  </w:footnote>
  <w:footnote w:type="continuationSeparator" w:id="0">
    <w:p w14:paraId="358F7716" w14:textId="77777777" w:rsidR="00A525CB" w:rsidRDefault="00A525CB" w:rsidP="00B51F5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08D6"/>
    <w:rsid w:val="00103F5D"/>
    <w:rsid w:val="002B7848"/>
    <w:rsid w:val="0043525A"/>
    <w:rsid w:val="00552195"/>
    <w:rsid w:val="006605B0"/>
    <w:rsid w:val="00683726"/>
    <w:rsid w:val="006856A1"/>
    <w:rsid w:val="00767099"/>
    <w:rsid w:val="008A067C"/>
    <w:rsid w:val="008B08D6"/>
    <w:rsid w:val="00A525CB"/>
    <w:rsid w:val="00B51F55"/>
    <w:rsid w:val="00BD4210"/>
    <w:rsid w:val="00C27291"/>
    <w:rsid w:val="00F46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F3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767099"/>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autoRedefine/>
    <w:rsid w:val="00767099"/>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670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099"/>
    <w:rPr>
      <w:rFonts w:ascii="Tahoma" w:hAnsi="Tahoma" w:cs="Tahoma"/>
      <w:sz w:val="16"/>
      <w:szCs w:val="16"/>
    </w:rPr>
  </w:style>
  <w:style w:type="paragraph" w:styleId="TOCHeading">
    <w:name w:val="TOC Heading"/>
    <w:basedOn w:val="Heading1"/>
    <w:next w:val="Normal"/>
    <w:uiPriority w:val="39"/>
    <w:semiHidden/>
    <w:unhideWhenUsed/>
    <w:qFormat/>
    <w:rsid w:val="00B51F55"/>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B51F55"/>
    <w:pPr>
      <w:spacing w:after="100"/>
    </w:pPr>
  </w:style>
  <w:style w:type="paragraph" w:styleId="TOC2">
    <w:name w:val="toc 2"/>
    <w:basedOn w:val="Normal"/>
    <w:next w:val="Normal"/>
    <w:autoRedefine/>
    <w:uiPriority w:val="39"/>
    <w:unhideWhenUsed/>
    <w:rsid w:val="00B51F55"/>
    <w:pPr>
      <w:spacing w:after="100"/>
      <w:ind w:left="220"/>
    </w:pPr>
  </w:style>
  <w:style w:type="character" w:styleId="Hyperlink">
    <w:name w:val="Hyperlink"/>
    <w:basedOn w:val="DefaultParagraphFont"/>
    <w:uiPriority w:val="99"/>
    <w:unhideWhenUsed/>
    <w:rsid w:val="00B51F55"/>
    <w:rPr>
      <w:color w:val="0000FF" w:themeColor="hyperlink"/>
      <w:u w:val="single"/>
    </w:rPr>
  </w:style>
  <w:style w:type="paragraph" w:styleId="Header">
    <w:name w:val="header"/>
    <w:basedOn w:val="Normal"/>
    <w:link w:val="HeaderChar"/>
    <w:uiPriority w:val="99"/>
    <w:unhideWhenUsed/>
    <w:rsid w:val="00B51F55"/>
    <w:pPr>
      <w:tabs>
        <w:tab w:val="center" w:pos="4680"/>
        <w:tab w:val="right" w:pos="9360"/>
      </w:tabs>
      <w:spacing w:line="240" w:lineRule="auto"/>
    </w:pPr>
  </w:style>
  <w:style w:type="character" w:customStyle="1" w:styleId="HeaderChar">
    <w:name w:val="Header Char"/>
    <w:basedOn w:val="DefaultParagraphFont"/>
    <w:link w:val="Header"/>
    <w:uiPriority w:val="99"/>
    <w:rsid w:val="00B51F55"/>
  </w:style>
  <w:style w:type="paragraph" w:styleId="Footer">
    <w:name w:val="footer"/>
    <w:basedOn w:val="Normal"/>
    <w:link w:val="FooterChar"/>
    <w:uiPriority w:val="99"/>
    <w:unhideWhenUsed/>
    <w:rsid w:val="00B51F55"/>
    <w:pPr>
      <w:tabs>
        <w:tab w:val="center" w:pos="4680"/>
        <w:tab w:val="right" w:pos="9360"/>
      </w:tabs>
      <w:spacing w:line="240" w:lineRule="auto"/>
    </w:pPr>
  </w:style>
  <w:style w:type="character" w:customStyle="1" w:styleId="FooterChar">
    <w:name w:val="Footer Char"/>
    <w:basedOn w:val="DefaultParagraphFont"/>
    <w:link w:val="Footer"/>
    <w:uiPriority w:val="99"/>
    <w:rsid w:val="00B51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02437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19E054B2-7E7E-4654-92EE-97FC9A2507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2451</Words>
  <Characters>13974</Characters>
  <Application>Microsoft Office Word</Application>
  <DocSecurity>0</DocSecurity>
  <Lines>116</Lines>
  <Paragraphs>32</Paragraphs>
  <ScaleCrop>false</ScaleCrop>
  <Company/>
  <LinksUpToDate>false</LinksUpToDate>
  <CharactersWithSpaces>16393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2022-12-02T18:21:00Z</dcterms:created>
  <dcterms:modified xsi:type="dcterms:W3CDTF">2022-12-02T18:21:00Z</dcterms:modified>
</cp:coreProperties>
</file>