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5A9A7FA" w14:textId="356445F9" w:rsidR="5A453747" w:rsidRDefault="00012B16">
      <w:r>
        <w:rPr>
          <w:noProof/>
        </w:rPr>
        <w:drawing>
          <wp:inline distT="0" distB="0" distL="0" distR="0" wp14:anchorId="02F2A5C9" wp14:editId="6F442787">
            <wp:extent cx="2028825" cy="704850"/>
            <wp:effectExtent l="0" t="0" r="0" b="0"/>
            <wp:docPr id="2007465704" name="Picture 200746570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
                      <a:extLst>
                        <a:ext uri="{28A0092B-C50C-407E-A947-70E740481C1C}">
                          <a14:useLocalDpi xmlns:a14="http://schemas.microsoft.com/office/drawing/2010/main" val="0"/>
                        </a:ext>
                      </a:extLst>
                    </a:blip>
                    <a:stretch>
                      <a:fillRect/>
                    </a:stretch>
                  </pic:blipFill>
                  <pic:spPr>
                    <a:xfrm>
                      <a:off x="0" y="0"/>
                      <a:ext cx="2028825" cy="704850"/>
                    </a:xfrm>
                    <a:prstGeom prst="rect">
                      <a:avLst/>
                    </a:prstGeom>
                  </pic:spPr>
                </pic:pic>
              </a:graphicData>
            </a:graphic>
          </wp:inline>
        </w:drawing>
      </w:r>
    </w:p>
    <w:p w14:paraId="6303AB61" w14:textId="77777777" w:rsidR="00563B58" w:rsidRPr="00A47621" w:rsidRDefault="00563B58" w:rsidP="0040668F">
      <w:pPr>
        <w:rPr>
          <w:rFonts w:ascii="Times New Roman" w:hAnsi="Times New Roman" w:cs="Times New Roman"/>
          <w:sz w:val="24"/>
          <w:szCs w:val="24"/>
        </w:rPr>
      </w:pPr>
    </w:p>
    <w:p w14:paraId="1ED29290" w14:textId="77777777" w:rsidR="00F927A1" w:rsidRPr="00F927A1" w:rsidRDefault="00F927A1" w:rsidP="00FF7EBB">
      <w:pPr>
        <w:overflowPunct/>
        <w:autoSpaceDE/>
        <w:autoSpaceDN/>
        <w:adjustRightInd/>
        <w:textAlignment w:val="auto"/>
        <w:rPr>
          <w:rFonts w:ascii="Times New Roman" w:hAnsi="Times New Roman"/>
          <w:b/>
          <w:bCs/>
          <w:color w:val="auto"/>
          <w:sz w:val="48"/>
          <w:szCs w:val="48"/>
        </w:rPr>
      </w:pPr>
      <w:r w:rsidRPr="00F927A1">
        <w:rPr>
          <w:rFonts w:ascii="Times New Roman" w:hAnsi="Times New Roman" w:cs="Times New Roman"/>
          <w:b/>
          <w:color w:val="auto"/>
          <w:sz w:val="48"/>
          <w:szCs w:val="48"/>
        </w:rPr>
        <w:t xml:space="preserve">GRADUATE CERTIFICATE in </w:t>
      </w:r>
      <w:r w:rsidRPr="00F927A1">
        <w:rPr>
          <w:rFonts w:ascii="Times New Roman" w:hAnsi="Times New Roman"/>
          <w:b/>
          <w:bCs/>
          <w:color w:val="auto"/>
          <w:sz w:val="48"/>
          <w:szCs w:val="48"/>
        </w:rPr>
        <w:t>Consolidation of Social Work Practice</w:t>
      </w:r>
    </w:p>
    <w:p w14:paraId="0F4D6E7D" w14:textId="7C8C0132" w:rsidR="0085230E" w:rsidRPr="00DC2924" w:rsidRDefault="0085230E"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LEVEL 6 - 60 Credits</w:t>
      </w:r>
    </w:p>
    <w:p w14:paraId="2216C5B7" w14:textId="5A138451" w:rsidR="00706BB5" w:rsidRPr="0085230E" w:rsidRDefault="00706BB5"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BMPF6044</w:t>
      </w:r>
    </w:p>
    <w:p w14:paraId="28947286" w14:textId="77777777" w:rsidR="00F927A1" w:rsidRDefault="00F927A1" w:rsidP="00FF7EBB">
      <w:pPr>
        <w:overflowPunct/>
        <w:autoSpaceDE/>
        <w:autoSpaceDN/>
        <w:adjustRightInd/>
        <w:ind w:right="-957"/>
        <w:textAlignment w:val="auto"/>
        <w:rPr>
          <w:rFonts w:ascii="Times New Roman" w:hAnsi="Times New Roman" w:cs="Times New Roman"/>
          <w:b/>
          <w:color w:val="auto"/>
          <w:sz w:val="48"/>
        </w:rPr>
      </w:pPr>
    </w:p>
    <w:p w14:paraId="61FA5299" w14:textId="77777777" w:rsidR="00F927A1" w:rsidRPr="00FE5F90" w:rsidRDefault="00F927A1" w:rsidP="00F927A1">
      <w:pPr>
        <w:overflowPunct/>
        <w:autoSpaceDE/>
        <w:autoSpaceDN/>
        <w:adjustRightInd/>
        <w:ind w:right="-957"/>
        <w:textAlignment w:val="auto"/>
        <w:rPr>
          <w:rFonts w:ascii="Times New Roman" w:hAnsi="Times New Roman" w:cs="Times New Roman"/>
          <w:b/>
          <w:color w:val="auto"/>
          <w:sz w:val="18"/>
          <w:szCs w:val="2"/>
        </w:rPr>
      </w:pPr>
    </w:p>
    <w:p w14:paraId="5B3FA234" w14:textId="77777777" w:rsidR="00F927A1" w:rsidRPr="00F927A1" w:rsidRDefault="0085230E" w:rsidP="00F927A1">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LEARNER </w:t>
      </w:r>
      <w:r w:rsidR="00F927A1">
        <w:rPr>
          <w:rFonts w:ascii="Times New Roman" w:hAnsi="Times New Roman" w:cs="Times New Roman"/>
          <w:b/>
          <w:color w:val="auto"/>
          <w:sz w:val="48"/>
        </w:rPr>
        <w:t>PORTFOLIO</w:t>
      </w:r>
    </w:p>
    <w:p w14:paraId="333E90F0" w14:textId="62DD2FD5" w:rsidR="00F927A1" w:rsidRPr="00706BB5" w:rsidRDefault="00F927A1">
      <w:pPr>
        <w:overflowPunct/>
        <w:autoSpaceDE/>
        <w:autoSpaceDN/>
        <w:adjustRightInd/>
        <w:ind w:right="-957"/>
        <w:textAlignment w:val="auto"/>
        <w:rPr>
          <w:rFonts w:ascii="Times New Roman" w:hAnsi="Times New Roman" w:cs="Times New Roman"/>
          <w:b/>
          <w:bCs/>
          <w:color w:val="auto"/>
          <w:sz w:val="48"/>
          <w:szCs w:val="48"/>
        </w:rPr>
      </w:pPr>
      <w:r w:rsidRPr="00F15354">
        <w:rPr>
          <w:rFonts w:ascii="Times New Roman" w:hAnsi="Times New Roman" w:cs="Times New Roman"/>
          <w:b/>
          <w:bCs/>
          <w:color w:val="auto"/>
          <w:sz w:val="48"/>
          <w:szCs w:val="48"/>
        </w:rPr>
        <w:t>(PORTH AGORED and U</w:t>
      </w:r>
      <w:r w:rsidR="6E4F6729" w:rsidRPr="00F15354">
        <w:rPr>
          <w:rFonts w:ascii="Times New Roman" w:hAnsi="Times New Roman" w:cs="Times New Roman"/>
          <w:b/>
          <w:bCs/>
          <w:color w:val="auto"/>
          <w:sz w:val="48"/>
          <w:szCs w:val="48"/>
        </w:rPr>
        <w:t>NIVERSITY OF WALES TRINITY SAINT DAVID</w:t>
      </w:r>
      <w:r w:rsidRPr="00F15354">
        <w:rPr>
          <w:rFonts w:ascii="Times New Roman" w:hAnsi="Times New Roman" w:cs="Times New Roman"/>
          <w:b/>
          <w:bCs/>
          <w:color w:val="auto"/>
          <w:sz w:val="48"/>
          <w:szCs w:val="48"/>
        </w:rPr>
        <w:t>)</w:t>
      </w:r>
    </w:p>
    <w:p w14:paraId="024B1E2F" w14:textId="77777777" w:rsidR="0085230E" w:rsidRPr="00FE5F90" w:rsidRDefault="0085230E" w:rsidP="00F927A1">
      <w:pPr>
        <w:overflowPunct/>
        <w:autoSpaceDE/>
        <w:autoSpaceDN/>
        <w:adjustRightInd/>
        <w:ind w:right="-957"/>
        <w:textAlignment w:val="auto"/>
        <w:rPr>
          <w:rFonts w:ascii="Times New Roman" w:hAnsi="Times New Roman" w:cs="Times New Roman"/>
          <w:b/>
          <w:color w:val="auto"/>
          <w:sz w:val="14"/>
          <w:szCs w:val="2"/>
        </w:rPr>
      </w:pPr>
    </w:p>
    <w:p w14:paraId="16D1A022" w14:textId="77777777" w:rsidR="0085230E" w:rsidRPr="00F927A1" w:rsidRDefault="0085230E" w:rsidP="00F927A1">
      <w:pPr>
        <w:overflowPunct/>
        <w:autoSpaceDE/>
        <w:autoSpaceDN/>
        <w:adjustRightInd/>
        <w:ind w:right="-957"/>
        <w:textAlignment w:val="auto"/>
        <w:rPr>
          <w:rFonts w:ascii="Times New Roman" w:hAnsi="Times New Roman" w:cs="Times New Roman"/>
          <w:b/>
          <w:color w:val="auto"/>
          <w:sz w:val="48"/>
        </w:rPr>
      </w:pPr>
    </w:p>
    <w:tbl>
      <w:tblPr>
        <w:tblW w:w="1076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0768"/>
      </w:tblGrid>
      <w:tr w:rsidR="00F927A1" w:rsidRPr="005D3F07" w14:paraId="68CAA39D" w14:textId="77777777" w:rsidTr="00CE43A8">
        <w:tc>
          <w:tcPr>
            <w:tcW w:w="10768" w:type="dxa"/>
          </w:tcPr>
          <w:p w14:paraId="02F8EE88" w14:textId="05290B1D" w:rsidR="00986B43" w:rsidRDefault="00986B43"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Learner’s name:</w:t>
            </w:r>
            <w:r w:rsidR="00247265">
              <w:rPr>
                <w:rFonts w:ascii="Times New Roman" w:hAnsi="Times New Roman" w:cs="Times New Roman"/>
                <w:b/>
                <w:color w:val="auto"/>
                <w:sz w:val="48"/>
              </w:rPr>
              <w:t xml:space="preserve"> </w:t>
            </w:r>
            <w:r w:rsidR="0045323E">
              <w:rPr>
                <w:rFonts w:ascii="Times New Roman" w:hAnsi="Times New Roman" w:cs="Times New Roman"/>
                <w:b/>
                <w:color w:val="auto"/>
                <w:sz w:val="48"/>
              </w:rPr>
              <w:t>Alfadil Kharif</w:t>
            </w:r>
          </w:p>
          <w:p w14:paraId="0B6CD0DB" w14:textId="689515B5" w:rsidR="009C337F" w:rsidRDefault="009C337F" w:rsidP="005D3F07">
            <w:pPr>
              <w:overflowPunct/>
              <w:autoSpaceDE/>
              <w:autoSpaceDN/>
              <w:adjustRightInd/>
              <w:ind w:right="-957"/>
              <w:textAlignment w:val="auto"/>
              <w:rPr>
                <w:rFonts w:ascii="Times New Roman" w:hAnsi="Times New Roman" w:cs="Times New Roman"/>
                <w:b/>
                <w:color w:val="auto"/>
                <w:sz w:val="48"/>
              </w:rPr>
            </w:pPr>
          </w:p>
          <w:p w14:paraId="3A6EAAC7" w14:textId="26262A42" w:rsidR="009C337F" w:rsidRDefault="009C337F"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Email address:</w:t>
            </w:r>
            <w:r w:rsidR="0045323E">
              <w:rPr>
                <w:rFonts w:ascii="Times New Roman" w:hAnsi="Times New Roman" w:cs="Times New Roman"/>
                <w:b/>
                <w:color w:val="auto"/>
                <w:sz w:val="48"/>
              </w:rPr>
              <w:t>elfadil</w:t>
            </w:r>
            <w:r w:rsidR="00CE43A8">
              <w:rPr>
                <w:rFonts w:ascii="Times New Roman" w:hAnsi="Times New Roman" w:cs="Times New Roman"/>
                <w:b/>
                <w:color w:val="auto"/>
                <w:sz w:val="48"/>
              </w:rPr>
              <w:t>83@yahoo.com</w:t>
            </w:r>
          </w:p>
          <w:p w14:paraId="22E38809" w14:textId="77777777" w:rsidR="00986B43" w:rsidRDefault="00986B43" w:rsidP="005D3F07">
            <w:pPr>
              <w:overflowPunct/>
              <w:autoSpaceDE/>
              <w:autoSpaceDN/>
              <w:adjustRightInd/>
              <w:ind w:right="-957"/>
              <w:textAlignment w:val="auto"/>
              <w:rPr>
                <w:rFonts w:ascii="Times New Roman" w:hAnsi="Times New Roman" w:cs="Times New Roman"/>
                <w:b/>
                <w:color w:val="auto"/>
                <w:sz w:val="48"/>
              </w:rPr>
            </w:pPr>
          </w:p>
          <w:p w14:paraId="0DE696B2" w14:textId="481907F8" w:rsidR="00F927A1" w:rsidRPr="005D3F07" w:rsidRDefault="0085230E" w:rsidP="005D3F07">
            <w:pPr>
              <w:overflowPunct/>
              <w:autoSpaceDE/>
              <w:autoSpaceDN/>
              <w:adjustRightInd/>
              <w:ind w:right="-957"/>
              <w:textAlignment w:val="auto"/>
              <w:rPr>
                <w:rFonts w:ascii="Times New Roman" w:hAnsi="Times New Roman" w:cs="Times New Roman"/>
                <w:b/>
                <w:color w:val="auto"/>
                <w:sz w:val="48"/>
              </w:rPr>
            </w:pPr>
            <w:r w:rsidRPr="005D3F07">
              <w:rPr>
                <w:rFonts w:ascii="Times New Roman" w:hAnsi="Times New Roman" w:cs="Times New Roman"/>
                <w:b/>
                <w:color w:val="auto"/>
                <w:sz w:val="48"/>
              </w:rPr>
              <w:t>Learner’s University Registration</w:t>
            </w:r>
            <w:r w:rsidR="00F927A1" w:rsidRPr="005D3F07">
              <w:rPr>
                <w:rFonts w:ascii="Times New Roman" w:hAnsi="Times New Roman" w:cs="Times New Roman"/>
                <w:b/>
                <w:color w:val="auto"/>
                <w:sz w:val="48"/>
              </w:rPr>
              <w:t xml:space="preserve"> Number:</w:t>
            </w:r>
            <w:r w:rsidR="00CE43A8">
              <w:rPr>
                <w:rFonts w:ascii="Times New Roman" w:hAnsi="Times New Roman" w:cs="Times New Roman"/>
                <w:b/>
                <w:color w:val="auto"/>
                <w:sz w:val="48"/>
              </w:rPr>
              <w:t>1803186</w:t>
            </w:r>
          </w:p>
          <w:p w14:paraId="622FD17A" w14:textId="77777777" w:rsidR="0085230E" w:rsidRPr="005D3F07" w:rsidRDefault="0085230E" w:rsidP="005D3F07">
            <w:pPr>
              <w:overflowPunct/>
              <w:autoSpaceDE/>
              <w:autoSpaceDN/>
              <w:adjustRightInd/>
              <w:ind w:right="-957"/>
              <w:textAlignment w:val="auto"/>
              <w:rPr>
                <w:rFonts w:ascii="Times New Roman" w:hAnsi="Times New Roman" w:cs="Times New Roman"/>
                <w:b/>
                <w:color w:val="auto"/>
                <w:sz w:val="48"/>
              </w:rPr>
            </w:pPr>
          </w:p>
          <w:p w14:paraId="5F84129B" w14:textId="4756DF69" w:rsidR="0085230E" w:rsidRPr="005D3F07" w:rsidRDefault="00706BB5" w:rsidP="005D3F07">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 xml:space="preserve">Cohort: </w:t>
            </w:r>
            <w:r w:rsidR="0049374F">
              <w:rPr>
                <w:rFonts w:ascii="Times New Roman" w:hAnsi="Times New Roman" w:cs="Times New Roman"/>
                <w:b/>
                <w:color w:val="auto"/>
                <w:sz w:val="48"/>
              </w:rPr>
              <w:t>21</w:t>
            </w:r>
            <w:r w:rsidR="00AE6231">
              <w:rPr>
                <w:rFonts w:ascii="Times New Roman" w:hAnsi="Times New Roman" w:cs="Times New Roman"/>
                <w:b/>
                <w:color w:val="auto"/>
                <w:sz w:val="48"/>
              </w:rPr>
              <w:t>onwards</w:t>
            </w:r>
          </w:p>
        </w:tc>
      </w:tr>
    </w:tbl>
    <w:p w14:paraId="40F3C009" w14:textId="77777777" w:rsidR="00F927A1" w:rsidRPr="00F927A1" w:rsidRDefault="008420E1" w:rsidP="00986B43">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 </w:t>
      </w:r>
    </w:p>
    <w:p w14:paraId="621AF8BA" w14:textId="77777777" w:rsidR="00F927A1" w:rsidRPr="00F927A1" w:rsidRDefault="00F927A1" w:rsidP="00F927A1">
      <w:pPr>
        <w:overflowPunct/>
        <w:autoSpaceDE/>
        <w:autoSpaceDN/>
        <w:adjustRightInd/>
        <w:textAlignment w:val="auto"/>
        <w:rPr>
          <w:rFonts w:ascii="Times New Roman" w:hAnsi="Times New Roman" w:cs="Times New Roman"/>
          <w:color w:val="auto"/>
          <w:sz w:val="24"/>
        </w:rPr>
      </w:pPr>
    </w:p>
    <w:p w14:paraId="3FC4E125" w14:textId="77777777" w:rsidR="00F927A1" w:rsidRPr="00F927A1" w:rsidRDefault="00F927A1" w:rsidP="00F927A1">
      <w:pPr>
        <w:overflowPunct/>
        <w:autoSpaceDE/>
        <w:autoSpaceDN/>
        <w:adjustRightInd/>
        <w:ind w:right="-957"/>
        <w:textAlignment w:val="auto"/>
        <w:rPr>
          <w:rFonts w:ascii="Times New Roman" w:hAnsi="Times New Roman" w:cs="Times New Roman"/>
          <w:b/>
          <w:color w:val="auto"/>
          <w:sz w:val="48"/>
        </w:rPr>
      </w:pPr>
    </w:p>
    <w:p w14:paraId="025CB5FE" w14:textId="1EB157DC" w:rsidR="00E559CE" w:rsidRDefault="00E83F91" w:rsidP="005B3A2D">
      <w:pPr>
        <w:jc w:val="center"/>
        <w:rPr>
          <w:b/>
          <w:sz w:val="24"/>
          <w:szCs w:val="24"/>
        </w:rPr>
      </w:pPr>
      <w:r>
        <w:rPr>
          <w:b/>
          <w:sz w:val="24"/>
          <w:szCs w:val="24"/>
        </w:rPr>
        <w:br w:type="page"/>
      </w:r>
    </w:p>
    <w:p w14:paraId="70797153" w14:textId="77777777" w:rsidR="007F312E" w:rsidRDefault="007F312E" w:rsidP="005F64AA">
      <w:pPr>
        <w:jc w:val="center"/>
        <w:rPr>
          <w:b/>
          <w:sz w:val="28"/>
          <w:szCs w:val="28"/>
        </w:rPr>
      </w:pPr>
    </w:p>
    <w:p w14:paraId="1D68DA91" w14:textId="77777777" w:rsidR="00D3203C" w:rsidRDefault="00D3203C" w:rsidP="00EE5BC3">
      <w:pPr>
        <w:jc w:val="center"/>
        <w:rPr>
          <w:b/>
          <w:sz w:val="24"/>
          <w:szCs w:val="24"/>
        </w:rPr>
      </w:pPr>
    </w:p>
    <w:p w14:paraId="0EF984DF" w14:textId="02707E04" w:rsidR="000D0BB6" w:rsidRPr="00EE5BC3" w:rsidRDefault="00337FEF" w:rsidP="00EE5BC3">
      <w:pPr>
        <w:jc w:val="center"/>
        <w:rPr>
          <w:b/>
          <w:sz w:val="28"/>
          <w:szCs w:val="28"/>
        </w:rPr>
      </w:pPr>
      <w:r w:rsidRPr="00EE5BC3">
        <w:rPr>
          <w:b/>
          <w:sz w:val="28"/>
          <w:szCs w:val="28"/>
        </w:rPr>
        <w:t>Task 4</w:t>
      </w:r>
    </w:p>
    <w:p w14:paraId="156B2346" w14:textId="77777777" w:rsidR="00002C7A" w:rsidRPr="00EE5BC3" w:rsidRDefault="00002C7A" w:rsidP="00EE5BC3">
      <w:pPr>
        <w:jc w:val="center"/>
        <w:rPr>
          <w:b/>
          <w:sz w:val="28"/>
          <w:szCs w:val="28"/>
        </w:rPr>
      </w:pPr>
    </w:p>
    <w:p w14:paraId="4A34FA1D" w14:textId="77777777" w:rsidR="00002C7A" w:rsidRPr="00EE5BC3" w:rsidRDefault="00002C7A" w:rsidP="00EE5BC3">
      <w:pPr>
        <w:jc w:val="center"/>
        <w:rPr>
          <w:b/>
          <w:sz w:val="28"/>
          <w:szCs w:val="28"/>
        </w:rPr>
      </w:pPr>
      <w:r w:rsidRPr="00EE5BC3">
        <w:rPr>
          <w:b/>
          <w:sz w:val="28"/>
          <w:szCs w:val="28"/>
        </w:rPr>
        <w:t>Safeguarding</w:t>
      </w:r>
      <w:r w:rsidR="005F64AA">
        <w:rPr>
          <w:b/>
          <w:sz w:val="28"/>
          <w:szCs w:val="28"/>
        </w:rPr>
        <w:t xml:space="preserve"> in an area which is not your main area of work</w:t>
      </w:r>
    </w:p>
    <w:p w14:paraId="6D6C0186" w14:textId="77777777" w:rsidR="000D0BB6" w:rsidRPr="008B28E7" w:rsidRDefault="000D0BB6" w:rsidP="00FF7EBB">
      <w:pPr>
        <w:jc w:val="both"/>
        <w:rPr>
          <w:b/>
          <w:sz w:val="24"/>
          <w:szCs w:val="24"/>
        </w:rPr>
      </w:pPr>
    </w:p>
    <w:p w14:paraId="63836D76" w14:textId="77777777" w:rsidR="00337FEF" w:rsidRPr="00EE5BC3" w:rsidRDefault="008B28E7" w:rsidP="00FF7EBB">
      <w:pPr>
        <w:ind w:left="-90"/>
        <w:jc w:val="both"/>
        <w:rPr>
          <w:b/>
          <w:i/>
          <w:sz w:val="24"/>
          <w:szCs w:val="24"/>
        </w:rPr>
      </w:pPr>
      <w:r w:rsidRPr="00EE5BC3">
        <w:rPr>
          <w:b/>
          <w:i/>
          <w:sz w:val="24"/>
          <w:szCs w:val="24"/>
        </w:rPr>
        <w:t xml:space="preserve">Guidance: </w:t>
      </w:r>
    </w:p>
    <w:p w14:paraId="440B2467" w14:textId="322DDD98" w:rsidR="00633165" w:rsidRPr="00706BB5" w:rsidRDefault="00012B16" w:rsidP="4EC15626">
      <w:pPr>
        <w:ind w:left="-90"/>
        <w:jc w:val="both"/>
        <w:rPr>
          <w:i/>
          <w:iCs/>
          <w:sz w:val="24"/>
          <w:szCs w:val="24"/>
        </w:rPr>
      </w:pPr>
      <w:r w:rsidRPr="00F15354">
        <w:rPr>
          <w:i/>
          <w:iCs/>
          <w:sz w:val="24"/>
          <w:szCs w:val="24"/>
        </w:rPr>
        <w:t>Social Care Wales</w:t>
      </w:r>
      <w:r w:rsidR="008B28E7" w:rsidRPr="006179BB">
        <w:rPr>
          <w:i/>
          <w:iCs/>
          <w:sz w:val="24"/>
          <w:szCs w:val="24"/>
        </w:rPr>
        <w:t xml:space="preserve"> require newly qualified social workers </w:t>
      </w:r>
      <w:r w:rsidR="00D60F88" w:rsidRPr="006179BB">
        <w:rPr>
          <w:i/>
          <w:iCs/>
          <w:sz w:val="24"/>
          <w:szCs w:val="24"/>
        </w:rPr>
        <w:t xml:space="preserve">to provide evidence of </w:t>
      </w:r>
      <w:r w:rsidR="008B28E7" w:rsidRPr="00A5656A">
        <w:rPr>
          <w:i/>
          <w:iCs/>
          <w:sz w:val="24"/>
          <w:szCs w:val="24"/>
        </w:rPr>
        <w:t xml:space="preserve">their </w:t>
      </w:r>
      <w:r w:rsidR="00D60F88" w:rsidRPr="00A5656A">
        <w:rPr>
          <w:i/>
          <w:iCs/>
          <w:sz w:val="24"/>
          <w:szCs w:val="24"/>
        </w:rPr>
        <w:t>understanding of safeguarding work with adults and children</w:t>
      </w:r>
      <w:r w:rsidR="008B28E7" w:rsidRPr="009C7342">
        <w:rPr>
          <w:i/>
          <w:iCs/>
          <w:sz w:val="24"/>
          <w:szCs w:val="24"/>
        </w:rPr>
        <w:t>.</w:t>
      </w:r>
      <w:r w:rsidR="00D60F88" w:rsidRPr="009C7342">
        <w:rPr>
          <w:i/>
          <w:iCs/>
          <w:sz w:val="24"/>
          <w:szCs w:val="24"/>
        </w:rPr>
        <w:t xml:space="preserve"> </w:t>
      </w:r>
      <w:r w:rsidR="004911B4" w:rsidRPr="00706BB5">
        <w:rPr>
          <w:i/>
          <w:iCs/>
          <w:sz w:val="24"/>
          <w:szCs w:val="24"/>
        </w:rPr>
        <w:t>The</w:t>
      </w:r>
      <w:r w:rsidR="00D60F88" w:rsidRPr="00706BB5">
        <w:rPr>
          <w:i/>
          <w:iCs/>
          <w:sz w:val="24"/>
          <w:szCs w:val="24"/>
        </w:rPr>
        <w:t xml:space="preserve"> assignment below will enable you to </w:t>
      </w:r>
      <w:r w:rsidR="00EE5BC3" w:rsidRPr="00706BB5">
        <w:rPr>
          <w:i/>
          <w:iCs/>
          <w:sz w:val="24"/>
          <w:szCs w:val="24"/>
        </w:rPr>
        <w:t>demonstrate this</w:t>
      </w:r>
      <w:r w:rsidR="008B28E7" w:rsidRPr="00706BB5">
        <w:rPr>
          <w:i/>
          <w:iCs/>
          <w:sz w:val="24"/>
          <w:szCs w:val="24"/>
        </w:rPr>
        <w:t xml:space="preserve">. </w:t>
      </w:r>
      <w:r w:rsidR="008B28E7" w:rsidRPr="00706BB5">
        <w:rPr>
          <w:b/>
          <w:bCs/>
          <w:i/>
          <w:iCs/>
          <w:sz w:val="24"/>
          <w:szCs w:val="24"/>
        </w:rPr>
        <w:t>N.B</w:t>
      </w:r>
      <w:r w:rsidR="008B28E7" w:rsidRPr="00706BB5">
        <w:rPr>
          <w:i/>
          <w:iCs/>
          <w:sz w:val="24"/>
          <w:szCs w:val="24"/>
        </w:rPr>
        <w:t xml:space="preserve">. </w:t>
      </w:r>
      <w:r w:rsidR="00D60F88" w:rsidRPr="00706BB5">
        <w:rPr>
          <w:i/>
          <w:iCs/>
          <w:sz w:val="24"/>
          <w:szCs w:val="24"/>
        </w:rPr>
        <w:t xml:space="preserve">if your </w:t>
      </w:r>
      <w:r w:rsidR="009D477B" w:rsidRPr="00706BB5">
        <w:rPr>
          <w:i/>
          <w:iCs/>
          <w:sz w:val="24"/>
          <w:szCs w:val="24"/>
        </w:rPr>
        <w:t>usual area</w:t>
      </w:r>
      <w:r w:rsidR="00D60F88" w:rsidRPr="00706BB5">
        <w:rPr>
          <w:i/>
          <w:iCs/>
          <w:sz w:val="24"/>
          <w:szCs w:val="24"/>
        </w:rPr>
        <w:t xml:space="preserve"> of work is with children please write about adult</w:t>
      </w:r>
      <w:r w:rsidR="003C19F1" w:rsidRPr="00706BB5">
        <w:rPr>
          <w:i/>
          <w:iCs/>
          <w:sz w:val="24"/>
          <w:szCs w:val="24"/>
        </w:rPr>
        <w:t xml:space="preserve"> safeguarding. I</w:t>
      </w:r>
      <w:r w:rsidR="00D60F88" w:rsidRPr="00706BB5">
        <w:rPr>
          <w:i/>
          <w:iCs/>
          <w:sz w:val="24"/>
          <w:szCs w:val="24"/>
        </w:rPr>
        <w:t xml:space="preserve">f you </w:t>
      </w:r>
      <w:r w:rsidR="009D477B" w:rsidRPr="00706BB5">
        <w:rPr>
          <w:i/>
          <w:iCs/>
          <w:sz w:val="24"/>
          <w:szCs w:val="24"/>
        </w:rPr>
        <w:t>usually work</w:t>
      </w:r>
      <w:r w:rsidR="00D60F88" w:rsidRPr="00706BB5">
        <w:rPr>
          <w:i/>
          <w:iCs/>
          <w:sz w:val="24"/>
          <w:szCs w:val="24"/>
        </w:rPr>
        <w:t xml:space="preserve"> with adults</w:t>
      </w:r>
      <w:r w:rsidR="3CD2139F" w:rsidRPr="00706BB5">
        <w:rPr>
          <w:i/>
          <w:iCs/>
          <w:sz w:val="24"/>
          <w:szCs w:val="24"/>
        </w:rPr>
        <w:t>,</w:t>
      </w:r>
      <w:r w:rsidR="00D60F88" w:rsidRPr="00706BB5">
        <w:rPr>
          <w:i/>
          <w:iCs/>
          <w:sz w:val="24"/>
          <w:szCs w:val="24"/>
        </w:rPr>
        <w:t xml:space="preserve"> then write about child</w:t>
      </w:r>
      <w:r w:rsidR="003C19F1" w:rsidRPr="00706BB5">
        <w:rPr>
          <w:i/>
          <w:iCs/>
          <w:sz w:val="24"/>
          <w:szCs w:val="24"/>
        </w:rPr>
        <w:t xml:space="preserve"> safeguarding</w:t>
      </w:r>
      <w:r w:rsidR="00D60F88" w:rsidRPr="00706BB5">
        <w:rPr>
          <w:i/>
          <w:iCs/>
          <w:sz w:val="24"/>
          <w:szCs w:val="24"/>
        </w:rPr>
        <w:t xml:space="preserve">. </w:t>
      </w:r>
      <w:r w:rsidR="00337FEF" w:rsidRPr="00706BB5">
        <w:rPr>
          <w:i/>
          <w:iCs/>
          <w:sz w:val="24"/>
          <w:szCs w:val="24"/>
        </w:rPr>
        <w:t xml:space="preserve"> </w:t>
      </w:r>
      <w:r w:rsidR="0079422A" w:rsidRPr="00706BB5">
        <w:rPr>
          <w:i/>
          <w:iCs/>
          <w:sz w:val="24"/>
          <w:szCs w:val="24"/>
        </w:rPr>
        <w:t>E</w:t>
      </w:r>
      <w:r w:rsidR="00337FEF" w:rsidRPr="00706BB5">
        <w:rPr>
          <w:i/>
          <w:iCs/>
          <w:sz w:val="24"/>
          <w:szCs w:val="24"/>
        </w:rPr>
        <w:t xml:space="preserve">nsure you meet </w:t>
      </w:r>
      <w:r w:rsidR="00FC0334" w:rsidRPr="00706BB5">
        <w:rPr>
          <w:i/>
          <w:iCs/>
          <w:sz w:val="24"/>
          <w:szCs w:val="24"/>
        </w:rPr>
        <w:t>the</w:t>
      </w:r>
      <w:r w:rsidR="00AA7960" w:rsidRPr="00706BB5">
        <w:rPr>
          <w:i/>
          <w:iCs/>
          <w:sz w:val="24"/>
          <w:szCs w:val="24"/>
        </w:rPr>
        <w:t xml:space="preserve"> </w:t>
      </w:r>
      <w:r w:rsidR="00064063" w:rsidRPr="00706BB5">
        <w:rPr>
          <w:i/>
          <w:iCs/>
          <w:sz w:val="24"/>
          <w:szCs w:val="24"/>
        </w:rPr>
        <w:t xml:space="preserve">learning out comes for this task </w:t>
      </w:r>
      <w:r w:rsidR="0079422A" w:rsidRPr="00706BB5">
        <w:rPr>
          <w:i/>
          <w:iCs/>
          <w:sz w:val="24"/>
          <w:szCs w:val="24"/>
        </w:rPr>
        <w:t>(</w:t>
      </w:r>
      <w:r w:rsidR="00064063" w:rsidRPr="00706BB5">
        <w:rPr>
          <w:i/>
          <w:iCs/>
          <w:sz w:val="24"/>
          <w:szCs w:val="24"/>
        </w:rPr>
        <w:t xml:space="preserve">see appendix </w:t>
      </w:r>
      <w:r w:rsidR="003D1BC0">
        <w:rPr>
          <w:i/>
          <w:iCs/>
          <w:sz w:val="24"/>
          <w:szCs w:val="24"/>
        </w:rPr>
        <w:t>5</w:t>
      </w:r>
      <w:r w:rsidR="00064063" w:rsidRPr="00706BB5">
        <w:rPr>
          <w:i/>
          <w:iCs/>
          <w:sz w:val="24"/>
          <w:szCs w:val="24"/>
        </w:rPr>
        <w:t xml:space="preserve"> </w:t>
      </w:r>
      <w:r w:rsidR="00FC0334" w:rsidRPr="00F15354">
        <w:rPr>
          <w:i/>
          <w:iCs/>
          <w:sz w:val="24"/>
          <w:szCs w:val="24"/>
        </w:rPr>
        <w:t>of the</w:t>
      </w:r>
      <w:r w:rsidR="007A628F" w:rsidRPr="4EC15626">
        <w:rPr>
          <w:i/>
          <w:iCs/>
          <w:sz w:val="24"/>
          <w:szCs w:val="24"/>
        </w:rPr>
        <w:t xml:space="preserve"> h</w:t>
      </w:r>
      <w:r w:rsidR="00FC0334" w:rsidRPr="00F15354">
        <w:rPr>
          <w:i/>
          <w:iCs/>
          <w:sz w:val="24"/>
          <w:szCs w:val="24"/>
        </w:rPr>
        <w:t>andbook</w:t>
      </w:r>
      <w:r w:rsidR="0079422A" w:rsidRPr="006179BB">
        <w:rPr>
          <w:i/>
          <w:iCs/>
          <w:sz w:val="24"/>
          <w:szCs w:val="24"/>
        </w:rPr>
        <w:t>).</w:t>
      </w:r>
    </w:p>
    <w:p w14:paraId="7A8069C4" w14:textId="77777777" w:rsidR="00633165" w:rsidRPr="008B28E7" w:rsidRDefault="00633165" w:rsidP="00FF7EBB">
      <w:pPr>
        <w:ind w:left="360" w:hanging="360"/>
        <w:jc w:val="both"/>
        <w:rPr>
          <w:sz w:val="24"/>
          <w:szCs w:val="24"/>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5A545C" w:rsidRPr="008B28E7" w14:paraId="152141E6" w14:textId="77777777" w:rsidTr="006108C9">
        <w:tc>
          <w:tcPr>
            <w:tcW w:w="10188" w:type="dxa"/>
          </w:tcPr>
          <w:p w14:paraId="2B66890D" w14:textId="56A37C4F" w:rsidR="00337FEF" w:rsidRPr="00EB695F" w:rsidRDefault="00337FEF" w:rsidP="00FF7EBB">
            <w:pPr>
              <w:jc w:val="both"/>
              <w:rPr>
                <w:b/>
                <w:sz w:val="24"/>
                <w:szCs w:val="24"/>
              </w:rPr>
            </w:pPr>
            <w:r w:rsidRPr="00EB695F">
              <w:rPr>
                <w:b/>
                <w:sz w:val="24"/>
                <w:szCs w:val="24"/>
              </w:rPr>
              <w:t>Question</w:t>
            </w:r>
            <w:r w:rsidR="00FC0334">
              <w:rPr>
                <w:b/>
                <w:sz w:val="24"/>
                <w:szCs w:val="24"/>
              </w:rPr>
              <w:t xml:space="preserve"> a</w:t>
            </w:r>
            <w:r w:rsidR="007A628F">
              <w:rPr>
                <w:b/>
                <w:sz w:val="24"/>
                <w:szCs w:val="24"/>
              </w:rPr>
              <w:t>:</w:t>
            </w:r>
          </w:p>
          <w:p w14:paraId="17A49383" w14:textId="77777777" w:rsidR="008B28E7" w:rsidRDefault="00BB7FD2" w:rsidP="00FF7EBB">
            <w:pPr>
              <w:jc w:val="both"/>
              <w:rPr>
                <w:sz w:val="24"/>
                <w:szCs w:val="24"/>
              </w:rPr>
            </w:pPr>
            <w:r>
              <w:rPr>
                <w:sz w:val="24"/>
                <w:szCs w:val="24"/>
              </w:rPr>
              <w:t xml:space="preserve">In an area </w:t>
            </w:r>
            <w:r w:rsidRPr="00AE1868">
              <w:rPr>
                <w:b/>
                <w:sz w:val="24"/>
                <w:szCs w:val="24"/>
              </w:rPr>
              <w:t xml:space="preserve">that is not your main focus of work </w:t>
            </w:r>
            <w:r>
              <w:rPr>
                <w:sz w:val="24"/>
                <w:szCs w:val="24"/>
              </w:rPr>
              <w:t xml:space="preserve">(see guidance above), </w:t>
            </w:r>
            <w:r w:rsidR="0002440E">
              <w:rPr>
                <w:sz w:val="24"/>
                <w:szCs w:val="24"/>
              </w:rPr>
              <w:t>explain</w:t>
            </w:r>
            <w:r w:rsidR="008340BA">
              <w:rPr>
                <w:sz w:val="24"/>
                <w:szCs w:val="24"/>
              </w:rPr>
              <w:t xml:space="preserve"> </w:t>
            </w:r>
            <w:r w:rsidR="00DA22EC" w:rsidRPr="006108C9">
              <w:rPr>
                <w:sz w:val="24"/>
                <w:szCs w:val="24"/>
              </w:rPr>
              <w:t>the</w:t>
            </w:r>
            <w:r w:rsidR="005A545C" w:rsidRPr="006108C9">
              <w:rPr>
                <w:sz w:val="24"/>
                <w:szCs w:val="24"/>
              </w:rPr>
              <w:t xml:space="preserve"> relevant </w:t>
            </w:r>
            <w:r>
              <w:rPr>
                <w:sz w:val="24"/>
                <w:szCs w:val="24"/>
              </w:rPr>
              <w:t xml:space="preserve">legislation, </w:t>
            </w:r>
            <w:r w:rsidR="0002440E">
              <w:rPr>
                <w:sz w:val="24"/>
                <w:szCs w:val="24"/>
              </w:rPr>
              <w:t>and</w:t>
            </w:r>
            <w:r w:rsidR="008340BA">
              <w:rPr>
                <w:sz w:val="24"/>
                <w:szCs w:val="24"/>
              </w:rPr>
              <w:t xml:space="preserve"> the </w:t>
            </w:r>
            <w:r w:rsidR="005A545C" w:rsidRPr="006108C9">
              <w:rPr>
                <w:sz w:val="24"/>
                <w:szCs w:val="24"/>
              </w:rPr>
              <w:t>national, local and organisational policies and procedures</w:t>
            </w:r>
            <w:r>
              <w:rPr>
                <w:sz w:val="24"/>
                <w:szCs w:val="24"/>
              </w:rPr>
              <w:t xml:space="preserve"> for safeguarding. </w:t>
            </w:r>
          </w:p>
          <w:p w14:paraId="1FBBCFA0" w14:textId="77777777" w:rsidR="006108C9" w:rsidRDefault="006108C9" w:rsidP="00FF7EBB">
            <w:pPr>
              <w:jc w:val="both"/>
              <w:rPr>
                <w:sz w:val="24"/>
                <w:szCs w:val="24"/>
              </w:rPr>
            </w:pPr>
          </w:p>
          <w:p w14:paraId="0318E819" w14:textId="77777777" w:rsidR="00FC0334" w:rsidRDefault="00FC0334" w:rsidP="00FF7EBB">
            <w:pPr>
              <w:jc w:val="both"/>
              <w:rPr>
                <w:sz w:val="24"/>
                <w:szCs w:val="24"/>
              </w:rPr>
            </w:pPr>
          </w:p>
          <w:p w14:paraId="74DA0F2A" w14:textId="77777777" w:rsidR="00316C61" w:rsidRPr="00A8004D" w:rsidRDefault="00316C61" w:rsidP="00316C61">
            <w:pPr>
              <w:overflowPunct/>
              <w:autoSpaceDE/>
              <w:autoSpaceDN/>
              <w:adjustRightInd/>
              <w:spacing w:before="100" w:beforeAutospacing="1" w:after="100" w:afterAutospacing="1" w:line="360" w:lineRule="auto"/>
              <w:jc w:val="both"/>
              <w:textAlignment w:val="auto"/>
              <w:rPr>
                <w:rFonts w:asciiTheme="majorHAnsi" w:hAnsiTheme="majorHAnsi" w:cstheme="majorHAnsi"/>
                <w:color w:val="auto"/>
                <w:sz w:val="24"/>
                <w:szCs w:val="24"/>
              </w:rPr>
            </w:pPr>
            <w:r w:rsidRPr="00A8004D">
              <w:rPr>
                <w:rFonts w:asciiTheme="majorHAnsi" w:hAnsiTheme="majorHAnsi" w:cstheme="majorHAnsi"/>
                <w:color w:val="auto"/>
                <w:sz w:val="24"/>
                <w:szCs w:val="24"/>
              </w:rPr>
              <w:t>Safeguarding adults at risk is a statutory duty in Wales, supported by a comprehensive legal framework that reflects both national priorities and international human rights standards. This analysis critically examines the key legislation and guidance underpinning adult safeguarding and considers their implications for social work practice.</w:t>
            </w:r>
          </w:p>
          <w:p w14:paraId="6C84C3B4" w14:textId="77777777" w:rsidR="00316C61" w:rsidRPr="00A8004D" w:rsidRDefault="00316C61" w:rsidP="00316C61">
            <w:pPr>
              <w:overflowPunct/>
              <w:autoSpaceDE/>
              <w:autoSpaceDN/>
              <w:adjustRightInd/>
              <w:spacing w:before="100" w:beforeAutospacing="1" w:after="100" w:afterAutospacing="1" w:line="360" w:lineRule="auto"/>
              <w:jc w:val="both"/>
              <w:textAlignment w:val="auto"/>
              <w:rPr>
                <w:rFonts w:asciiTheme="majorHAnsi" w:hAnsiTheme="majorHAnsi" w:cstheme="majorHAnsi"/>
                <w:color w:val="auto"/>
                <w:sz w:val="24"/>
                <w:szCs w:val="24"/>
              </w:rPr>
            </w:pPr>
            <w:r w:rsidRPr="00A8004D">
              <w:rPr>
                <w:rFonts w:asciiTheme="majorHAnsi" w:hAnsiTheme="majorHAnsi" w:cstheme="majorHAnsi"/>
                <w:color w:val="auto"/>
                <w:sz w:val="24"/>
                <w:szCs w:val="24"/>
              </w:rPr>
              <w:t>The Social Services and Well-being (Wales) Act 2014 (SSWBA) is the primary legislation governing adult safeguarding. It defines an adult at risk as someone experiencing, or at risk of, abuse or neglect, who has care and support needs and is unable to protect themselves (Welsh Government, 2014). Categories of abuse include physical, psychological, financial, sexual, discriminatory, institutional, neglect, self-neglect, cyber abuse, and modern slavery (WHO, 2022).</w:t>
            </w:r>
          </w:p>
          <w:p w14:paraId="3C54BD90" w14:textId="792612ED" w:rsidR="00316C61" w:rsidRPr="00A8004D" w:rsidRDefault="00316C61" w:rsidP="00316C61">
            <w:pPr>
              <w:overflowPunct/>
              <w:autoSpaceDE/>
              <w:autoSpaceDN/>
              <w:adjustRightInd/>
              <w:spacing w:before="100" w:beforeAutospacing="1" w:after="100" w:afterAutospacing="1" w:line="360" w:lineRule="auto"/>
              <w:jc w:val="both"/>
              <w:textAlignment w:val="auto"/>
              <w:rPr>
                <w:rFonts w:asciiTheme="majorHAnsi" w:hAnsiTheme="majorHAnsi" w:cstheme="majorHAnsi"/>
                <w:color w:val="auto"/>
                <w:sz w:val="24"/>
                <w:szCs w:val="24"/>
              </w:rPr>
            </w:pPr>
            <w:r w:rsidRPr="00A8004D">
              <w:rPr>
                <w:rFonts w:asciiTheme="majorHAnsi" w:hAnsiTheme="majorHAnsi" w:cstheme="majorHAnsi"/>
                <w:color w:val="auto"/>
                <w:sz w:val="24"/>
                <w:szCs w:val="24"/>
              </w:rPr>
              <w:t>Under Section 132 of the SSWBA</w:t>
            </w:r>
            <w:r w:rsidR="00541C96">
              <w:rPr>
                <w:rFonts w:asciiTheme="majorHAnsi" w:hAnsiTheme="majorHAnsi" w:cstheme="majorHAnsi"/>
                <w:color w:val="auto"/>
                <w:sz w:val="24"/>
                <w:szCs w:val="24"/>
              </w:rPr>
              <w:t xml:space="preserve"> 2014</w:t>
            </w:r>
            <w:r w:rsidRPr="00A8004D">
              <w:rPr>
                <w:rFonts w:asciiTheme="majorHAnsi" w:hAnsiTheme="majorHAnsi" w:cstheme="majorHAnsi"/>
                <w:color w:val="auto"/>
                <w:sz w:val="24"/>
                <w:szCs w:val="24"/>
              </w:rPr>
              <w:t xml:space="preserve">, the National Independent Safeguarding Board monitors safeguarding effectiveness and recommends improvements based on evidence and practice reviews </w:t>
            </w:r>
            <w:r w:rsidR="006660CD" w:rsidRPr="006660CD">
              <w:rPr>
                <w:rFonts w:asciiTheme="majorHAnsi" w:hAnsiTheme="majorHAnsi" w:cstheme="majorHAnsi"/>
                <w:color w:val="auto"/>
                <w:sz w:val="24"/>
                <w:szCs w:val="24"/>
              </w:rPr>
              <w:t>(Social Care Wales ,2017</w:t>
            </w:r>
            <w:r w:rsidRPr="00A8004D">
              <w:rPr>
                <w:rFonts w:asciiTheme="majorHAnsi" w:hAnsiTheme="majorHAnsi" w:cstheme="majorHAnsi"/>
                <w:color w:val="auto"/>
                <w:sz w:val="24"/>
                <w:szCs w:val="24"/>
              </w:rPr>
              <w:t xml:space="preserve">). The Act places a duty on local authorities to undertake enquiries and, where necessary, apply for Adult Protection and Support Orders. It also promotes multi-agency collaboration and principles such as voice and control, well-being, prevention, and co-production—principles aligned with the Well-being of Future Generations (Wales) Act 2015 </w:t>
            </w:r>
            <w:r w:rsidR="006660CD">
              <w:rPr>
                <w:rFonts w:asciiTheme="majorHAnsi" w:hAnsiTheme="majorHAnsi" w:cstheme="majorHAnsi"/>
                <w:color w:val="auto"/>
                <w:sz w:val="24"/>
                <w:szCs w:val="24"/>
              </w:rPr>
              <w:t>(</w:t>
            </w:r>
            <w:r w:rsidR="006660CD" w:rsidRPr="006660CD">
              <w:rPr>
                <w:rFonts w:asciiTheme="majorHAnsi" w:hAnsiTheme="majorHAnsi" w:cstheme="majorHAnsi"/>
                <w:color w:val="auto"/>
                <w:sz w:val="24"/>
                <w:szCs w:val="24"/>
              </w:rPr>
              <w:t xml:space="preserve">Social Care Wales </w:t>
            </w:r>
            <w:r w:rsidR="006660CD">
              <w:rPr>
                <w:rFonts w:asciiTheme="majorHAnsi" w:hAnsiTheme="majorHAnsi" w:cstheme="majorHAnsi"/>
                <w:color w:val="auto"/>
                <w:sz w:val="24"/>
                <w:szCs w:val="24"/>
              </w:rPr>
              <w:t>,</w:t>
            </w:r>
            <w:r w:rsidR="006660CD" w:rsidRPr="006660CD">
              <w:rPr>
                <w:rFonts w:asciiTheme="majorHAnsi" w:hAnsiTheme="majorHAnsi" w:cstheme="majorHAnsi"/>
                <w:color w:val="auto"/>
                <w:sz w:val="24"/>
                <w:szCs w:val="24"/>
              </w:rPr>
              <w:t>2017).</w:t>
            </w:r>
          </w:p>
          <w:p w14:paraId="19F909D1" w14:textId="6EB37561" w:rsidR="00316C61" w:rsidRPr="00A8004D" w:rsidRDefault="00316C61" w:rsidP="00316C61">
            <w:pPr>
              <w:overflowPunct/>
              <w:autoSpaceDE/>
              <w:autoSpaceDN/>
              <w:adjustRightInd/>
              <w:spacing w:before="100" w:beforeAutospacing="1" w:after="100" w:afterAutospacing="1" w:line="360" w:lineRule="auto"/>
              <w:jc w:val="both"/>
              <w:textAlignment w:val="auto"/>
              <w:rPr>
                <w:rFonts w:asciiTheme="majorHAnsi" w:hAnsiTheme="majorHAnsi" w:cstheme="majorHAnsi"/>
                <w:color w:val="auto"/>
                <w:sz w:val="24"/>
                <w:szCs w:val="24"/>
              </w:rPr>
            </w:pPr>
            <w:r w:rsidRPr="00A8004D">
              <w:rPr>
                <w:rFonts w:asciiTheme="majorHAnsi" w:hAnsiTheme="majorHAnsi" w:cstheme="majorHAnsi"/>
                <w:color w:val="auto"/>
                <w:sz w:val="24"/>
                <w:szCs w:val="24"/>
              </w:rPr>
              <w:t>Practice guide such as Volume 6 of the Wales Safeguarding Procedures (2019) provides operational guidance, advocating for person-centred and co-produced approaches. It outlines statutory duties and ethical standards, strengthening safeguarding as a shared responsibility</w:t>
            </w:r>
            <w:r w:rsidR="00080E27">
              <w:rPr>
                <w:rFonts w:asciiTheme="majorHAnsi" w:hAnsiTheme="majorHAnsi" w:cstheme="majorHAnsi"/>
                <w:color w:val="auto"/>
                <w:sz w:val="24"/>
                <w:szCs w:val="24"/>
              </w:rPr>
              <w:t xml:space="preserve"> </w:t>
            </w:r>
            <w:r w:rsidR="00080E27" w:rsidRPr="00080E27">
              <w:rPr>
                <w:rFonts w:asciiTheme="majorHAnsi" w:hAnsiTheme="majorHAnsi" w:cstheme="majorHAnsi"/>
                <w:color w:val="auto"/>
                <w:sz w:val="24"/>
                <w:szCs w:val="24"/>
              </w:rPr>
              <w:t>(Welsh Government, 2019)</w:t>
            </w:r>
            <w:r w:rsidRPr="00A8004D">
              <w:rPr>
                <w:rFonts w:asciiTheme="majorHAnsi" w:hAnsiTheme="majorHAnsi" w:cstheme="majorHAnsi"/>
                <w:color w:val="auto"/>
                <w:sz w:val="24"/>
                <w:szCs w:val="24"/>
              </w:rPr>
              <w:t>. Where there is reasonable cause to believe that a person with care needs is being abused, health and social care professionals must act immediately to safeguard the individual (Welsh Government, 2019).</w:t>
            </w:r>
          </w:p>
          <w:p w14:paraId="01FA5BDD" w14:textId="77777777" w:rsidR="00316C61" w:rsidRPr="00A8004D" w:rsidRDefault="00316C61" w:rsidP="00316C61">
            <w:pPr>
              <w:overflowPunct/>
              <w:autoSpaceDE/>
              <w:autoSpaceDN/>
              <w:adjustRightInd/>
              <w:spacing w:before="100" w:beforeAutospacing="1" w:after="100" w:afterAutospacing="1" w:line="360" w:lineRule="auto"/>
              <w:jc w:val="both"/>
              <w:textAlignment w:val="auto"/>
              <w:rPr>
                <w:rFonts w:asciiTheme="majorHAnsi" w:hAnsiTheme="majorHAnsi" w:cstheme="majorHAnsi"/>
                <w:color w:val="auto"/>
                <w:sz w:val="24"/>
                <w:szCs w:val="24"/>
              </w:rPr>
            </w:pPr>
            <w:r w:rsidRPr="00A8004D">
              <w:rPr>
                <w:rFonts w:asciiTheme="majorHAnsi" w:hAnsiTheme="majorHAnsi" w:cstheme="majorHAnsi"/>
                <w:color w:val="auto"/>
                <w:sz w:val="24"/>
                <w:szCs w:val="24"/>
              </w:rPr>
              <w:t>The Procedures emphasise six key principles: empowerment, prevention, proportionality, protection, partnership, and accountability—which guide decision-making and intervention in safeguarding practice (Welsh Government, 2019).</w:t>
            </w:r>
          </w:p>
          <w:p w14:paraId="7CA2E4F4" w14:textId="5916E55F" w:rsidR="00316C61" w:rsidRPr="00A8004D" w:rsidRDefault="00316C61" w:rsidP="00316C61">
            <w:pPr>
              <w:overflowPunct/>
              <w:autoSpaceDE/>
              <w:autoSpaceDN/>
              <w:adjustRightInd/>
              <w:spacing w:before="100" w:beforeAutospacing="1" w:after="100" w:afterAutospacing="1" w:line="360" w:lineRule="auto"/>
              <w:jc w:val="both"/>
              <w:textAlignment w:val="auto"/>
              <w:rPr>
                <w:rFonts w:asciiTheme="majorHAnsi" w:hAnsiTheme="majorHAnsi" w:cstheme="majorHAnsi"/>
                <w:color w:val="auto"/>
                <w:sz w:val="24"/>
                <w:szCs w:val="24"/>
              </w:rPr>
            </w:pPr>
            <w:r w:rsidRPr="00A8004D">
              <w:rPr>
                <w:rFonts w:asciiTheme="majorHAnsi" w:hAnsiTheme="majorHAnsi" w:cstheme="majorHAnsi"/>
                <w:color w:val="auto"/>
                <w:sz w:val="24"/>
                <w:szCs w:val="24"/>
              </w:rPr>
              <w:t>Meanwhile, the Mental Capacity Act (2005) provides a legal framework for decision-making when individuals lack capacity. Its five guiding principles ensure that interventions are proportionate and uphold individual autonomy</w:t>
            </w:r>
            <w:r w:rsidR="009F744E">
              <w:rPr>
                <w:rFonts w:asciiTheme="majorHAnsi" w:hAnsiTheme="majorHAnsi" w:cstheme="majorHAnsi"/>
                <w:color w:val="auto"/>
                <w:sz w:val="24"/>
                <w:szCs w:val="24"/>
              </w:rPr>
              <w:t xml:space="preserve"> </w:t>
            </w:r>
            <w:r w:rsidR="009F744E" w:rsidRPr="009F744E">
              <w:rPr>
                <w:rFonts w:asciiTheme="majorHAnsi" w:hAnsiTheme="majorHAnsi" w:cstheme="majorHAnsi"/>
                <w:color w:val="auto"/>
                <w:sz w:val="24"/>
                <w:szCs w:val="24"/>
              </w:rPr>
              <w:t>(Welsh Government, 2019).</w:t>
            </w:r>
            <w:r w:rsidRPr="00A8004D">
              <w:rPr>
                <w:rFonts w:asciiTheme="majorHAnsi" w:hAnsiTheme="majorHAnsi" w:cstheme="majorHAnsi"/>
                <w:color w:val="auto"/>
                <w:sz w:val="24"/>
                <w:szCs w:val="24"/>
              </w:rPr>
              <w:t xml:space="preserve"> Capacity assessments are critical in safeguarding contexts, informing protective actions and care planning (Welsh Government, 2019).</w:t>
            </w:r>
          </w:p>
          <w:p w14:paraId="10366346" w14:textId="77777777" w:rsidR="00316C61" w:rsidRPr="00A8004D" w:rsidRDefault="00316C61" w:rsidP="00316C61">
            <w:pPr>
              <w:overflowPunct/>
              <w:autoSpaceDE/>
              <w:autoSpaceDN/>
              <w:adjustRightInd/>
              <w:spacing w:before="100" w:beforeAutospacing="1" w:after="100" w:afterAutospacing="1" w:line="360" w:lineRule="auto"/>
              <w:jc w:val="both"/>
              <w:textAlignment w:val="auto"/>
              <w:rPr>
                <w:rFonts w:asciiTheme="majorHAnsi" w:hAnsiTheme="majorHAnsi" w:cstheme="majorHAnsi"/>
                <w:color w:val="auto"/>
                <w:sz w:val="24"/>
                <w:szCs w:val="24"/>
              </w:rPr>
            </w:pPr>
            <w:r w:rsidRPr="00A8004D">
              <w:rPr>
                <w:rFonts w:asciiTheme="majorHAnsi" w:hAnsiTheme="majorHAnsi" w:cstheme="majorHAnsi"/>
                <w:color w:val="auto"/>
                <w:sz w:val="24"/>
                <w:szCs w:val="24"/>
              </w:rPr>
              <w:t xml:space="preserve">Besides, the Human Rights Act 1998 and the European Convention on Human Rights (ECHR) underpin safeguarding by ensuring dignity and protection from inhuman or degrading treatment (Welsh Government, 2019). Relevant articles include the right to life, freedom from torture and degrading treatment, liberty and security, and respect for private and family life (Choudhry, 2011). These rights inform ethical decision-making and legal accountability in safeguarding practice </w:t>
            </w:r>
            <w:bookmarkStart w:id="0" w:name="_Hlk210240437"/>
            <w:r w:rsidRPr="00A8004D">
              <w:rPr>
                <w:rFonts w:asciiTheme="majorHAnsi" w:hAnsiTheme="majorHAnsi" w:cstheme="majorHAnsi"/>
                <w:color w:val="auto"/>
                <w:sz w:val="24"/>
                <w:szCs w:val="24"/>
              </w:rPr>
              <w:t>(Welsh Government, 2019).</w:t>
            </w:r>
          </w:p>
          <w:bookmarkEnd w:id="0"/>
          <w:p w14:paraId="118B3DF0" w14:textId="77777777" w:rsidR="00316C61" w:rsidRPr="00A8004D" w:rsidRDefault="00316C61" w:rsidP="00316C61">
            <w:pPr>
              <w:overflowPunct/>
              <w:autoSpaceDE/>
              <w:autoSpaceDN/>
              <w:adjustRightInd/>
              <w:spacing w:before="100" w:beforeAutospacing="1" w:after="100" w:afterAutospacing="1" w:line="360" w:lineRule="auto"/>
              <w:jc w:val="both"/>
              <w:textAlignment w:val="auto"/>
              <w:rPr>
                <w:rFonts w:asciiTheme="majorHAnsi" w:hAnsiTheme="majorHAnsi" w:cstheme="majorHAnsi"/>
                <w:color w:val="auto"/>
                <w:sz w:val="24"/>
                <w:szCs w:val="24"/>
              </w:rPr>
            </w:pPr>
            <w:r w:rsidRPr="00A8004D">
              <w:rPr>
                <w:rFonts w:asciiTheme="majorHAnsi" w:hAnsiTheme="majorHAnsi" w:cstheme="majorHAnsi"/>
                <w:color w:val="auto"/>
                <w:sz w:val="24"/>
                <w:szCs w:val="24"/>
              </w:rPr>
              <w:t xml:space="preserve">Moreover, the Violence Against Women, Domestic Abuse and Sexual Violence (Wales) Act 2015 enhances strategic responses to abuse through the role of a National Adviser. While it does not create new offences, it strengthens multi-agency coordination and promotes early intervention, education, accountability, and professional training </w:t>
            </w:r>
            <w:bookmarkStart w:id="1" w:name="_Hlk210240513"/>
            <w:r w:rsidRPr="00A8004D">
              <w:rPr>
                <w:rFonts w:asciiTheme="majorHAnsi" w:hAnsiTheme="majorHAnsi" w:cstheme="majorHAnsi"/>
                <w:color w:val="auto"/>
                <w:sz w:val="24"/>
                <w:szCs w:val="24"/>
              </w:rPr>
              <w:t xml:space="preserve">(Welsh Government, 2019). </w:t>
            </w:r>
            <w:bookmarkEnd w:id="1"/>
            <w:r w:rsidRPr="00A8004D">
              <w:rPr>
                <w:rFonts w:asciiTheme="majorHAnsi" w:hAnsiTheme="majorHAnsi" w:cstheme="majorHAnsi"/>
                <w:color w:val="auto"/>
                <w:sz w:val="24"/>
                <w:szCs w:val="24"/>
              </w:rPr>
              <w:t>This legislation complements the SSWBA by reinforcing the duty to protect individuals from harm, particularly women and girls (Welsh Government, 2019).</w:t>
            </w:r>
          </w:p>
          <w:p w14:paraId="25D3DAEF" w14:textId="4E2401DD" w:rsidR="00316C61" w:rsidRPr="00A8004D" w:rsidRDefault="00316C61" w:rsidP="00316C61">
            <w:pPr>
              <w:overflowPunct/>
              <w:autoSpaceDE/>
              <w:autoSpaceDN/>
              <w:adjustRightInd/>
              <w:spacing w:before="100" w:beforeAutospacing="1" w:after="100" w:afterAutospacing="1" w:line="360" w:lineRule="auto"/>
              <w:jc w:val="both"/>
              <w:textAlignment w:val="auto"/>
              <w:rPr>
                <w:rFonts w:asciiTheme="majorHAnsi" w:hAnsiTheme="majorHAnsi" w:cstheme="majorHAnsi"/>
                <w:color w:val="auto"/>
                <w:sz w:val="24"/>
                <w:szCs w:val="24"/>
              </w:rPr>
            </w:pPr>
            <w:r w:rsidRPr="00A8004D">
              <w:rPr>
                <w:rFonts w:asciiTheme="majorHAnsi" w:hAnsiTheme="majorHAnsi" w:cstheme="majorHAnsi"/>
                <w:color w:val="auto"/>
                <w:sz w:val="24"/>
                <w:szCs w:val="24"/>
              </w:rPr>
              <w:t>The Equality Act 2010 supports non-discriminatory, culturally competent safeguarding practice, and promote anti oppressive and anti-discriminatory practice</w:t>
            </w:r>
            <w:r w:rsidR="00CA3762">
              <w:t xml:space="preserve"> (</w:t>
            </w:r>
            <w:r w:rsidR="00CA3762" w:rsidRPr="00CA3762">
              <w:rPr>
                <w:rFonts w:asciiTheme="majorHAnsi" w:hAnsiTheme="majorHAnsi" w:cstheme="majorHAnsi"/>
                <w:color w:val="auto"/>
                <w:sz w:val="24"/>
                <w:szCs w:val="24"/>
              </w:rPr>
              <w:t>Hamerton, 2025).</w:t>
            </w:r>
            <w:r w:rsidRPr="00A8004D">
              <w:rPr>
                <w:rFonts w:asciiTheme="majorHAnsi" w:hAnsiTheme="majorHAnsi" w:cstheme="majorHAnsi"/>
                <w:color w:val="auto"/>
                <w:sz w:val="24"/>
                <w:szCs w:val="24"/>
              </w:rPr>
              <w:t xml:space="preserve">  Additionally, the Welsh Language (Wales) Measure 2011 ensures linguistic accessibility through the Active Offer, which is essential for effective communication in safeguarding contexts </w:t>
            </w:r>
            <w:r w:rsidR="00640713">
              <w:rPr>
                <w:rFonts w:asciiTheme="majorHAnsi" w:hAnsiTheme="majorHAnsi" w:cstheme="majorHAnsi"/>
                <w:color w:val="auto"/>
                <w:sz w:val="24"/>
                <w:szCs w:val="24"/>
              </w:rPr>
              <w:t>(</w:t>
            </w:r>
            <w:r w:rsidR="00640713" w:rsidRPr="00640713">
              <w:rPr>
                <w:rFonts w:asciiTheme="majorHAnsi" w:hAnsiTheme="majorHAnsi" w:cstheme="majorHAnsi"/>
                <w:color w:val="auto"/>
                <w:sz w:val="24"/>
                <w:szCs w:val="24"/>
              </w:rPr>
              <w:t>Vacca, 2011).</w:t>
            </w:r>
          </w:p>
          <w:p w14:paraId="4B82C5E2" w14:textId="5C991D21" w:rsidR="00316C61" w:rsidRPr="00A8004D" w:rsidRDefault="00316C61" w:rsidP="00316C61">
            <w:pPr>
              <w:overflowPunct/>
              <w:autoSpaceDE/>
              <w:autoSpaceDN/>
              <w:adjustRightInd/>
              <w:spacing w:before="100" w:beforeAutospacing="1" w:after="100" w:afterAutospacing="1" w:line="360" w:lineRule="auto"/>
              <w:jc w:val="both"/>
              <w:textAlignment w:val="auto"/>
              <w:rPr>
                <w:rFonts w:asciiTheme="majorHAnsi" w:hAnsiTheme="majorHAnsi" w:cstheme="majorHAnsi"/>
                <w:b/>
                <w:bCs/>
                <w:color w:val="4EA72E"/>
                <w:sz w:val="24"/>
                <w:szCs w:val="24"/>
              </w:rPr>
            </w:pPr>
            <w:r w:rsidRPr="00A8004D">
              <w:rPr>
                <w:rFonts w:asciiTheme="majorHAnsi" w:hAnsiTheme="majorHAnsi" w:cstheme="majorHAnsi"/>
                <w:color w:val="auto"/>
                <w:sz w:val="24"/>
                <w:szCs w:val="24"/>
              </w:rPr>
              <w:t>Wales’s adult safeguarding framework is comprehensive, rights-based, and culturally sensitive</w:t>
            </w:r>
            <w:r w:rsidR="00222E71">
              <w:rPr>
                <w:rFonts w:asciiTheme="majorHAnsi" w:hAnsiTheme="majorHAnsi" w:cstheme="majorHAnsi"/>
                <w:color w:val="auto"/>
                <w:sz w:val="24"/>
                <w:szCs w:val="24"/>
              </w:rPr>
              <w:t xml:space="preserve"> </w:t>
            </w:r>
            <w:r w:rsidR="00222E71" w:rsidRPr="00222E71">
              <w:rPr>
                <w:rFonts w:asciiTheme="majorHAnsi" w:hAnsiTheme="majorHAnsi" w:cstheme="majorHAnsi"/>
                <w:color w:val="auto"/>
                <w:sz w:val="24"/>
                <w:szCs w:val="24"/>
              </w:rPr>
              <w:t>(Welsh Government, 2019.</w:t>
            </w:r>
            <w:r w:rsidRPr="00A8004D">
              <w:rPr>
                <w:rFonts w:asciiTheme="majorHAnsi" w:hAnsiTheme="majorHAnsi" w:cstheme="majorHAnsi"/>
                <w:color w:val="auto"/>
                <w:sz w:val="24"/>
                <w:szCs w:val="24"/>
              </w:rPr>
              <w:t>. It integrates domestic legislation with international standards, promoting ethical, collaborative, and proactive practice</w:t>
            </w:r>
            <w:r w:rsidR="00F834E2">
              <w:rPr>
                <w:rFonts w:asciiTheme="majorHAnsi" w:hAnsiTheme="majorHAnsi" w:cstheme="majorHAnsi"/>
                <w:color w:val="auto"/>
                <w:sz w:val="24"/>
                <w:szCs w:val="24"/>
              </w:rPr>
              <w:t xml:space="preserve"> </w:t>
            </w:r>
            <w:r w:rsidR="00F834E2" w:rsidRPr="00F834E2">
              <w:rPr>
                <w:rFonts w:asciiTheme="majorHAnsi" w:hAnsiTheme="majorHAnsi" w:cstheme="majorHAnsi"/>
                <w:color w:val="auto"/>
                <w:sz w:val="24"/>
                <w:szCs w:val="24"/>
              </w:rPr>
              <w:t>(Welsh Government, 2019)</w:t>
            </w:r>
            <w:r w:rsidRPr="00A8004D">
              <w:rPr>
                <w:rFonts w:asciiTheme="majorHAnsi" w:hAnsiTheme="majorHAnsi" w:cstheme="majorHAnsi"/>
                <w:color w:val="auto"/>
                <w:sz w:val="24"/>
                <w:szCs w:val="24"/>
              </w:rPr>
              <w:t>. For social workers, a thorough understanding and application of this framework is essential to effectively protect adults at risk and uphold their rights.</w:t>
            </w:r>
          </w:p>
          <w:p w14:paraId="6D8CB8AF" w14:textId="77777777" w:rsidR="00FC0334" w:rsidRDefault="00FC0334" w:rsidP="00FF7EBB">
            <w:pPr>
              <w:jc w:val="both"/>
              <w:rPr>
                <w:sz w:val="24"/>
                <w:szCs w:val="24"/>
              </w:rPr>
            </w:pPr>
          </w:p>
          <w:p w14:paraId="4A95F4DB" w14:textId="77777777" w:rsidR="00FC0334" w:rsidRDefault="00FC0334" w:rsidP="00FF7EBB">
            <w:pPr>
              <w:jc w:val="both"/>
              <w:rPr>
                <w:sz w:val="24"/>
                <w:szCs w:val="24"/>
              </w:rPr>
            </w:pPr>
          </w:p>
          <w:p w14:paraId="75DF59E2" w14:textId="77777777" w:rsidR="00FC0334" w:rsidRDefault="00FC0334" w:rsidP="00FF7EBB">
            <w:pPr>
              <w:jc w:val="both"/>
              <w:rPr>
                <w:sz w:val="24"/>
                <w:szCs w:val="24"/>
              </w:rPr>
            </w:pPr>
          </w:p>
          <w:p w14:paraId="14883BA0" w14:textId="77777777" w:rsidR="00FC0334" w:rsidRDefault="00FC0334" w:rsidP="00FF7EBB">
            <w:pPr>
              <w:jc w:val="both"/>
              <w:rPr>
                <w:sz w:val="24"/>
                <w:szCs w:val="24"/>
              </w:rPr>
            </w:pPr>
          </w:p>
          <w:p w14:paraId="49641ACD" w14:textId="77777777" w:rsidR="00FC0334" w:rsidRDefault="00FC0334" w:rsidP="00FF7EBB">
            <w:pPr>
              <w:jc w:val="both"/>
              <w:rPr>
                <w:sz w:val="24"/>
                <w:szCs w:val="24"/>
              </w:rPr>
            </w:pPr>
          </w:p>
          <w:p w14:paraId="206514B9" w14:textId="77777777" w:rsidR="00FC0334" w:rsidRDefault="00FC0334" w:rsidP="00FF7EBB">
            <w:pPr>
              <w:jc w:val="both"/>
              <w:rPr>
                <w:sz w:val="24"/>
                <w:szCs w:val="24"/>
              </w:rPr>
            </w:pPr>
          </w:p>
          <w:p w14:paraId="60D8C669" w14:textId="77777777" w:rsidR="00FC0334" w:rsidRDefault="00FC0334" w:rsidP="00FF7EBB">
            <w:pPr>
              <w:jc w:val="both"/>
              <w:rPr>
                <w:sz w:val="24"/>
                <w:szCs w:val="24"/>
              </w:rPr>
            </w:pPr>
          </w:p>
          <w:p w14:paraId="774095BD" w14:textId="77777777" w:rsidR="00FC0334" w:rsidRPr="006108C9" w:rsidRDefault="00FC0334" w:rsidP="00FF7EBB">
            <w:pPr>
              <w:jc w:val="both"/>
              <w:rPr>
                <w:sz w:val="24"/>
                <w:szCs w:val="24"/>
              </w:rPr>
            </w:pPr>
          </w:p>
          <w:p w14:paraId="03BD6D93" w14:textId="56AD433A" w:rsidR="007A628F" w:rsidRPr="008B28E7" w:rsidRDefault="007A628F" w:rsidP="00FF7EBB">
            <w:pPr>
              <w:jc w:val="both"/>
              <w:rPr>
                <w:b/>
                <w:sz w:val="24"/>
                <w:szCs w:val="24"/>
              </w:rPr>
            </w:pPr>
          </w:p>
        </w:tc>
      </w:tr>
    </w:tbl>
    <w:p w14:paraId="37E9CF73" w14:textId="77777777" w:rsidR="00AA666E" w:rsidRPr="008B28E7" w:rsidRDefault="00AA666E" w:rsidP="00FF7EBB">
      <w:pPr>
        <w:jc w:val="both"/>
        <w:rPr>
          <w:sz w:val="24"/>
          <w:szCs w:val="24"/>
        </w:rPr>
      </w:pPr>
    </w:p>
    <w:p w14:paraId="1FC83FC7" w14:textId="77777777" w:rsidR="00AA666E" w:rsidRPr="008B28E7" w:rsidRDefault="00AA666E" w:rsidP="00FF7EBB">
      <w:pPr>
        <w:jc w:val="both"/>
        <w:rPr>
          <w:sz w:val="24"/>
          <w:szCs w:val="24"/>
        </w:rPr>
      </w:pPr>
    </w:p>
    <w:p w14:paraId="60437654" w14:textId="77777777" w:rsidR="00AA666E" w:rsidRDefault="00AA666E" w:rsidP="00FF7EBB">
      <w:pPr>
        <w:jc w:val="both"/>
        <w:rPr>
          <w:sz w:val="24"/>
          <w:szCs w:val="24"/>
        </w:rPr>
      </w:pPr>
    </w:p>
    <w:tbl>
      <w:tblPr>
        <w:tblpPr w:leftFromText="180" w:rightFromText="180" w:vertAnchor="text" w:horzAnchor="margin" w:tblpY="6"/>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FC0334" w:rsidRPr="008B28E7" w14:paraId="3399E76C" w14:textId="77777777" w:rsidTr="00FC0334">
        <w:tc>
          <w:tcPr>
            <w:tcW w:w="10278" w:type="dxa"/>
          </w:tcPr>
          <w:p w14:paraId="171F67D5" w14:textId="77777777" w:rsidR="00FC0334" w:rsidRPr="00EB695F" w:rsidRDefault="00FC0334" w:rsidP="00FC0334">
            <w:pPr>
              <w:jc w:val="both"/>
              <w:rPr>
                <w:b/>
                <w:sz w:val="24"/>
                <w:szCs w:val="24"/>
              </w:rPr>
            </w:pPr>
            <w:r w:rsidRPr="00EB695F">
              <w:rPr>
                <w:b/>
                <w:sz w:val="24"/>
                <w:szCs w:val="24"/>
              </w:rPr>
              <w:t>Question</w:t>
            </w:r>
            <w:r>
              <w:rPr>
                <w:b/>
                <w:sz w:val="24"/>
                <w:szCs w:val="24"/>
              </w:rPr>
              <w:t xml:space="preserve"> b</w:t>
            </w:r>
            <w:r w:rsidRPr="00EB695F">
              <w:rPr>
                <w:b/>
                <w:sz w:val="24"/>
                <w:szCs w:val="24"/>
              </w:rPr>
              <w:t>:</w:t>
            </w:r>
          </w:p>
          <w:p w14:paraId="2ADF1EC3" w14:textId="58E4B8DE" w:rsidR="00FC0334" w:rsidRDefault="00FC0334" w:rsidP="00FC0334">
            <w:pPr>
              <w:jc w:val="both"/>
              <w:rPr>
                <w:sz w:val="24"/>
                <w:szCs w:val="24"/>
              </w:rPr>
            </w:pPr>
            <w:r w:rsidRPr="006108C9">
              <w:rPr>
                <w:sz w:val="24"/>
                <w:szCs w:val="24"/>
              </w:rPr>
              <w:t>Reflect on the difference between safeguarding in adul</w:t>
            </w:r>
            <w:r w:rsidRPr="00EC3A85">
              <w:rPr>
                <w:sz w:val="24"/>
                <w:szCs w:val="24"/>
              </w:rPr>
              <w:t>t</w:t>
            </w:r>
            <w:r w:rsidR="00C63CAB" w:rsidRPr="00EC3A85">
              <w:rPr>
                <w:sz w:val="24"/>
                <w:szCs w:val="24"/>
              </w:rPr>
              <w:t>s’</w:t>
            </w:r>
            <w:r w:rsidRPr="006108C9">
              <w:rPr>
                <w:sz w:val="24"/>
                <w:szCs w:val="24"/>
              </w:rPr>
              <w:t xml:space="preserve"> and children</w:t>
            </w:r>
            <w:r w:rsidR="007A628F">
              <w:rPr>
                <w:sz w:val="24"/>
                <w:szCs w:val="24"/>
              </w:rPr>
              <w:t>’s</w:t>
            </w:r>
            <w:r w:rsidRPr="006108C9">
              <w:rPr>
                <w:sz w:val="24"/>
                <w:szCs w:val="24"/>
              </w:rPr>
              <w:t xml:space="preserve"> work</w:t>
            </w:r>
          </w:p>
          <w:p w14:paraId="4CABE426" w14:textId="77777777" w:rsidR="00FC0334" w:rsidRDefault="00FC0334" w:rsidP="00FC0334">
            <w:pPr>
              <w:jc w:val="both"/>
              <w:rPr>
                <w:sz w:val="24"/>
                <w:szCs w:val="24"/>
              </w:rPr>
            </w:pPr>
          </w:p>
          <w:p w14:paraId="25E9B07D" w14:textId="77777777" w:rsidR="005741B1" w:rsidRPr="005741B1" w:rsidRDefault="005741B1" w:rsidP="005741B1">
            <w:pPr>
              <w:overflowPunct/>
              <w:autoSpaceDE/>
              <w:autoSpaceDN/>
              <w:adjustRightInd/>
              <w:spacing w:after="160" w:line="360" w:lineRule="auto"/>
              <w:jc w:val="both"/>
              <w:textAlignment w:val="auto"/>
              <w:rPr>
                <w:rFonts w:asciiTheme="majorHAnsi" w:eastAsia="Aptos" w:hAnsiTheme="majorHAnsi" w:cstheme="majorHAnsi"/>
                <w:color w:val="auto"/>
                <w:kern w:val="2"/>
                <w:sz w:val="24"/>
                <w:szCs w:val="24"/>
                <w:lang w:eastAsia="en-US"/>
                <w14:ligatures w14:val="standardContextual"/>
              </w:rPr>
            </w:pPr>
            <w:r w:rsidRPr="005741B1">
              <w:rPr>
                <w:rFonts w:asciiTheme="majorHAnsi" w:eastAsia="Aptos" w:hAnsiTheme="majorHAnsi" w:cstheme="majorHAnsi"/>
                <w:color w:val="auto"/>
                <w:kern w:val="2"/>
                <w:sz w:val="24"/>
                <w:szCs w:val="24"/>
                <w:lang w:eastAsia="en-US"/>
                <w14:ligatures w14:val="standardContextual"/>
              </w:rPr>
              <w:t>Safeguarding in Wales is underpinned by the Social Services and Well-being (Wales) Act 2014, which emphasises prevention, well-being, voice and control, co-production, and multi-agency collaboration. While these principles apply to both children and adults, their application differs due to distinct legal and ethical frameworks (Social Care Wales, 2019).</w:t>
            </w:r>
          </w:p>
          <w:p w14:paraId="112479DD" w14:textId="77777777" w:rsidR="005741B1" w:rsidRPr="005741B1" w:rsidRDefault="005741B1" w:rsidP="005741B1">
            <w:pPr>
              <w:overflowPunct/>
              <w:autoSpaceDE/>
              <w:autoSpaceDN/>
              <w:adjustRightInd/>
              <w:spacing w:after="160" w:line="360" w:lineRule="auto"/>
              <w:jc w:val="both"/>
              <w:textAlignment w:val="auto"/>
              <w:rPr>
                <w:rFonts w:asciiTheme="majorHAnsi" w:eastAsia="Aptos" w:hAnsiTheme="majorHAnsi" w:cstheme="majorHAnsi"/>
                <w:color w:val="auto"/>
                <w:kern w:val="2"/>
                <w:sz w:val="24"/>
                <w:szCs w:val="24"/>
                <w:lang w:eastAsia="en-US"/>
                <w14:ligatures w14:val="standardContextual"/>
              </w:rPr>
            </w:pPr>
            <w:r w:rsidRPr="005741B1">
              <w:rPr>
                <w:rFonts w:asciiTheme="majorHAnsi" w:eastAsia="Aptos" w:hAnsiTheme="majorHAnsi" w:cstheme="majorHAnsi"/>
                <w:color w:val="auto"/>
                <w:kern w:val="2"/>
                <w:sz w:val="24"/>
                <w:szCs w:val="24"/>
                <w:lang w:eastAsia="en-US"/>
                <w14:ligatures w14:val="standardContextual"/>
              </w:rPr>
              <w:t>Adult safeguarding is grounded in the principle of autonomy. Adults with capacity have the right to make decisions, even if those decisions involve risk (Department of Health, 2023). Consent is central, and interventions must respect individual choice unless capacity is impaired (Department of Health, 2020). This creates complex challenges, particularly in cases of financial abuse, self-neglect, or dependency, where balancing autonomy and protection is critical (Cooper, Cocker &amp; Briggs, 2018).</w:t>
            </w:r>
          </w:p>
          <w:p w14:paraId="3F63CD94" w14:textId="3388A041" w:rsidR="005741B1" w:rsidRPr="005741B1" w:rsidRDefault="005741B1" w:rsidP="005741B1">
            <w:pPr>
              <w:overflowPunct/>
              <w:autoSpaceDE/>
              <w:autoSpaceDN/>
              <w:adjustRightInd/>
              <w:spacing w:after="160" w:line="360" w:lineRule="auto"/>
              <w:jc w:val="both"/>
              <w:textAlignment w:val="auto"/>
              <w:rPr>
                <w:rFonts w:asciiTheme="majorHAnsi" w:eastAsia="Aptos" w:hAnsiTheme="majorHAnsi" w:cstheme="majorHAnsi"/>
                <w:color w:val="auto"/>
                <w:kern w:val="2"/>
                <w:sz w:val="24"/>
                <w:szCs w:val="24"/>
                <w:lang w:eastAsia="en-US"/>
                <w14:ligatures w14:val="standardContextual"/>
              </w:rPr>
            </w:pPr>
            <w:r w:rsidRPr="005741B1">
              <w:rPr>
                <w:rFonts w:asciiTheme="majorHAnsi" w:eastAsia="Aptos" w:hAnsiTheme="majorHAnsi" w:cstheme="majorHAnsi"/>
                <w:color w:val="auto"/>
                <w:kern w:val="2"/>
                <w:sz w:val="24"/>
                <w:szCs w:val="24"/>
                <w:lang w:eastAsia="en-US"/>
                <w14:ligatures w14:val="standardContextual"/>
              </w:rPr>
              <w:t>Child safeguarding, by contrast, prioritises protection and developmental well-being</w:t>
            </w:r>
            <w:r w:rsidR="008D43A0">
              <w:t xml:space="preserve"> (</w:t>
            </w:r>
            <w:r w:rsidR="008D43A0" w:rsidRPr="008D43A0">
              <w:rPr>
                <w:rFonts w:asciiTheme="majorHAnsi" w:eastAsia="Aptos" w:hAnsiTheme="majorHAnsi" w:cstheme="majorHAnsi"/>
                <w:color w:val="auto"/>
                <w:kern w:val="2"/>
                <w:sz w:val="24"/>
                <w:szCs w:val="24"/>
                <w:lang w:eastAsia="en-US"/>
                <w14:ligatures w14:val="standardContextual"/>
              </w:rPr>
              <w:t>Social Care Wales, 2022</w:t>
            </w:r>
            <w:r w:rsidR="008D43A0">
              <w:rPr>
                <w:rFonts w:asciiTheme="majorHAnsi" w:eastAsia="Aptos" w:hAnsiTheme="majorHAnsi" w:cstheme="majorHAnsi"/>
                <w:color w:val="auto"/>
                <w:kern w:val="2"/>
                <w:sz w:val="24"/>
                <w:szCs w:val="24"/>
                <w:lang w:eastAsia="en-US"/>
                <w14:ligatures w14:val="standardContextual"/>
              </w:rPr>
              <w:t>)</w:t>
            </w:r>
            <w:r w:rsidRPr="005741B1">
              <w:rPr>
                <w:rFonts w:asciiTheme="majorHAnsi" w:eastAsia="Aptos" w:hAnsiTheme="majorHAnsi" w:cstheme="majorHAnsi"/>
                <w:color w:val="auto"/>
                <w:kern w:val="2"/>
                <w:sz w:val="24"/>
                <w:szCs w:val="24"/>
                <w:lang w:eastAsia="en-US"/>
                <w14:ligatures w14:val="standardContextual"/>
              </w:rPr>
              <w:t>. While children’s views are considered, decisions are made in their best interests, with a strong focus on preventing harm and promoting long-term outcomes (Coleman &amp; May-Chahal, 2003; Social Care Wales, 2022). The duty to safeguard children is universal, requiring all professionals to act to prevent abuse and neglect.</w:t>
            </w:r>
          </w:p>
          <w:p w14:paraId="72D28CBE" w14:textId="77777777" w:rsidR="005741B1" w:rsidRPr="005741B1" w:rsidRDefault="005741B1" w:rsidP="005741B1">
            <w:pPr>
              <w:overflowPunct/>
              <w:autoSpaceDE/>
              <w:autoSpaceDN/>
              <w:adjustRightInd/>
              <w:spacing w:after="160" w:line="360" w:lineRule="auto"/>
              <w:jc w:val="both"/>
              <w:textAlignment w:val="auto"/>
              <w:rPr>
                <w:rFonts w:asciiTheme="majorHAnsi" w:eastAsia="Aptos" w:hAnsiTheme="majorHAnsi" w:cstheme="majorHAnsi"/>
                <w:color w:val="auto"/>
                <w:kern w:val="2"/>
                <w:sz w:val="24"/>
                <w:szCs w:val="24"/>
                <w:lang w:eastAsia="en-US"/>
                <w14:ligatures w14:val="standardContextual"/>
              </w:rPr>
            </w:pPr>
            <w:r w:rsidRPr="005741B1">
              <w:rPr>
                <w:rFonts w:asciiTheme="majorHAnsi" w:eastAsia="Aptos" w:hAnsiTheme="majorHAnsi" w:cstheme="majorHAnsi"/>
                <w:color w:val="auto"/>
                <w:kern w:val="2"/>
                <w:sz w:val="24"/>
                <w:szCs w:val="24"/>
                <w:lang w:eastAsia="en-US"/>
                <w14:ligatures w14:val="standardContextual"/>
              </w:rPr>
              <w:t>Critiques of child safeguarding policy highlight its reactive nature, often shaped by responses to child deaths and public concern, resulting in rigid, risk-averse systems (Cooper &amp; Whittaker, 2014; Munro, 2019). In contrast, Wales has adopted a more holistic, family-focused approach, supported by the Well-being of Future Generations (Wales) Act 2015, which promotes early intervention and integrated support.</w:t>
            </w:r>
          </w:p>
          <w:p w14:paraId="126E3708" w14:textId="77777777" w:rsidR="005741B1" w:rsidRPr="005741B1" w:rsidRDefault="005741B1" w:rsidP="005741B1">
            <w:pPr>
              <w:overflowPunct/>
              <w:autoSpaceDE/>
              <w:autoSpaceDN/>
              <w:adjustRightInd/>
              <w:spacing w:after="160" w:line="360" w:lineRule="auto"/>
              <w:jc w:val="both"/>
              <w:textAlignment w:val="auto"/>
              <w:rPr>
                <w:rFonts w:asciiTheme="majorHAnsi" w:eastAsia="Aptos" w:hAnsiTheme="majorHAnsi" w:cstheme="majorHAnsi"/>
                <w:color w:val="auto"/>
                <w:kern w:val="2"/>
                <w:sz w:val="24"/>
                <w:szCs w:val="24"/>
                <w:lang w:eastAsia="en-US"/>
                <w14:ligatures w14:val="standardContextual"/>
              </w:rPr>
            </w:pPr>
            <w:r w:rsidRPr="005741B1">
              <w:rPr>
                <w:rFonts w:asciiTheme="majorHAnsi" w:eastAsia="Aptos" w:hAnsiTheme="majorHAnsi" w:cstheme="majorHAnsi"/>
                <w:color w:val="auto"/>
                <w:kern w:val="2"/>
                <w:sz w:val="24"/>
                <w:szCs w:val="24"/>
                <w:lang w:eastAsia="en-US"/>
                <w14:ligatures w14:val="standardContextual"/>
              </w:rPr>
              <w:t>Effective adult safeguarding also requires systems that empower individuals, ensuring they are informed and involved in decisions affecting their well-being (Green, 2015). Despite the complexities, upholding rights, dignity, and quality of life remains paramount.</w:t>
            </w:r>
          </w:p>
          <w:p w14:paraId="080031CB" w14:textId="2941F7DD" w:rsidR="0045323E" w:rsidRDefault="005741B1" w:rsidP="005741B1">
            <w:pPr>
              <w:jc w:val="both"/>
              <w:rPr>
                <w:i/>
                <w:sz w:val="24"/>
                <w:szCs w:val="24"/>
              </w:rPr>
            </w:pPr>
            <w:r w:rsidRPr="005741B1">
              <w:rPr>
                <w:rFonts w:asciiTheme="majorHAnsi" w:eastAsia="Aptos" w:hAnsiTheme="majorHAnsi" w:cstheme="majorHAnsi"/>
                <w:color w:val="auto"/>
                <w:kern w:val="2"/>
                <w:sz w:val="24"/>
                <w:szCs w:val="24"/>
                <w:lang w:eastAsia="en-US"/>
                <w14:ligatures w14:val="standardContextual"/>
              </w:rPr>
              <w:t>As a newly qualified social worker, I recognise the importance of navigating these differences with professional judgement and sensitivity. A clear understanding of the legal and ethical distinctions is essential to promote co-production, uphold rights, and work collaboratively to safeguard those at risk.</w:t>
            </w:r>
          </w:p>
          <w:p w14:paraId="4F74F693" w14:textId="77777777" w:rsidR="0045323E" w:rsidRDefault="0045323E" w:rsidP="00FC0334">
            <w:pPr>
              <w:jc w:val="both"/>
              <w:rPr>
                <w:i/>
                <w:sz w:val="24"/>
                <w:szCs w:val="24"/>
              </w:rPr>
            </w:pPr>
          </w:p>
          <w:p w14:paraId="08760B3D" w14:textId="77777777" w:rsidR="00FC0334" w:rsidRPr="006108C9" w:rsidRDefault="00FC0334" w:rsidP="00FC0334">
            <w:pPr>
              <w:jc w:val="both"/>
              <w:rPr>
                <w:sz w:val="24"/>
                <w:szCs w:val="24"/>
              </w:rPr>
            </w:pPr>
          </w:p>
        </w:tc>
      </w:tr>
    </w:tbl>
    <w:p w14:paraId="76FCF233" w14:textId="77777777" w:rsidR="00FC0334" w:rsidRDefault="00FC0334" w:rsidP="00FC0334">
      <w:pPr>
        <w:rPr>
          <w:sz w:val="24"/>
          <w:szCs w:val="24"/>
        </w:rPr>
      </w:pPr>
    </w:p>
    <w:sectPr w:rsidR="00FC0334" w:rsidSect="00F15354">
      <w:headerReference w:type="default" r:id="rId11"/>
      <w:footerReference w:type="default" r:id="rId12"/>
      <w:pgSz w:w="12240" w:h="15840"/>
      <w:pgMar w:top="1440" w:right="1080" w:bottom="1440" w:left="108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FBAFF02" w14:textId="77777777" w:rsidR="00796CCD" w:rsidRDefault="00796CCD">
      <w:r>
        <w:separator/>
      </w:r>
    </w:p>
  </w:endnote>
  <w:endnote w:type="continuationSeparator" w:id="0">
    <w:p w14:paraId="704E5B9F" w14:textId="77777777" w:rsidR="00796CCD" w:rsidRDefault="00796CC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Light">
    <w:panose1 w:val="020F0302020204030204"/>
    <w:charset w:val="00"/>
    <w:family w:val="swiss"/>
    <w:pitch w:val="variable"/>
    <w:sig w:usb0="E4002EFF" w:usb1="C200247B" w:usb2="00000009" w:usb3="00000000" w:csb0="000001FF" w:csb1="00000000"/>
  </w:font>
  <w:font w:name="Aptos">
    <w:charset w:val="00"/>
    <w:family w:val="swiss"/>
    <w:pitch w:val="variable"/>
    <w:sig w:usb0="20000287" w:usb1="00000003" w:usb2="00000000" w:usb3="00000000" w:csb0="0000019F" w:csb1="00000000"/>
  </w:font>
  <w:font w:name="DengXian Light">
    <w:altName w:val="等线 Light"/>
    <w:charset w:val="86"/>
    <w:family w:val="auto"/>
    <w:pitch w:val="variable"/>
    <w:sig w:usb0="A00002BF" w:usb1="38CF7CFA" w:usb2="00000016" w:usb3="00000000" w:csb0="0004000F" w:csb1="00000000"/>
  </w:font>
  <w:font w:name="DengXian">
    <w:altName w:val="等线"/>
    <w:panose1 w:val="02010600030101010101"/>
    <w:charset w:val="86"/>
    <w:family w:val="auto"/>
    <w:pitch w:val="variable"/>
    <w:sig w:usb0="A00002BF" w:usb1="38CF7CFA" w:usb2="00000016" w:usb3="00000000" w:csb0="0004000F" w:csb1="00000000"/>
  </w:font>
  <w:font w:name="Calibri">
    <w:panose1 w:val="020F05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FA3DEAF" w14:textId="311829FB" w:rsidR="00A5656A" w:rsidRDefault="00A5656A">
    <w:pPr>
      <w:pStyle w:val="Footer"/>
      <w:jc w:val="right"/>
    </w:pPr>
    <w:r>
      <w:fldChar w:fldCharType="begin"/>
    </w:r>
    <w:r>
      <w:instrText xml:space="preserve"> PAGE   \* MERGEFORMAT </w:instrText>
    </w:r>
    <w:r>
      <w:fldChar w:fldCharType="separate"/>
    </w:r>
    <w:r w:rsidR="006F1438">
      <w:rPr>
        <w:noProof/>
      </w:rPr>
      <w:t>24</w:t>
    </w:r>
    <w:r>
      <w:rPr>
        <w:noProof/>
      </w:rPr>
      <w:fldChar w:fldCharType="end"/>
    </w:r>
  </w:p>
  <w:p w14:paraId="5CA2AEEC" w14:textId="77777777" w:rsidR="00A5656A" w:rsidRPr="00E60F42" w:rsidRDefault="00A5656A" w:rsidP="004C2D3A">
    <w:pPr>
      <w:pStyle w:val="Footer"/>
      <w:ind w:right="360"/>
      <w:jc w:val="center"/>
      <w:rPr>
        <w:lang w:val="en-GB"/>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A0E22ED" w14:textId="77777777" w:rsidR="00796CCD" w:rsidRDefault="00796CCD">
      <w:r>
        <w:separator/>
      </w:r>
    </w:p>
  </w:footnote>
  <w:footnote w:type="continuationSeparator" w:id="0">
    <w:p w14:paraId="1AA3D0CB" w14:textId="77777777" w:rsidR="00796CCD" w:rsidRDefault="00796CCD">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053128E" w14:textId="52E03DEF" w:rsidR="00A5656A" w:rsidRDefault="00A5656A">
    <w:pPr>
      <w:pStyle w:val="Header"/>
    </w:pPr>
    <w:r>
      <w:t xml:space="preserve">Version </w:t>
    </w:r>
    <w:r w:rsidR="00DC2924">
      <w:t>1_Cohort 15</w:t>
    </w:r>
    <w:r>
      <w:t xml:space="preserve"> </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553EB41A"/>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numFmt w:val="bullet"/>
      <w:lvlText w:val="*"/>
      <w:lvlJc w:val="left"/>
    </w:lvl>
  </w:abstractNum>
  <w:abstractNum w:abstractNumId="2" w15:restartNumberingAfterBreak="0">
    <w:nsid w:val="025C2BAD"/>
    <w:multiLevelType w:val="hybridMultilevel"/>
    <w:tmpl w:val="B38EBB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8"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10"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9"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0"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2B452C1E"/>
    <w:multiLevelType w:val="hybridMultilevel"/>
    <w:tmpl w:val="60F064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3"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35FE0A19"/>
    <w:multiLevelType w:val="hybridMultilevel"/>
    <w:tmpl w:val="324E5EC0"/>
    <w:lvl w:ilvl="0" w:tplc="08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25"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6"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7"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1"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2"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7"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8" w15:restartNumberingAfterBreak="0">
    <w:nsid w:val="681A68C6"/>
    <w:multiLevelType w:val="hybridMultilevel"/>
    <w:tmpl w:val="BC742B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0"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3"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4"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5"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6"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7"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8" w15:restartNumberingAfterBreak="0">
    <w:nsid w:val="7A5F6D3A"/>
    <w:multiLevelType w:val="hybridMultilevel"/>
    <w:tmpl w:val="1D687F2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16cid:durableId="1968662216">
    <w:abstractNumId w:val="1"/>
    <w:lvlOverride w:ilvl="0">
      <w:lvl w:ilvl="0">
        <w:start w:val="1"/>
        <w:numFmt w:val="bullet"/>
        <w:lvlText w:val=""/>
        <w:lvlJc w:val="left"/>
        <w:pPr>
          <w:ind w:left="720" w:hanging="360"/>
        </w:pPr>
        <w:rPr>
          <w:rFonts w:ascii="Symbol" w:hAnsi="Symbol" w:hint="default"/>
        </w:rPr>
      </w:lvl>
    </w:lvlOverride>
  </w:num>
  <w:num w:numId="2" w16cid:durableId="270674470">
    <w:abstractNumId w:val="22"/>
  </w:num>
  <w:num w:numId="3" w16cid:durableId="1938977855">
    <w:abstractNumId w:val="45"/>
  </w:num>
  <w:num w:numId="4" w16cid:durableId="1850633156">
    <w:abstractNumId w:val="47"/>
  </w:num>
  <w:num w:numId="5" w16cid:durableId="2042589495">
    <w:abstractNumId w:val="34"/>
  </w:num>
  <w:num w:numId="6" w16cid:durableId="933980368">
    <w:abstractNumId w:val="32"/>
  </w:num>
  <w:num w:numId="7" w16cid:durableId="1060399973">
    <w:abstractNumId w:val="29"/>
  </w:num>
  <w:num w:numId="8" w16cid:durableId="1237400777">
    <w:abstractNumId w:val="30"/>
  </w:num>
  <w:num w:numId="9" w16cid:durableId="1914463563">
    <w:abstractNumId w:val="10"/>
  </w:num>
  <w:num w:numId="10" w16cid:durableId="693307142">
    <w:abstractNumId w:val="33"/>
  </w:num>
  <w:num w:numId="11" w16cid:durableId="141846751">
    <w:abstractNumId w:val="17"/>
  </w:num>
  <w:num w:numId="12" w16cid:durableId="1310867263">
    <w:abstractNumId w:val="16"/>
  </w:num>
  <w:num w:numId="13" w16cid:durableId="65736213">
    <w:abstractNumId w:val="27"/>
  </w:num>
  <w:num w:numId="14" w16cid:durableId="825441142">
    <w:abstractNumId w:val="8"/>
  </w:num>
  <w:num w:numId="15" w16cid:durableId="1016493186">
    <w:abstractNumId w:val="26"/>
  </w:num>
  <w:num w:numId="16" w16cid:durableId="1273785188">
    <w:abstractNumId w:val="15"/>
  </w:num>
  <w:num w:numId="17" w16cid:durableId="431317323">
    <w:abstractNumId w:val="13"/>
  </w:num>
  <w:num w:numId="18" w16cid:durableId="1020622863">
    <w:abstractNumId w:val="9"/>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9" w16cid:durableId="185028592">
    <w:abstractNumId w:val="23"/>
  </w:num>
  <w:num w:numId="20" w16cid:durableId="413284070">
    <w:abstractNumId w:val="18"/>
  </w:num>
  <w:num w:numId="21" w16cid:durableId="798959287">
    <w:abstractNumId w:val="14"/>
  </w:num>
  <w:num w:numId="22" w16cid:durableId="352731724">
    <w:abstractNumId w:val="11"/>
  </w:num>
  <w:num w:numId="23" w16cid:durableId="456266206">
    <w:abstractNumId w:val="28"/>
  </w:num>
  <w:num w:numId="24" w16cid:durableId="317615789">
    <w:abstractNumId w:val="19"/>
  </w:num>
  <w:num w:numId="25" w16cid:durableId="856430468">
    <w:abstractNumId w:val="41"/>
  </w:num>
  <w:num w:numId="26" w16cid:durableId="1104690971">
    <w:abstractNumId w:val="35"/>
  </w:num>
  <w:num w:numId="27" w16cid:durableId="1201670287">
    <w:abstractNumId w:val="40"/>
  </w:num>
  <w:num w:numId="28" w16cid:durableId="598562144">
    <w:abstractNumId w:val="20"/>
  </w:num>
  <w:num w:numId="29" w16cid:durableId="871068292">
    <w:abstractNumId w:val="43"/>
  </w:num>
  <w:num w:numId="30" w16cid:durableId="482159744">
    <w:abstractNumId w:val="31"/>
  </w:num>
  <w:num w:numId="31" w16cid:durableId="1565527110">
    <w:abstractNumId w:val="12"/>
  </w:num>
  <w:num w:numId="32" w16cid:durableId="1175995731">
    <w:abstractNumId w:val="44"/>
  </w:num>
  <w:num w:numId="33" w16cid:durableId="694232600">
    <w:abstractNumId w:val="39"/>
  </w:num>
  <w:num w:numId="34" w16cid:durableId="1062095063">
    <w:abstractNumId w:val="5"/>
  </w:num>
  <w:num w:numId="35" w16cid:durableId="2051881075">
    <w:abstractNumId w:val="46"/>
  </w:num>
  <w:num w:numId="36" w16cid:durableId="2107188112">
    <w:abstractNumId w:val="42"/>
  </w:num>
  <w:num w:numId="37" w16cid:durableId="1313413796">
    <w:abstractNumId w:val="36"/>
  </w:num>
  <w:num w:numId="38" w16cid:durableId="1682197957">
    <w:abstractNumId w:val="37"/>
  </w:num>
  <w:num w:numId="39" w16cid:durableId="340203735">
    <w:abstractNumId w:val="4"/>
  </w:num>
  <w:num w:numId="40" w16cid:durableId="1266502755">
    <w:abstractNumId w:val="6"/>
  </w:num>
  <w:num w:numId="41" w16cid:durableId="2138642120">
    <w:abstractNumId w:val="25"/>
  </w:num>
  <w:num w:numId="42" w16cid:durableId="2082366208">
    <w:abstractNumId w:val="7"/>
  </w:num>
  <w:num w:numId="43" w16cid:durableId="488403910">
    <w:abstractNumId w:val="3"/>
  </w:num>
  <w:num w:numId="44" w16cid:durableId="210268195">
    <w:abstractNumId w:val="38"/>
  </w:num>
  <w:num w:numId="45" w16cid:durableId="891695978">
    <w:abstractNumId w:val="0"/>
  </w:num>
  <w:num w:numId="46" w16cid:durableId="827289017">
    <w:abstractNumId w:val="14"/>
  </w:num>
  <w:num w:numId="47" w16cid:durableId="167212813">
    <w:abstractNumId w:val="48"/>
  </w:num>
  <w:num w:numId="48" w16cid:durableId="1210147369">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9" w16cid:durableId="2136363939">
    <w:abstractNumId w:val="11"/>
  </w:num>
  <w:num w:numId="50" w16cid:durableId="1163856707">
    <w:abstractNumId w:val="28"/>
  </w:num>
  <w:num w:numId="51" w16cid:durableId="536360681">
    <w:abstractNumId w:val="24"/>
  </w:num>
  <w:num w:numId="52" w16cid:durableId="1666274935">
    <w:abstractNumId w:val="21"/>
  </w:num>
  <w:num w:numId="53" w16cid:durableId="435172075">
    <w:abstractNumId w:val="2"/>
  </w:num>
  <w:numIdMacAtCleanup w:val="5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doNotHyphenateCaps/>
  <w:drawingGridHorizontalSpacing w:val="120"/>
  <w:drawingGridVerticalSpacing w:val="120"/>
  <w:displayVerticalDrawingGridEvery w:val="0"/>
  <w:doNotUseMarginsForDrawingGridOrigin/>
  <w:characterSpacingControl w:val="doNotCompress"/>
  <w:savePreviewPicture/>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1701"/>
    <w:rsid w:val="0000138E"/>
    <w:rsid w:val="00002C7A"/>
    <w:rsid w:val="000045B8"/>
    <w:rsid w:val="00010007"/>
    <w:rsid w:val="00011F6E"/>
    <w:rsid w:val="00012B16"/>
    <w:rsid w:val="00020EEC"/>
    <w:rsid w:val="0002440E"/>
    <w:rsid w:val="0002759A"/>
    <w:rsid w:val="00027B1F"/>
    <w:rsid w:val="0003088B"/>
    <w:rsid w:val="000325D9"/>
    <w:rsid w:val="000372B2"/>
    <w:rsid w:val="0004079F"/>
    <w:rsid w:val="00043543"/>
    <w:rsid w:val="00045B87"/>
    <w:rsid w:val="00045C07"/>
    <w:rsid w:val="00045C40"/>
    <w:rsid w:val="00046861"/>
    <w:rsid w:val="00047188"/>
    <w:rsid w:val="00054A07"/>
    <w:rsid w:val="00055D43"/>
    <w:rsid w:val="00056FAC"/>
    <w:rsid w:val="00057751"/>
    <w:rsid w:val="00062E39"/>
    <w:rsid w:val="000630B6"/>
    <w:rsid w:val="00064063"/>
    <w:rsid w:val="0006581A"/>
    <w:rsid w:val="00074461"/>
    <w:rsid w:val="000766EC"/>
    <w:rsid w:val="00080E27"/>
    <w:rsid w:val="00080E58"/>
    <w:rsid w:val="00083D99"/>
    <w:rsid w:val="00084DA6"/>
    <w:rsid w:val="00085699"/>
    <w:rsid w:val="00090160"/>
    <w:rsid w:val="00091F52"/>
    <w:rsid w:val="00092970"/>
    <w:rsid w:val="00093720"/>
    <w:rsid w:val="000938E6"/>
    <w:rsid w:val="00093B3C"/>
    <w:rsid w:val="0009488C"/>
    <w:rsid w:val="00095C1B"/>
    <w:rsid w:val="00096DEA"/>
    <w:rsid w:val="000A183A"/>
    <w:rsid w:val="000A4240"/>
    <w:rsid w:val="000A469A"/>
    <w:rsid w:val="000A584A"/>
    <w:rsid w:val="000A6458"/>
    <w:rsid w:val="000B48E9"/>
    <w:rsid w:val="000C378F"/>
    <w:rsid w:val="000C6892"/>
    <w:rsid w:val="000C6FFE"/>
    <w:rsid w:val="000D0BB6"/>
    <w:rsid w:val="000D2ED2"/>
    <w:rsid w:val="000D6653"/>
    <w:rsid w:val="000E0D51"/>
    <w:rsid w:val="000E26B0"/>
    <w:rsid w:val="000E37C2"/>
    <w:rsid w:val="000E38C3"/>
    <w:rsid w:val="000F1599"/>
    <w:rsid w:val="000F1769"/>
    <w:rsid w:val="000F1A97"/>
    <w:rsid w:val="000F42AE"/>
    <w:rsid w:val="000F6196"/>
    <w:rsid w:val="000F6BC3"/>
    <w:rsid w:val="0010312C"/>
    <w:rsid w:val="00105026"/>
    <w:rsid w:val="0010662B"/>
    <w:rsid w:val="00106DC7"/>
    <w:rsid w:val="00112391"/>
    <w:rsid w:val="00114F52"/>
    <w:rsid w:val="00130119"/>
    <w:rsid w:val="00132812"/>
    <w:rsid w:val="001347F8"/>
    <w:rsid w:val="001359EE"/>
    <w:rsid w:val="00137BB5"/>
    <w:rsid w:val="00137E05"/>
    <w:rsid w:val="001447F6"/>
    <w:rsid w:val="00147DE3"/>
    <w:rsid w:val="00150794"/>
    <w:rsid w:val="00151DA6"/>
    <w:rsid w:val="001608C4"/>
    <w:rsid w:val="00164832"/>
    <w:rsid w:val="00171418"/>
    <w:rsid w:val="001772BF"/>
    <w:rsid w:val="001772DE"/>
    <w:rsid w:val="0019496C"/>
    <w:rsid w:val="001961CF"/>
    <w:rsid w:val="001A59BB"/>
    <w:rsid w:val="001A607E"/>
    <w:rsid w:val="001A6A51"/>
    <w:rsid w:val="001A79C4"/>
    <w:rsid w:val="001B331A"/>
    <w:rsid w:val="001C0237"/>
    <w:rsid w:val="001C0E74"/>
    <w:rsid w:val="001C4DB8"/>
    <w:rsid w:val="001C50B8"/>
    <w:rsid w:val="001D229F"/>
    <w:rsid w:val="001E2EB6"/>
    <w:rsid w:val="001F4552"/>
    <w:rsid w:val="002019EB"/>
    <w:rsid w:val="00204B58"/>
    <w:rsid w:val="00205051"/>
    <w:rsid w:val="00211F65"/>
    <w:rsid w:val="00214047"/>
    <w:rsid w:val="00216563"/>
    <w:rsid w:val="0021792F"/>
    <w:rsid w:val="00220D06"/>
    <w:rsid w:val="00222E71"/>
    <w:rsid w:val="002246A0"/>
    <w:rsid w:val="00230439"/>
    <w:rsid w:val="00232A09"/>
    <w:rsid w:val="00235176"/>
    <w:rsid w:val="00236061"/>
    <w:rsid w:val="0024100E"/>
    <w:rsid w:val="00241C1B"/>
    <w:rsid w:val="0024288B"/>
    <w:rsid w:val="00243DB0"/>
    <w:rsid w:val="00247265"/>
    <w:rsid w:val="00260663"/>
    <w:rsid w:val="002657E9"/>
    <w:rsid w:val="0026665E"/>
    <w:rsid w:val="0027147E"/>
    <w:rsid w:val="002761F4"/>
    <w:rsid w:val="002775E1"/>
    <w:rsid w:val="00277979"/>
    <w:rsid w:val="00291ADD"/>
    <w:rsid w:val="002920DF"/>
    <w:rsid w:val="00292F3D"/>
    <w:rsid w:val="00295CA1"/>
    <w:rsid w:val="002A0E51"/>
    <w:rsid w:val="002A1A44"/>
    <w:rsid w:val="002A291A"/>
    <w:rsid w:val="002A2C54"/>
    <w:rsid w:val="002A4E2E"/>
    <w:rsid w:val="002A5604"/>
    <w:rsid w:val="002B1701"/>
    <w:rsid w:val="002B23C3"/>
    <w:rsid w:val="002B443A"/>
    <w:rsid w:val="002B5B35"/>
    <w:rsid w:val="002B7AEE"/>
    <w:rsid w:val="002C2536"/>
    <w:rsid w:val="002C256A"/>
    <w:rsid w:val="002C3031"/>
    <w:rsid w:val="002C4233"/>
    <w:rsid w:val="002C496D"/>
    <w:rsid w:val="002D05EB"/>
    <w:rsid w:val="002D11A8"/>
    <w:rsid w:val="002D2F29"/>
    <w:rsid w:val="002D46C0"/>
    <w:rsid w:val="002D5A92"/>
    <w:rsid w:val="002D65D2"/>
    <w:rsid w:val="002D6B31"/>
    <w:rsid w:val="002E6D17"/>
    <w:rsid w:val="002E7017"/>
    <w:rsid w:val="002E7F2C"/>
    <w:rsid w:val="002F1FC7"/>
    <w:rsid w:val="002F2185"/>
    <w:rsid w:val="002F4F6E"/>
    <w:rsid w:val="003015C3"/>
    <w:rsid w:val="003106DB"/>
    <w:rsid w:val="0031350A"/>
    <w:rsid w:val="00316815"/>
    <w:rsid w:val="003168CA"/>
    <w:rsid w:val="00316C61"/>
    <w:rsid w:val="00321255"/>
    <w:rsid w:val="0032230D"/>
    <w:rsid w:val="00322A0B"/>
    <w:rsid w:val="00330881"/>
    <w:rsid w:val="00331CD2"/>
    <w:rsid w:val="00332426"/>
    <w:rsid w:val="00335C41"/>
    <w:rsid w:val="00335FC5"/>
    <w:rsid w:val="0033771E"/>
    <w:rsid w:val="00337FEF"/>
    <w:rsid w:val="00354B6D"/>
    <w:rsid w:val="00355210"/>
    <w:rsid w:val="00355CFD"/>
    <w:rsid w:val="00365DF9"/>
    <w:rsid w:val="0037066E"/>
    <w:rsid w:val="00372DB4"/>
    <w:rsid w:val="00373A36"/>
    <w:rsid w:val="0037419E"/>
    <w:rsid w:val="00375AF5"/>
    <w:rsid w:val="003761BD"/>
    <w:rsid w:val="00377448"/>
    <w:rsid w:val="00377884"/>
    <w:rsid w:val="003826BD"/>
    <w:rsid w:val="00385414"/>
    <w:rsid w:val="00390074"/>
    <w:rsid w:val="00392F73"/>
    <w:rsid w:val="00393600"/>
    <w:rsid w:val="0039762B"/>
    <w:rsid w:val="003A0C37"/>
    <w:rsid w:val="003A1B6B"/>
    <w:rsid w:val="003A46C0"/>
    <w:rsid w:val="003A600E"/>
    <w:rsid w:val="003A6513"/>
    <w:rsid w:val="003B16C7"/>
    <w:rsid w:val="003B3115"/>
    <w:rsid w:val="003C19F1"/>
    <w:rsid w:val="003C3C67"/>
    <w:rsid w:val="003C4186"/>
    <w:rsid w:val="003C6185"/>
    <w:rsid w:val="003D0D2D"/>
    <w:rsid w:val="003D1885"/>
    <w:rsid w:val="003D1BC0"/>
    <w:rsid w:val="003D20F1"/>
    <w:rsid w:val="003D4710"/>
    <w:rsid w:val="003E16D7"/>
    <w:rsid w:val="003E197E"/>
    <w:rsid w:val="003E49EE"/>
    <w:rsid w:val="003E4B70"/>
    <w:rsid w:val="003E54CF"/>
    <w:rsid w:val="003E5FBA"/>
    <w:rsid w:val="003F1233"/>
    <w:rsid w:val="003F67A4"/>
    <w:rsid w:val="00400786"/>
    <w:rsid w:val="00401FDA"/>
    <w:rsid w:val="004046F0"/>
    <w:rsid w:val="0040668F"/>
    <w:rsid w:val="00411EF7"/>
    <w:rsid w:val="00412677"/>
    <w:rsid w:val="004214BA"/>
    <w:rsid w:val="00425160"/>
    <w:rsid w:val="00430DE3"/>
    <w:rsid w:val="004348AE"/>
    <w:rsid w:val="004376C0"/>
    <w:rsid w:val="0044223A"/>
    <w:rsid w:val="00450B67"/>
    <w:rsid w:val="00451851"/>
    <w:rsid w:val="0045189A"/>
    <w:rsid w:val="0045323E"/>
    <w:rsid w:val="00453343"/>
    <w:rsid w:val="004538C3"/>
    <w:rsid w:val="004608B9"/>
    <w:rsid w:val="00463B55"/>
    <w:rsid w:val="00465947"/>
    <w:rsid w:val="004667B1"/>
    <w:rsid w:val="00467F66"/>
    <w:rsid w:val="00470461"/>
    <w:rsid w:val="00470BB1"/>
    <w:rsid w:val="00473153"/>
    <w:rsid w:val="0047350F"/>
    <w:rsid w:val="004743AF"/>
    <w:rsid w:val="00482C17"/>
    <w:rsid w:val="00484CE3"/>
    <w:rsid w:val="00485C47"/>
    <w:rsid w:val="004911B4"/>
    <w:rsid w:val="0049196A"/>
    <w:rsid w:val="004923DA"/>
    <w:rsid w:val="00492EEB"/>
    <w:rsid w:val="00493434"/>
    <w:rsid w:val="0049374F"/>
    <w:rsid w:val="004968E2"/>
    <w:rsid w:val="004A2A49"/>
    <w:rsid w:val="004A5A64"/>
    <w:rsid w:val="004B5553"/>
    <w:rsid w:val="004B600B"/>
    <w:rsid w:val="004B6822"/>
    <w:rsid w:val="004B69F6"/>
    <w:rsid w:val="004C2D3A"/>
    <w:rsid w:val="004D03C4"/>
    <w:rsid w:val="004D0BF1"/>
    <w:rsid w:val="004D0F4E"/>
    <w:rsid w:val="004D3278"/>
    <w:rsid w:val="004D35A4"/>
    <w:rsid w:val="004D445F"/>
    <w:rsid w:val="004E087B"/>
    <w:rsid w:val="004E44A4"/>
    <w:rsid w:val="004E7B8B"/>
    <w:rsid w:val="004E7BDD"/>
    <w:rsid w:val="004F1966"/>
    <w:rsid w:val="004F1E21"/>
    <w:rsid w:val="004F2542"/>
    <w:rsid w:val="004F4E33"/>
    <w:rsid w:val="004F740D"/>
    <w:rsid w:val="004F7B8F"/>
    <w:rsid w:val="00500748"/>
    <w:rsid w:val="00500D70"/>
    <w:rsid w:val="005011D6"/>
    <w:rsid w:val="00502A14"/>
    <w:rsid w:val="005042F1"/>
    <w:rsid w:val="0050481B"/>
    <w:rsid w:val="005113D4"/>
    <w:rsid w:val="0051287D"/>
    <w:rsid w:val="00513C7D"/>
    <w:rsid w:val="00521123"/>
    <w:rsid w:val="00521221"/>
    <w:rsid w:val="0052250B"/>
    <w:rsid w:val="005305C6"/>
    <w:rsid w:val="00540EEC"/>
    <w:rsid w:val="005414F4"/>
    <w:rsid w:val="00541C96"/>
    <w:rsid w:val="00546187"/>
    <w:rsid w:val="00547B11"/>
    <w:rsid w:val="00557D77"/>
    <w:rsid w:val="00562EAA"/>
    <w:rsid w:val="00563B58"/>
    <w:rsid w:val="005640C4"/>
    <w:rsid w:val="0056684C"/>
    <w:rsid w:val="005741B1"/>
    <w:rsid w:val="00574A0C"/>
    <w:rsid w:val="005770E6"/>
    <w:rsid w:val="0057780F"/>
    <w:rsid w:val="00581E0A"/>
    <w:rsid w:val="00586D89"/>
    <w:rsid w:val="005877C8"/>
    <w:rsid w:val="00587923"/>
    <w:rsid w:val="00587DCE"/>
    <w:rsid w:val="00594F9F"/>
    <w:rsid w:val="005A1B4C"/>
    <w:rsid w:val="005A545C"/>
    <w:rsid w:val="005B271A"/>
    <w:rsid w:val="005B3A2D"/>
    <w:rsid w:val="005C1567"/>
    <w:rsid w:val="005C28D3"/>
    <w:rsid w:val="005C6CE5"/>
    <w:rsid w:val="005D3F07"/>
    <w:rsid w:val="005D4A1E"/>
    <w:rsid w:val="005D4F72"/>
    <w:rsid w:val="005E13EA"/>
    <w:rsid w:val="005E17F1"/>
    <w:rsid w:val="005F64AA"/>
    <w:rsid w:val="005F6EA9"/>
    <w:rsid w:val="005F7851"/>
    <w:rsid w:val="00606E27"/>
    <w:rsid w:val="006108C9"/>
    <w:rsid w:val="00614DF7"/>
    <w:rsid w:val="006179BB"/>
    <w:rsid w:val="0062158D"/>
    <w:rsid w:val="006223FD"/>
    <w:rsid w:val="00631468"/>
    <w:rsid w:val="006326D1"/>
    <w:rsid w:val="00632E0A"/>
    <w:rsid w:val="00633165"/>
    <w:rsid w:val="00640713"/>
    <w:rsid w:val="006447DE"/>
    <w:rsid w:val="00644889"/>
    <w:rsid w:val="00651592"/>
    <w:rsid w:val="0065276E"/>
    <w:rsid w:val="00654329"/>
    <w:rsid w:val="00654CEC"/>
    <w:rsid w:val="00655507"/>
    <w:rsid w:val="006579FD"/>
    <w:rsid w:val="006635E3"/>
    <w:rsid w:val="006660CD"/>
    <w:rsid w:val="006669F3"/>
    <w:rsid w:val="006712A7"/>
    <w:rsid w:val="00672CED"/>
    <w:rsid w:val="00674AC4"/>
    <w:rsid w:val="00674FC2"/>
    <w:rsid w:val="00676E35"/>
    <w:rsid w:val="00677E42"/>
    <w:rsid w:val="00682334"/>
    <w:rsid w:val="00684732"/>
    <w:rsid w:val="00684B16"/>
    <w:rsid w:val="00687016"/>
    <w:rsid w:val="006872A0"/>
    <w:rsid w:val="0069625A"/>
    <w:rsid w:val="00696A88"/>
    <w:rsid w:val="00696F65"/>
    <w:rsid w:val="00697572"/>
    <w:rsid w:val="006B4496"/>
    <w:rsid w:val="006B5E67"/>
    <w:rsid w:val="006B6612"/>
    <w:rsid w:val="006C2EB5"/>
    <w:rsid w:val="006D18A3"/>
    <w:rsid w:val="006D5970"/>
    <w:rsid w:val="006E2E1F"/>
    <w:rsid w:val="006E481E"/>
    <w:rsid w:val="006E795F"/>
    <w:rsid w:val="006F0862"/>
    <w:rsid w:val="006F1438"/>
    <w:rsid w:val="006F2A9E"/>
    <w:rsid w:val="006F5ED3"/>
    <w:rsid w:val="00700249"/>
    <w:rsid w:val="007069CD"/>
    <w:rsid w:val="00706BB5"/>
    <w:rsid w:val="0071231A"/>
    <w:rsid w:val="00712E90"/>
    <w:rsid w:val="00713B7E"/>
    <w:rsid w:val="0072678F"/>
    <w:rsid w:val="007276E5"/>
    <w:rsid w:val="00727C4C"/>
    <w:rsid w:val="00734809"/>
    <w:rsid w:val="0073714E"/>
    <w:rsid w:val="007374EF"/>
    <w:rsid w:val="007406E1"/>
    <w:rsid w:val="00743E40"/>
    <w:rsid w:val="00745016"/>
    <w:rsid w:val="0075031F"/>
    <w:rsid w:val="00751263"/>
    <w:rsid w:val="007544FC"/>
    <w:rsid w:val="00755427"/>
    <w:rsid w:val="00756548"/>
    <w:rsid w:val="0075673A"/>
    <w:rsid w:val="0075704F"/>
    <w:rsid w:val="00763B2D"/>
    <w:rsid w:val="00764C84"/>
    <w:rsid w:val="007710AD"/>
    <w:rsid w:val="00772924"/>
    <w:rsid w:val="0078112D"/>
    <w:rsid w:val="007872F2"/>
    <w:rsid w:val="007873F9"/>
    <w:rsid w:val="007908E0"/>
    <w:rsid w:val="00793EB3"/>
    <w:rsid w:val="00794205"/>
    <w:rsid w:val="0079422A"/>
    <w:rsid w:val="00796CCD"/>
    <w:rsid w:val="007A1F6A"/>
    <w:rsid w:val="007A628F"/>
    <w:rsid w:val="007B0DE3"/>
    <w:rsid w:val="007B1BFD"/>
    <w:rsid w:val="007B7191"/>
    <w:rsid w:val="007C1D94"/>
    <w:rsid w:val="007C556F"/>
    <w:rsid w:val="007C5ABE"/>
    <w:rsid w:val="007C6A87"/>
    <w:rsid w:val="007D0A07"/>
    <w:rsid w:val="007D0F11"/>
    <w:rsid w:val="007D133D"/>
    <w:rsid w:val="007D3EB4"/>
    <w:rsid w:val="007D3F16"/>
    <w:rsid w:val="007F10BD"/>
    <w:rsid w:val="007F312E"/>
    <w:rsid w:val="007F3F7E"/>
    <w:rsid w:val="007F4BA4"/>
    <w:rsid w:val="00813CEC"/>
    <w:rsid w:val="0081534C"/>
    <w:rsid w:val="00816CE7"/>
    <w:rsid w:val="008171E4"/>
    <w:rsid w:val="008208EA"/>
    <w:rsid w:val="00822B44"/>
    <w:rsid w:val="00824E67"/>
    <w:rsid w:val="00825A64"/>
    <w:rsid w:val="00826F48"/>
    <w:rsid w:val="008308AE"/>
    <w:rsid w:val="00830DD1"/>
    <w:rsid w:val="0083166E"/>
    <w:rsid w:val="00831DC3"/>
    <w:rsid w:val="008322C7"/>
    <w:rsid w:val="008340BA"/>
    <w:rsid w:val="00834F1D"/>
    <w:rsid w:val="00836FEC"/>
    <w:rsid w:val="00841F9D"/>
    <w:rsid w:val="008420E1"/>
    <w:rsid w:val="00844D98"/>
    <w:rsid w:val="00846D84"/>
    <w:rsid w:val="00850233"/>
    <w:rsid w:val="0085230E"/>
    <w:rsid w:val="008550A1"/>
    <w:rsid w:val="00861038"/>
    <w:rsid w:val="00865B58"/>
    <w:rsid w:val="00866B50"/>
    <w:rsid w:val="00867A63"/>
    <w:rsid w:val="008708F1"/>
    <w:rsid w:val="00871960"/>
    <w:rsid w:val="0087369F"/>
    <w:rsid w:val="00880539"/>
    <w:rsid w:val="008859E8"/>
    <w:rsid w:val="0088737B"/>
    <w:rsid w:val="00891078"/>
    <w:rsid w:val="00892716"/>
    <w:rsid w:val="00893067"/>
    <w:rsid w:val="008933DE"/>
    <w:rsid w:val="00895FCE"/>
    <w:rsid w:val="00897F3E"/>
    <w:rsid w:val="008A21B4"/>
    <w:rsid w:val="008B07DE"/>
    <w:rsid w:val="008B1309"/>
    <w:rsid w:val="008B28E7"/>
    <w:rsid w:val="008B67F6"/>
    <w:rsid w:val="008C14C7"/>
    <w:rsid w:val="008C2FFB"/>
    <w:rsid w:val="008C633F"/>
    <w:rsid w:val="008C6EEA"/>
    <w:rsid w:val="008C7770"/>
    <w:rsid w:val="008C79C7"/>
    <w:rsid w:val="008D03B0"/>
    <w:rsid w:val="008D2150"/>
    <w:rsid w:val="008D43A0"/>
    <w:rsid w:val="008D5813"/>
    <w:rsid w:val="008D5999"/>
    <w:rsid w:val="008D634E"/>
    <w:rsid w:val="008D778A"/>
    <w:rsid w:val="008D78C9"/>
    <w:rsid w:val="008E3195"/>
    <w:rsid w:val="008E5A35"/>
    <w:rsid w:val="008F127E"/>
    <w:rsid w:val="008F32D9"/>
    <w:rsid w:val="008F4C43"/>
    <w:rsid w:val="00902A65"/>
    <w:rsid w:val="00903932"/>
    <w:rsid w:val="009079BD"/>
    <w:rsid w:val="00912BD9"/>
    <w:rsid w:val="00916FB2"/>
    <w:rsid w:val="00920E5B"/>
    <w:rsid w:val="00926436"/>
    <w:rsid w:val="00926C53"/>
    <w:rsid w:val="0093018C"/>
    <w:rsid w:val="00932499"/>
    <w:rsid w:val="0094495F"/>
    <w:rsid w:val="009544C0"/>
    <w:rsid w:val="00954FA4"/>
    <w:rsid w:val="00956AE9"/>
    <w:rsid w:val="00964CC6"/>
    <w:rsid w:val="00967BFA"/>
    <w:rsid w:val="0098262C"/>
    <w:rsid w:val="0098427C"/>
    <w:rsid w:val="00986B43"/>
    <w:rsid w:val="00986C0B"/>
    <w:rsid w:val="00986D46"/>
    <w:rsid w:val="00991FDA"/>
    <w:rsid w:val="00992ACA"/>
    <w:rsid w:val="009A5F3B"/>
    <w:rsid w:val="009A5F79"/>
    <w:rsid w:val="009A6F87"/>
    <w:rsid w:val="009B0B61"/>
    <w:rsid w:val="009B28C0"/>
    <w:rsid w:val="009B3178"/>
    <w:rsid w:val="009B3E46"/>
    <w:rsid w:val="009B7136"/>
    <w:rsid w:val="009C337F"/>
    <w:rsid w:val="009C53E7"/>
    <w:rsid w:val="009C6092"/>
    <w:rsid w:val="009C7342"/>
    <w:rsid w:val="009D4365"/>
    <w:rsid w:val="009D477B"/>
    <w:rsid w:val="009D4E3B"/>
    <w:rsid w:val="009D59C2"/>
    <w:rsid w:val="009D7BC9"/>
    <w:rsid w:val="009E122F"/>
    <w:rsid w:val="009E1982"/>
    <w:rsid w:val="009E4D2C"/>
    <w:rsid w:val="009F0978"/>
    <w:rsid w:val="009F1E41"/>
    <w:rsid w:val="009F3AEC"/>
    <w:rsid w:val="009F6801"/>
    <w:rsid w:val="009F744E"/>
    <w:rsid w:val="00A00081"/>
    <w:rsid w:val="00A06422"/>
    <w:rsid w:val="00A10D56"/>
    <w:rsid w:val="00A12AAE"/>
    <w:rsid w:val="00A12F22"/>
    <w:rsid w:val="00A16DD1"/>
    <w:rsid w:val="00A22441"/>
    <w:rsid w:val="00A23F3B"/>
    <w:rsid w:val="00A24406"/>
    <w:rsid w:val="00A25F64"/>
    <w:rsid w:val="00A275F6"/>
    <w:rsid w:val="00A303B9"/>
    <w:rsid w:val="00A37416"/>
    <w:rsid w:val="00A40ED6"/>
    <w:rsid w:val="00A47621"/>
    <w:rsid w:val="00A479CD"/>
    <w:rsid w:val="00A50CFC"/>
    <w:rsid w:val="00A54D67"/>
    <w:rsid w:val="00A55A3F"/>
    <w:rsid w:val="00A5656A"/>
    <w:rsid w:val="00A60103"/>
    <w:rsid w:val="00A652F6"/>
    <w:rsid w:val="00A65861"/>
    <w:rsid w:val="00A732EA"/>
    <w:rsid w:val="00A7489E"/>
    <w:rsid w:val="00A8015F"/>
    <w:rsid w:val="00A85039"/>
    <w:rsid w:val="00A906AA"/>
    <w:rsid w:val="00A94C5E"/>
    <w:rsid w:val="00AA252C"/>
    <w:rsid w:val="00AA666E"/>
    <w:rsid w:val="00AA7960"/>
    <w:rsid w:val="00AB5518"/>
    <w:rsid w:val="00AC3A0E"/>
    <w:rsid w:val="00AC4A04"/>
    <w:rsid w:val="00AC5679"/>
    <w:rsid w:val="00AC79FA"/>
    <w:rsid w:val="00AD336F"/>
    <w:rsid w:val="00AE0272"/>
    <w:rsid w:val="00AE134C"/>
    <w:rsid w:val="00AE1868"/>
    <w:rsid w:val="00AE2564"/>
    <w:rsid w:val="00AE301F"/>
    <w:rsid w:val="00AE3302"/>
    <w:rsid w:val="00AE5BA6"/>
    <w:rsid w:val="00AE6231"/>
    <w:rsid w:val="00AE7077"/>
    <w:rsid w:val="00AF61C2"/>
    <w:rsid w:val="00AF6CC6"/>
    <w:rsid w:val="00B0296A"/>
    <w:rsid w:val="00B07E79"/>
    <w:rsid w:val="00B12295"/>
    <w:rsid w:val="00B137BE"/>
    <w:rsid w:val="00B15998"/>
    <w:rsid w:val="00B17FA0"/>
    <w:rsid w:val="00B2292C"/>
    <w:rsid w:val="00B22C3C"/>
    <w:rsid w:val="00B24344"/>
    <w:rsid w:val="00B26769"/>
    <w:rsid w:val="00B2754B"/>
    <w:rsid w:val="00B31C91"/>
    <w:rsid w:val="00B3747F"/>
    <w:rsid w:val="00B42E76"/>
    <w:rsid w:val="00B43194"/>
    <w:rsid w:val="00B436BF"/>
    <w:rsid w:val="00B47734"/>
    <w:rsid w:val="00B50FBA"/>
    <w:rsid w:val="00B558EB"/>
    <w:rsid w:val="00B577D3"/>
    <w:rsid w:val="00B60466"/>
    <w:rsid w:val="00B6548F"/>
    <w:rsid w:val="00B71A32"/>
    <w:rsid w:val="00B7502A"/>
    <w:rsid w:val="00B77305"/>
    <w:rsid w:val="00B774BD"/>
    <w:rsid w:val="00B82CC2"/>
    <w:rsid w:val="00B84A89"/>
    <w:rsid w:val="00B9256C"/>
    <w:rsid w:val="00B92BEF"/>
    <w:rsid w:val="00B94443"/>
    <w:rsid w:val="00B9689A"/>
    <w:rsid w:val="00B97056"/>
    <w:rsid w:val="00BA531E"/>
    <w:rsid w:val="00BA728B"/>
    <w:rsid w:val="00BB06CB"/>
    <w:rsid w:val="00BB261F"/>
    <w:rsid w:val="00BB2887"/>
    <w:rsid w:val="00BB3B56"/>
    <w:rsid w:val="00BB5EAA"/>
    <w:rsid w:val="00BB5F11"/>
    <w:rsid w:val="00BB6638"/>
    <w:rsid w:val="00BB7FD2"/>
    <w:rsid w:val="00BC04FA"/>
    <w:rsid w:val="00BC1C22"/>
    <w:rsid w:val="00BC460B"/>
    <w:rsid w:val="00BC4ED3"/>
    <w:rsid w:val="00BC5725"/>
    <w:rsid w:val="00BD30B1"/>
    <w:rsid w:val="00BE0F7B"/>
    <w:rsid w:val="00BE10C2"/>
    <w:rsid w:val="00BF0D6C"/>
    <w:rsid w:val="00C01D14"/>
    <w:rsid w:val="00C01D97"/>
    <w:rsid w:val="00C025B4"/>
    <w:rsid w:val="00C029EC"/>
    <w:rsid w:val="00C161FD"/>
    <w:rsid w:val="00C17C9F"/>
    <w:rsid w:val="00C23F17"/>
    <w:rsid w:val="00C246F2"/>
    <w:rsid w:val="00C26D0D"/>
    <w:rsid w:val="00C27C95"/>
    <w:rsid w:val="00C300D2"/>
    <w:rsid w:val="00C3270F"/>
    <w:rsid w:val="00C3278B"/>
    <w:rsid w:val="00C33375"/>
    <w:rsid w:val="00C34C23"/>
    <w:rsid w:val="00C368FA"/>
    <w:rsid w:val="00C42005"/>
    <w:rsid w:val="00C4664D"/>
    <w:rsid w:val="00C472AA"/>
    <w:rsid w:val="00C50A05"/>
    <w:rsid w:val="00C54AED"/>
    <w:rsid w:val="00C555FC"/>
    <w:rsid w:val="00C55E9B"/>
    <w:rsid w:val="00C56D09"/>
    <w:rsid w:val="00C5757D"/>
    <w:rsid w:val="00C57D24"/>
    <w:rsid w:val="00C604D6"/>
    <w:rsid w:val="00C63CAB"/>
    <w:rsid w:val="00C63D00"/>
    <w:rsid w:val="00C6441B"/>
    <w:rsid w:val="00C65921"/>
    <w:rsid w:val="00C7108B"/>
    <w:rsid w:val="00C75883"/>
    <w:rsid w:val="00C77FA5"/>
    <w:rsid w:val="00C8089F"/>
    <w:rsid w:val="00C835FE"/>
    <w:rsid w:val="00C836CC"/>
    <w:rsid w:val="00C852D6"/>
    <w:rsid w:val="00C87A74"/>
    <w:rsid w:val="00C92C71"/>
    <w:rsid w:val="00C93F8F"/>
    <w:rsid w:val="00CA0894"/>
    <w:rsid w:val="00CA3593"/>
    <w:rsid w:val="00CA3762"/>
    <w:rsid w:val="00CA5726"/>
    <w:rsid w:val="00CA7E6A"/>
    <w:rsid w:val="00CB258E"/>
    <w:rsid w:val="00CB3C8F"/>
    <w:rsid w:val="00CC02F1"/>
    <w:rsid w:val="00CC1122"/>
    <w:rsid w:val="00CC11A6"/>
    <w:rsid w:val="00CC135E"/>
    <w:rsid w:val="00CC7226"/>
    <w:rsid w:val="00CD0735"/>
    <w:rsid w:val="00CD45E3"/>
    <w:rsid w:val="00CD4771"/>
    <w:rsid w:val="00CD5089"/>
    <w:rsid w:val="00CD5D3F"/>
    <w:rsid w:val="00CD7E1F"/>
    <w:rsid w:val="00CE43A8"/>
    <w:rsid w:val="00CE4BC4"/>
    <w:rsid w:val="00CE7DA2"/>
    <w:rsid w:val="00CF2F8A"/>
    <w:rsid w:val="00CF3DB3"/>
    <w:rsid w:val="00CF5E33"/>
    <w:rsid w:val="00D0274B"/>
    <w:rsid w:val="00D040BC"/>
    <w:rsid w:val="00D0503D"/>
    <w:rsid w:val="00D052BC"/>
    <w:rsid w:val="00D07026"/>
    <w:rsid w:val="00D146AE"/>
    <w:rsid w:val="00D22C8F"/>
    <w:rsid w:val="00D3203C"/>
    <w:rsid w:val="00D33491"/>
    <w:rsid w:val="00D3442D"/>
    <w:rsid w:val="00D36F00"/>
    <w:rsid w:val="00D44B67"/>
    <w:rsid w:val="00D44F8E"/>
    <w:rsid w:val="00D51AC5"/>
    <w:rsid w:val="00D51FD5"/>
    <w:rsid w:val="00D55DE0"/>
    <w:rsid w:val="00D57D04"/>
    <w:rsid w:val="00D607EF"/>
    <w:rsid w:val="00D60F88"/>
    <w:rsid w:val="00D646BD"/>
    <w:rsid w:val="00D65558"/>
    <w:rsid w:val="00D71201"/>
    <w:rsid w:val="00D720C7"/>
    <w:rsid w:val="00D84841"/>
    <w:rsid w:val="00D876E6"/>
    <w:rsid w:val="00D90958"/>
    <w:rsid w:val="00DA1025"/>
    <w:rsid w:val="00DA22EC"/>
    <w:rsid w:val="00DA5682"/>
    <w:rsid w:val="00DA5860"/>
    <w:rsid w:val="00DA5C0C"/>
    <w:rsid w:val="00DB2767"/>
    <w:rsid w:val="00DC1B10"/>
    <w:rsid w:val="00DC2924"/>
    <w:rsid w:val="00DC4729"/>
    <w:rsid w:val="00DD31C5"/>
    <w:rsid w:val="00DD5020"/>
    <w:rsid w:val="00DD63BE"/>
    <w:rsid w:val="00DE4296"/>
    <w:rsid w:val="00DF2469"/>
    <w:rsid w:val="00DF7899"/>
    <w:rsid w:val="00E0524C"/>
    <w:rsid w:val="00E15751"/>
    <w:rsid w:val="00E17160"/>
    <w:rsid w:val="00E17D41"/>
    <w:rsid w:val="00E231D1"/>
    <w:rsid w:val="00E3288D"/>
    <w:rsid w:val="00E35112"/>
    <w:rsid w:val="00E35BEC"/>
    <w:rsid w:val="00E41A6A"/>
    <w:rsid w:val="00E50821"/>
    <w:rsid w:val="00E51F91"/>
    <w:rsid w:val="00E5498A"/>
    <w:rsid w:val="00E559CE"/>
    <w:rsid w:val="00E60F42"/>
    <w:rsid w:val="00E6746C"/>
    <w:rsid w:val="00E7086E"/>
    <w:rsid w:val="00E71248"/>
    <w:rsid w:val="00E73C41"/>
    <w:rsid w:val="00E75911"/>
    <w:rsid w:val="00E7598F"/>
    <w:rsid w:val="00E76F60"/>
    <w:rsid w:val="00E812B5"/>
    <w:rsid w:val="00E83D90"/>
    <w:rsid w:val="00E83F91"/>
    <w:rsid w:val="00E86299"/>
    <w:rsid w:val="00E9107A"/>
    <w:rsid w:val="00E91F62"/>
    <w:rsid w:val="00E929FD"/>
    <w:rsid w:val="00E93240"/>
    <w:rsid w:val="00E9479B"/>
    <w:rsid w:val="00E94E22"/>
    <w:rsid w:val="00E95F08"/>
    <w:rsid w:val="00E97171"/>
    <w:rsid w:val="00EA4D48"/>
    <w:rsid w:val="00EA7ADF"/>
    <w:rsid w:val="00EB2173"/>
    <w:rsid w:val="00EB62E6"/>
    <w:rsid w:val="00EB695F"/>
    <w:rsid w:val="00EC3A85"/>
    <w:rsid w:val="00EC4B89"/>
    <w:rsid w:val="00EC59A5"/>
    <w:rsid w:val="00EC6E15"/>
    <w:rsid w:val="00ED1B30"/>
    <w:rsid w:val="00ED5D03"/>
    <w:rsid w:val="00EE01ED"/>
    <w:rsid w:val="00EE1AC1"/>
    <w:rsid w:val="00EE39D6"/>
    <w:rsid w:val="00EE52AD"/>
    <w:rsid w:val="00EE5BC3"/>
    <w:rsid w:val="00EE6FAB"/>
    <w:rsid w:val="00EF3178"/>
    <w:rsid w:val="00EF328C"/>
    <w:rsid w:val="00EF68BB"/>
    <w:rsid w:val="00F01F92"/>
    <w:rsid w:val="00F030D4"/>
    <w:rsid w:val="00F04053"/>
    <w:rsid w:val="00F06573"/>
    <w:rsid w:val="00F10A08"/>
    <w:rsid w:val="00F15354"/>
    <w:rsid w:val="00F22AC5"/>
    <w:rsid w:val="00F254D1"/>
    <w:rsid w:val="00F32B82"/>
    <w:rsid w:val="00F34C86"/>
    <w:rsid w:val="00F4043E"/>
    <w:rsid w:val="00F41795"/>
    <w:rsid w:val="00F41BBC"/>
    <w:rsid w:val="00F444F0"/>
    <w:rsid w:val="00F446FF"/>
    <w:rsid w:val="00F45521"/>
    <w:rsid w:val="00F50847"/>
    <w:rsid w:val="00F53F27"/>
    <w:rsid w:val="00F546D1"/>
    <w:rsid w:val="00F55F60"/>
    <w:rsid w:val="00F60281"/>
    <w:rsid w:val="00F66272"/>
    <w:rsid w:val="00F709C0"/>
    <w:rsid w:val="00F81FEC"/>
    <w:rsid w:val="00F834E2"/>
    <w:rsid w:val="00F927A1"/>
    <w:rsid w:val="00F92E4D"/>
    <w:rsid w:val="00F95D08"/>
    <w:rsid w:val="00FA0497"/>
    <w:rsid w:val="00FA23BD"/>
    <w:rsid w:val="00FA3764"/>
    <w:rsid w:val="00FA41C7"/>
    <w:rsid w:val="00FA4A79"/>
    <w:rsid w:val="00FA56ED"/>
    <w:rsid w:val="00FB05DD"/>
    <w:rsid w:val="00FB0F7C"/>
    <w:rsid w:val="00FB24EA"/>
    <w:rsid w:val="00FB5FA6"/>
    <w:rsid w:val="00FC0334"/>
    <w:rsid w:val="00FC1310"/>
    <w:rsid w:val="00FC2FF3"/>
    <w:rsid w:val="00FC3263"/>
    <w:rsid w:val="00FC51F9"/>
    <w:rsid w:val="00FC5B40"/>
    <w:rsid w:val="00FC5FF8"/>
    <w:rsid w:val="00FD271B"/>
    <w:rsid w:val="00FD3D7C"/>
    <w:rsid w:val="00FD4F8F"/>
    <w:rsid w:val="00FE0C16"/>
    <w:rsid w:val="00FE14B1"/>
    <w:rsid w:val="00FE4D97"/>
    <w:rsid w:val="00FE5F90"/>
    <w:rsid w:val="00FF0070"/>
    <w:rsid w:val="00FF07C3"/>
    <w:rsid w:val="00FF5F6A"/>
    <w:rsid w:val="00FF7784"/>
    <w:rsid w:val="00FF7EBB"/>
    <w:rsid w:val="03CC700C"/>
    <w:rsid w:val="04770B8A"/>
    <w:rsid w:val="04D3B2CE"/>
    <w:rsid w:val="06783AA2"/>
    <w:rsid w:val="06F34FBA"/>
    <w:rsid w:val="07AF858D"/>
    <w:rsid w:val="0895A14B"/>
    <w:rsid w:val="0A27561F"/>
    <w:rsid w:val="0CE8605B"/>
    <w:rsid w:val="0D80B037"/>
    <w:rsid w:val="0D8C05F9"/>
    <w:rsid w:val="0EDBA8BD"/>
    <w:rsid w:val="0F2B140F"/>
    <w:rsid w:val="0F77E214"/>
    <w:rsid w:val="102A3950"/>
    <w:rsid w:val="10904BF9"/>
    <w:rsid w:val="129BB562"/>
    <w:rsid w:val="14E55E54"/>
    <w:rsid w:val="15B21EA4"/>
    <w:rsid w:val="1661DBBC"/>
    <w:rsid w:val="16BDB770"/>
    <w:rsid w:val="18FA07C0"/>
    <w:rsid w:val="19A0B2E9"/>
    <w:rsid w:val="1B0FBC5A"/>
    <w:rsid w:val="1D53B054"/>
    <w:rsid w:val="1D6670C0"/>
    <w:rsid w:val="21CFAFAE"/>
    <w:rsid w:val="230FA6B9"/>
    <w:rsid w:val="240100B1"/>
    <w:rsid w:val="24D4E93A"/>
    <w:rsid w:val="25F327FB"/>
    <w:rsid w:val="27B81414"/>
    <w:rsid w:val="289DDE72"/>
    <w:rsid w:val="28F1FF9E"/>
    <w:rsid w:val="2C030924"/>
    <w:rsid w:val="2CDFB560"/>
    <w:rsid w:val="2E55808E"/>
    <w:rsid w:val="2E5939F5"/>
    <w:rsid w:val="2F90E210"/>
    <w:rsid w:val="30A6948F"/>
    <w:rsid w:val="322513AD"/>
    <w:rsid w:val="3353280C"/>
    <w:rsid w:val="3498D05F"/>
    <w:rsid w:val="34A1032C"/>
    <w:rsid w:val="350F702B"/>
    <w:rsid w:val="3517D1D9"/>
    <w:rsid w:val="364AF8A5"/>
    <w:rsid w:val="39C47EB7"/>
    <w:rsid w:val="3B2446CA"/>
    <w:rsid w:val="3B2C4091"/>
    <w:rsid w:val="3BE7216C"/>
    <w:rsid w:val="3C06DA9E"/>
    <w:rsid w:val="3CA50B99"/>
    <w:rsid w:val="3CD2139F"/>
    <w:rsid w:val="3D962690"/>
    <w:rsid w:val="3EE31E8D"/>
    <w:rsid w:val="488A33B2"/>
    <w:rsid w:val="49FF326B"/>
    <w:rsid w:val="4A356110"/>
    <w:rsid w:val="4BCDE19D"/>
    <w:rsid w:val="4D2D8025"/>
    <w:rsid w:val="4EC15626"/>
    <w:rsid w:val="4EC4A02F"/>
    <w:rsid w:val="4ECF827F"/>
    <w:rsid w:val="513585DA"/>
    <w:rsid w:val="5158DB01"/>
    <w:rsid w:val="51C116BA"/>
    <w:rsid w:val="5329D3D3"/>
    <w:rsid w:val="534A9052"/>
    <w:rsid w:val="577E9AE8"/>
    <w:rsid w:val="59EF9C14"/>
    <w:rsid w:val="5A453747"/>
    <w:rsid w:val="5C371BFF"/>
    <w:rsid w:val="5EE62511"/>
    <w:rsid w:val="623F2A43"/>
    <w:rsid w:val="63A0D8E5"/>
    <w:rsid w:val="63A1FAF3"/>
    <w:rsid w:val="6531D631"/>
    <w:rsid w:val="678A7E8E"/>
    <w:rsid w:val="69904927"/>
    <w:rsid w:val="69CA8342"/>
    <w:rsid w:val="6A6BA477"/>
    <w:rsid w:val="6A854C79"/>
    <w:rsid w:val="6D1724F2"/>
    <w:rsid w:val="6D1B720D"/>
    <w:rsid w:val="6D4748C2"/>
    <w:rsid w:val="6DBA418C"/>
    <w:rsid w:val="6E4F6729"/>
    <w:rsid w:val="6EEF356E"/>
    <w:rsid w:val="72B097EA"/>
    <w:rsid w:val="732985A0"/>
    <w:rsid w:val="7331E4ED"/>
    <w:rsid w:val="7368B423"/>
    <w:rsid w:val="745329EC"/>
    <w:rsid w:val="748B3D85"/>
    <w:rsid w:val="756EEE2D"/>
    <w:rsid w:val="7645D2F6"/>
    <w:rsid w:val="77387C12"/>
    <w:rsid w:val="79F82AFD"/>
    <w:rsid w:val="7AAB400D"/>
    <w:rsid w:val="7AC29F21"/>
    <w:rsid w:val="7B2CF1A9"/>
    <w:rsid w:val="7E95C208"/>
    <w:rsid w:val="7E97696C"/>
    <w:rsid w:val="7F2B57DC"/>
    <w:rsid w:val="7FD8067A"/>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46E12A4"/>
  <w15:chartTrackingRefBased/>
  <w15:docId w15:val="{F677DC9E-46F3-4B80-9253-2422DE785A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lang w:val="x-none" w:eastAsia="x-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rPr>
      <w:rFonts w:cs="Times New Roman"/>
      <w:lang w:val="x-none" w:eastAsia="x-none"/>
    </w:r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rPr>
      <w:rFonts w:cs="Times New Roman"/>
      <w:lang w:val="x-none" w:eastAsia="x-none"/>
    </w:rPr>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rFonts w:cs="Times New Roman"/>
      <w:sz w:val="16"/>
      <w:szCs w:val="16"/>
      <w:lang w:val="x-none" w:eastAsia="x-none"/>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LightList-Accent31">
    <w:name w:val="Light List - Accent 31"/>
    <w:hidden/>
    <w:uiPriority w:val="99"/>
    <w:semiHidden/>
    <w:rsid w:val="004B6822"/>
    <w:rPr>
      <w:rFonts w:ascii="Arial" w:hAnsi="Arial" w:cs="Arial"/>
      <w:color w:val="000000"/>
    </w:rPr>
  </w:style>
  <w:style w:type="character" w:customStyle="1" w:styleId="FooterChar">
    <w:name w:val="Footer Char"/>
    <w:link w:val="Footer"/>
    <w:uiPriority w:val="99"/>
    <w:rsid w:val="00727C4C"/>
    <w:rPr>
      <w:rFonts w:ascii="Arial" w:hAnsi="Arial" w:cs="Arial"/>
      <w:color w:val="000000"/>
    </w:rPr>
  </w:style>
  <w:style w:type="paragraph" w:styleId="EndnoteText">
    <w:name w:val="endnote text"/>
    <w:basedOn w:val="Normal"/>
    <w:link w:val="EndnoteTextChar"/>
    <w:uiPriority w:val="99"/>
    <w:semiHidden/>
    <w:unhideWhenUsed/>
    <w:rsid w:val="00B2292C"/>
  </w:style>
  <w:style w:type="character" w:customStyle="1" w:styleId="EndnoteTextChar">
    <w:name w:val="Endnote Text Char"/>
    <w:link w:val="EndnoteText"/>
    <w:uiPriority w:val="99"/>
    <w:semiHidden/>
    <w:rsid w:val="00B2292C"/>
    <w:rPr>
      <w:rFonts w:ascii="Arial" w:hAnsi="Arial" w:cs="Arial"/>
      <w:color w:val="000000"/>
    </w:rPr>
  </w:style>
  <w:style w:type="character" w:styleId="EndnoteReference">
    <w:name w:val="endnote reference"/>
    <w:uiPriority w:val="99"/>
    <w:semiHidden/>
    <w:unhideWhenUsed/>
    <w:rsid w:val="00B2292C"/>
    <w:rPr>
      <w:vertAlign w:val="superscript"/>
    </w:rPr>
  </w:style>
  <w:style w:type="paragraph" w:styleId="Title">
    <w:name w:val="Title"/>
    <w:basedOn w:val="Normal"/>
    <w:link w:val="TitleChar"/>
    <w:qFormat/>
    <w:rsid w:val="00986C0B"/>
    <w:pPr>
      <w:overflowPunct/>
      <w:autoSpaceDE/>
      <w:autoSpaceDN/>
      <w:adjustRightInd/>
      <w:jc w:val="center"/>
      <w:textAlignment w:val="auto"/>
    </w:pPr>
    <w:rPr>
      <w:rFonts w:cs="Times New Roman"/>
      <w:b/>
      <w:color w:val="auto"/>
      <w:sz w:val="24"/>
    </w:rPr>
  </w:style>
  <w:style w:type="character" w:customStyle="1" w:styleId="TitleChar">
    <w:name w:val="Title Char"/>
    <w:link w:val="Title"/>
    <w:rsid w:val="00986C0B"/>
    <w:rPr>
      <w:rFonts w:ascii="Arial" w:hAnsi="Arial"/>
      <w:b/>
      <w:sz w:val="24"/>
    </w:rPr>
  </w:style>
  <w:style w:type="paragraph" w:styleId="Revision">
    <w:name w:val="Revision"/>
    <w:hidden/>
    <w:uiPriority w:val="99"/>
    <w:semiHidden/>
    <w:rsid w:val="008D2150"/>
    <w:rPr>
      <w:rFonts w:ascii="Arial" w:hAnsi="Arial" w:cs="Arial"/>
      <w:color w:val="000000"/>
    </w:rPr>
  </w:style>
  <w:style w:type="character" w:styleId="UnresolvedMention">
    <w:name w:val="Unresolved Mention"/>
    <w:basedOn w:val="DefaultParagraphFont"/>
    <w:uiPriority w:val="99"/>
    <w:semiHidden/>
    <w:unhideWhenUsed/>
    <w:rsid w:val="00AE0272"/>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979505290">
      <w:bodyDiv w:val="1"/>
      <w:marLeft w:val="0"/>
      <w:marRight w:val="0"/>
      <w:marTop w:val="0"/>
      <w:marBottom w:val="0"/>
      <w:divBdr>
        <w:top w:val="none" w:sz="0" w:space="0" w:color="auto"/>
        <w:left w:val="none" w:sz="0" w:space="0" w:color="auto"/>
        <w:bottom w:val="none" w:sz="0" w:space="0" w:color="auto"/>
        <w:right w:val="none" w:sz="0" w:space="0" w:color="auto"/>
      </w:divBdr>
    </w:div>
    <w:div w:id="1045373535">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eader" Target="header1.xml"/><Relationship Id="rId5" Type="http://schemas.openxmlformats.org/officeDocument/2006/relationships/styles" Target="styles.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b:Sources xmlns:b="http://schemas.openxmlformats.org/officeDocument/2006/bibliography" xmlns="http://schemas.openxmlformats.org/officeDocument/2006/bibliography" SelectedStyle="\APA.XSL" StyleName="APA"/>
</file>

<file path=customXml/item3.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0" ma:contentTypeDescription="Create a new document." ma:contentTypeScope="" ma:versionID="4a98950e95023d9c765a11155e6b8509">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8c0ab8c76c148be3f14dd38d15f91059"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D1A67F47-07D0-46ED-98C2-091F86B8B366}">
  <ds:schemaRefs>
    <ds:schemaRef ds:uri="http://schemas.microsoft.com/sharepoint/v3/contenttype/forms"/>
  </ds:schemaRefs>
</ds:datastoreItem>
</file>

<file path=customXml/itemProps2.xml><?xml version="1.0" encoding="utf-8"?>
<ds:datastoreItem xmlns:ds="http://schemas.openxmlformats.org/officeDocument/2006/customXml" ds:itemID="{EA004268-9B46-4F3E-94F9-557DC358163B}">
  <ds:schemaRefs>
    <ds:schemaRef ds:uri="http://schemas.openxmlformats.org/officeDocument/2006/bibliography"/>
  </ds:schemaRefs>
</ds:datastoreItem>
</file>

<file path=customXml/itemProps3.xml><?xml version="1.0" encoding="utf-8"?>
<ds:datastoreItem xmlns:ds="http://schemas.openxmlformats.org/officeDocument/2006/customXml" ds:itemID="{1A7CF81F-C3E6-4976-8A60-4EE6DBD4F5F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21</TotalTime>
  <Pages>5</Pages>
  <Words>1048</Words>
  <Characters>6688</Characters>
  <Application>Microsoft Office Word</Application>
  <DocSecurity>0</DocSecurity>
  <Lines>133</Lines>
  <Paragraphs>36</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7700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Alfadil Kharif</cp:lastModifiedBy>
  <cp:revision>12</cp:revision>
  <cp:lastPrinted>2020-02-11T19:20:00Z</cp:lastPrinted>
  <dcterms:created xsi:type="dcterms:W3CDTF">2025-10-06T22:39:00Z</dcterms:created>
  <dcterms:modified xsi:type="dcterms:W3CDTF">2025-10-07T23:02:00Z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ies>
</file>