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443F0" w14:textId="77777777" w:rsidR="00384A81" w:rsidRPr="00384A81" w:rsidRDefault="00384A81" w:rsidP="00EE3396">
      <w:pPr>
        <w:pStyle w:val="Heading2"/>
        <w:rPr>
          <w:rFonts w:eastAsia="Calibri"/>
          <w:lang w:eastAsia="en-IN"/>
        </w:rPr>
      </w:pPr>
      <w:bookmarkStart w:id="0" w:name="_Toc227767945"/>
      <w:r w:rsidRPr="00384A81">
        <w:rPr>
          <w:rFonts w:eastAsia="Calibri"/>
          <w:noProof/>
          <w:lang w:eastAsia="en-IN"/>
        </w:rPr>
        <w:drawing>
          <wp:inline distT="0" distB="0" distL="0" distR="0" wp14:anchorId="2B30D592" wp14:editId="0B7E1118">
            <wp:extent cx="3180581" cy="1272232"/>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8"/>
                    <a:stretch>
                      <a:fillRect/>
                    </a:stretch>
                  </pic:blipFill>
                  <pic:spPr>
                    <a:xfrm>
                      <a:off x="0" y="0"/>
                      <a:ext cx="3180581" cy="1272232"/>
                    </a:xfrm>
                    <a:prstGeom prst="rect">
                      <a:avLst/>
                    </a:prstGeom>
                  </pic:spPr>
                </pic:pic>
              </a:graphicData>
            </a:graphic>
          </wp:inline>
        </w:drawing>
      </w:r>
      <w:bookmarkEnd w:id="0"/>
      <w:r w:rsidRPr="00384A81">
        <w:rPr>
          <w:rFonts w:ascii="Arial" w:eastAsia="Arial" w:hAnsi="Arial" w:cs="Arial"/>
          <w:sz w:val="23"/>
          <w:lang w:eastAsia="en-IN"/>
        </w:rPr>
        <w:t xml:space="preserve"> </w:t>
      </w:r>
    </w:p>
    <w:p w14:paraId="7B1F0375" w14:textId="77777777" w:rsidR="00384A81" w:rsidRPr="00384A81" w:rsidRDefault="00384A81" w:rsidP="00384A81">
      <w:pPr>
        <w:spacing w:after="0"/>
        <w:ind w:right="894"/>
        <w:jc w:val="center"/>
        <w:rPr>
          <w:rFonts w:ascii="Calibri" w:eastAsia="Calibri" w:hAnsi="Calibri" w:cs="Calibri"/>
          <w:color w:val="000000"/>
          <w:szCs w:val="24"/>
          <w:lang w:eastAsia="en-IN"/>
        </w:rPr>
      </w:pPr>
      <w:r w:rsidRPr="00384A81">
        <w:rPr>
          <w:rFonts w:ascii="Arial" w:eastAsia="Arial" w:hAnsi="Arial" w:cs="Arial"/>
          <w:color w:val="000000"/>
          <w:sz w:val="23"/>
          <w:szCs w:val="24"/>
          <w:lang w:eastAsia="en-IN"/>
        </w:rPr>
        <w:t xml:space="preserve"> </w:t>
      </w:r>
    </w:p>
    <w:p w14:paraId="6FD4A553" w14:textId="77777777" w:rsidR="00384A81" w:rsidRPr="00384A81" w:rsidRDefault="00384A81" w:rsidP="00384A81">
      <w:pPr>
        <w:spacing w:after="0"/>
        <w:ind w:right="894"/>
        <w:jc w:val="center"/>
        <w:rPr>
          <w:rFonts w:ascii="Calibri" w:eastAsia="Calibri" w:hAnsi="Calibri" w:cs="Calibri"/>
          <w:color w:val="000000"/>
          <w:szCs w:val="24"/>
          <w:lang w:eastAsia="en-IN"/>
        </w:rPr>
      </w:pPr>
      <w:r w:rsidRPr="00384A81">
        <w:rPr>
          <w:rFonts w:ascii="Arial" w:eastAsia="Arial" w:hAnsi="Arial" w:cs="Arial"/>
          <w:color w:val="000000"/>
          <w:sz w:val="23"/>
          <w:szCs w:val="24"/>
          <w:lang w:eastAsia="en-IN"/>
        </w:rPr>
        <w:t xml:space="preserve"> </w:t>
      </w:r>
    </w:p>
    <w:p w14:paraId="4BD74AE0" w14:textId="77777777" w:rsidR="00384A81" w:rsidRPr="00384A81" w:rsidRDefault="00384A81" w:rsidP="00384A81">
      <w:pPr>
        <w:spacing w:after="0"/>
        <w:ind w:right="894"/>
        <w:jc w:val="center"/>
        <w:rPr>
          <w:rFonts w:ascii="Calibri" w:eastAsia="Calibri" w:hAnsi="Calibri" w:cs="Calibri"/>
          <w:color w:val="000000"/>
          <w:szCs w:val="24"/>
          <w:lang w:eastAsia="en-IN"/>
        </w:rPr>
      </w:pPr>
      <w:r w:rsidRPr="00384A81">
        <w:rPr>
          <w:rFonts w:ascii="Arial" w:eastAsia="Arial" w:hAnsi="Arial" w:cs="Arial"/>
          <w:color w:val="000000"/>
          <w:sz w:val="23"/>
          <w:szCs w:val="24"/>
          <w:lang w:eastAsia="en-IN"/>
        </w:rPr>
        <w:t xml:space="preserve"> </w:t>
      </w:r>
    </w:p>
    <w:p w14:paraId="1D60589B" w14:textId="77777777" w:rsidR="00384A81" w:rsidRPr="00384A81" w:rsidRDefault="00384A81" w:rsidP="00384A81">
      <w:pPr>
        <w:spacing w:after="0"/>
        <w:ind w:right="894"/>
        <w:jc w:val="center"/>
        <w:rPr>
          <w:rFonts w:ascii="Calibri" w:eastAsia="Calibri" w:hAnsi="Calibri" w:cs="Calibri"/>
          <w:color w:val="000000"/>
          <w:szCs w:val="24"/>
          <w:lang w:eastAsia="en-IN"/>
        </w:rPr>
      </w:pPr>
      <w:r w:rsidRPr="00384A81">
        <w:rPr>
          <w:rFonts w:ascii="Arial" w:eastAsia="Arial" w:hAnsi="Arial" w:cs="Arial"/>
          <w:color w:val="000000"/>
          <w:sz w:val="23"/>
          <w:szCs w:val="24"/>
          <w:lang w:eastAsia="en-IN"/>
        </w:rPr>
        <w:t xml:space="preserve"> </w:t>
      </w:r>
    </w:p>
    <w:p w14:paraId="1433F4FF" w14:textId="77777777" w:rsidR="00384A81" w:rsidRPr="00384A81" w:rsidRDefault="00384A81" w:rsidP="00384A81">
      <w:pPr>
        <w:spacing w:after="11"/>
        <w:ind w:right="894"/>
        <w:jc w:val="center"/>
        <w:rPr>
          <w:rFonts w:ascii="Calibri" w:eastAsia="Calibri" w:hAnsi="Calibri" w:cs="Calibri"/>
          <w:color w:val="000000"/>
          <w:szCs w:val="24"/>
          <w:lang w:eastAsia="en-IN"/>
        </w:rPr>
      </w:pPr>
      <w:r w:rsidRPr="00384A81">
        <w:rPr>
          <w:rFonts w:ascii="Arial" w:eastAsia="Arial" w:hAnsi="Arial" w:cs="Arial"/>
          <w:color w:val="000000"/>
          <w:sz w:val="23"/>
          <w:szCs w:val="24"/>
          <w:lang w:eastAsia="en-IN"/>
        </w:rPr>
        <w:t xml:space="preserve"> </w:t>
      </w:r>
    </w:p>
    <w:p w14:paraId="284AA771" w14:textId="5D429219" w:rsidR="00384A81" w:rsidRPr="00384A81" w:rsidRDefault="00384A81" w:rsidP="00384A81">
      <w:pPr>
        <w:spacing w:after="0" w:line="265" w:lineRule="auto"/>
        <w:ind w:left="10" w:right="955" w:hanging="10"/>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Student Name:</w:t>
      </w:r>
      <w:r w:rsidR="006740E3">
        <w:rPr>
          <w:rFonts w:ascii="Arial" w:eastAsia="Arial" w:hAnsi="Arial" w:cs="Arial"/>
          <w:b/>
          <w:color w:val="000000"/>
          <w:sz w:val="26"/>
          <w:szCs w:val="24"/>
          <w:lang w:eastAsia="en-IN"/>
        </w:rPr>
        <w:t xml:space="preserve"> </w:t>
      </w:r>
      <w:proofErr w:type="spellStart"/>
      <w:r w:rsidR="006740E3">
        <w:rPr>
          <w:rFonts w:ascii="Arial" w:eastAsia="Arial" w:hAnsi="Arial" w:cs="Arial"/>
          <w:b/>
          <w:color w:val="000000"/>
          <w:sz w:val="26"/>
          <w:szCs w:val="24"/>
          <w:lang w:eastAsia="en-IN"/>
        </w:rPr>
        <w:t>Darshil</w:t>
      </w:r>
      <w:proofErr w:type="spellEnd"/>
      <w:r w:rsidR="006740E3">
        <w:rPr>
          <w:rFonts w:ascii="Arial" w:eastAsia="Arial" w:hAnsi="Arial" w:cs="Arial"/>
          <w:b/>
          <w:color w:val="000000"/>
          <w:sz w:val="26"/>
          <w:szCs w:val="24"/>
          <w:lang w:eastAsia="en-IN"/>
        </w:rPr>
        <w:t xml:space="preserve"> </w:t>
      </w:r>
      <w:proofErr w:type="spellStart"/>
      <w:r w:rsidR="006740E3">
        <w:rPr>
          <w:rFonts w:ascii="Arial" w:eastAsia="Arial" w:hAnsi="Arial" w:cs="Arial"/>
          <w:b/>
          <w:color w:val="000000"/>
          <w:sz w:val="26"/>
          <w:szCs w:val="24"/>
          <w:lang w:eastAsia="en-IN"/>
        </w:rPr>
        <w:t>rakesh</w:t>
      </w:r>
      <w:proofErr w:type="spellEnd"/>
      <w:r w:rsidR="006740E3">
        <w:rPr>
          <w:rFonts w:ascii="Arial" w:eastAsia="Arial" w:hAnsi="Arial" w:cs="Arial"/>
          <w:b/>
          <w:color w:val="000000"/>
          <w:sz w:val="26"/>
          <w:szCs w:val="24"/>
          <w:lang w:eastAsia="en-IN"/>
        </w:rPr>
        <w:t xml:space="preserve"> </w:t>
      </w:r>
      <w:proofErr w:type="spellStart"/>
      <w:r w:rsidR="006740E3">
        <w:rPr>
          <w:rFonts w:ascii="Arial" w:eastAsia="Arial" w:hAnsi="Arial" w:cs="Arial"/>
          <w:b/>
          <w:color w:val="000000"/>
          <w:sz w:val="26"/>
          <w:szCs w:val="24"/>
          <w:lang w:eastAsia="en-IN"/>
        </w:rPr>
        <w:t>vaddoriya</w:t>
      </w:r>
      <w:proofErr w:type="spellEnd"/>
      <w:r w:rsidRPr="00384A81">
        <w:rPr>
          <w:rFonts w:ascii="Arial" w:eastAsia="Arial" w:hAnsi="Arial" w:cs="Arial"/>
          <w:b/>
          <w:color w:val="000000"/>
          <w:sz w:val="26"/>
          <w:szCs w:val="24"/>
          <w:lang w:eastAsia="en-IN"/>
        </w:rPr>
        <w:t xml:space="preserve"> </w:t>
      </w:r>
    </w:p>
    <w:p w14:paraId="5306547E"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34E459B0" w14:textId="5428393A" w:rsidR="00384A81" w:rsidRPr="00384A81" w:rsidRDefault="00384A81" w:rsidP="00384A81">
      <w:pPr>
        <w:spacing w:after="0" w:line="265" w:lineRule="auto"/>
        <w:ind w:left="10" w:right="956" w:hanging="10"/>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Student ID:</w:t>
      </w:r>
      <w:r w:rsidR="006740E3">
        <w:rPr>
          <w:rFonts w:ascii="Arial" w:eastAsia="Arial" w:hAnsi="Arial" w:cs="Arial"/>
          <w:b/>
          <w:color w:val="000000"/>
          <w:sz w:val="26"/>
          <w:szCs w:val="24"/>
          <w:lang w:eastAsia="en-IN"/>
        </w:rPr>
        <w:t xml:space="preserve"> 2525507</w:t>
      </w:r>
      <w:r w:rsidRPr="00384A81">
        <w:rPr>
          <w:rFonts w:ascii="Arial" w:eastAsia="Arial" w:hAnsi="Arial" w:cs="Arial"/>
          <w:b/>
          <w:color w:val="000000"/>
          <w:sz w:val="26"/>
          <w:szCs w:val="24"/>
          <w:lang w:eastAsia="en-IN"/>
        </w:rPr>
        <w:t xml:space="preserve"> </w:t>
      </w:r>
    </w:p>
    <w:p w14:paraId="37518EB4"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color w:val="000000"/>
          <w:sz w:val="26"/>
          <w:szCs w:val="24"/>
          <w:lang w:eastAsia="en-IN"/>
        </w:rPr>
        <w:t xml:space="preserve"> </w:t>
      </w:r>
    </w:p>
    <w:p w14:paraId="4EDC5A18"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color w:val="000000"/>
          <w:sz w:val="26"/>
          <w:szCs w:val="24"/>
          <w:lang w:eastAsia="en-IN"/>
        </w:rPr>
        <w:t xml:space="preserve"> </w:t>
      </w:r>
    </w:p>
    <w:p w14:paraId="1061315E" w14:textId="634C60D1" w:rsidR="00250B99" w:rsidRDefault="00384A81" w:rsidP="00384A81">
      <w:pPr>
        <w:spacing w:after="0"/>
        <w:ind w:right="2803"/>
        <w:jc w:val="right"/>
        <w:rPr>
          <w:rFonts w:ascii="Arial" w:eastAsia="Arial" w:hAnsi="Arial" w:cs="Arial"/>
          <w:b/>
          <w:color w:val="000000"/>
          <w:sz w:val="26"/>
          <w:szCs w:val="24"/>
          <w:lang w:eastAsia="en-IN"/>
        </w:rPr>
      </w:pPr>
      <w:r w:rsidRPr="00384A81">
        <w:rPr>
          <w:rFonts w:ascii="Arial" w:eastAsia="Arial" w:hAnsi="Arial" w:cs="Arial"/>
          <w:b/>
          <w:color w:val="000000"/>
          <w:sz w:val="26"/>
          <w:szCs w:val="24"/>
          <w:lang w:eastAsia="en-IN"/>
        </w:rPr>
        <w:t>Module Name:</w:t>
      </w:r>
      <w:r w:rsidR="00250B99">
        <w:rPr>
          <w:rFonts w:ascii="Arial" w:eastAsia="Arial" w:hAnsi="Arial" w:cs="Arial"/>
          <w:b/>
          <w:color w:val="000000"/>
          <w:sz w:val="26"/>
          <w:szCs w:val="24"/>
          <w:lang w:eastAsia="en-IN"/>
        </w:rPr>
        <w:t xml:space="preserve"> </w:t>
      </w:r>
      <w:r>
        <w:rPr>
          <w:rFonts w:ascii="Arial" w:eastAsia="Arial" w:hAnsi="Arial" w:cs="Arial"/>
          <w:b/>
          <w:color w:val="000000"/>
          <w:sz w:val="26"/>
          <w:szCs w:val="24"/>
          <w:lang w:eastAsia="en-IN"/>
        </w:rPr>
        <w:t>Financial</w:t>
      </w:r>
    </w:p>
    <w:p w14:paraId="7679283A" w14:textId="6CA85210" w:rsidR="00384A81" w:rsidRPr="00384A81" w:rsidRDefault="00384A81" w:rsidP="00384A81">
      <w:pPr>
        <w:spacing w:after="0"/>
        <w:ind w:right="2803"/>
        <w:jc w:val="right"/>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Management </w:t>
      </w:r>
    </w:p>
    <w:p w14:paraId="21092D49"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781B18DE" w14:textId="2F6B9226" w:rsidR="00384A81" w:rsidRPr="00384A81" w:rsidRDefault="00384A81" w:rsidP="00384A81">
      <w:pPr>
        <w:spacing w:after="0"/>
        <w:ind w:left="2663"/>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Module Code: LCMB70</w:t>
      </w:r>
      <w:r>
        <w:rPr>
          <w:rFonts w:ascii="Arial" w:eastAsia="Arial" w:hAnsi="Arial" w:cs="Arial"/>
          <w:b/>
          <w:color w:val="000000"/>
          <w:sz w:val="26"/>
          <w:szCs w:val="24"/>
          <w:lang w:eastAsia="en-IN"/>
        </w:rPr>
        <w:t>02</w:t>
      </w:r>
      <w:r w:rsidRPr="00384A81">
        <w:rPr>
          <w:rFonts w:ascii="Arial" w:eastAsia="Arial" w:hAnsi="Arial" w:cs="Arial"/>
          <w:b/>
          <w:color w:val="000000"/>
          <w:sz w:val="26"/>
          <w:szCs w:val="24"/>
          <w:lang w:eastAsia="en-IN"/>
        </w:rPr>
        <w:t xml:space="preserve"> </w:t>
      </w:r>
    </w:p>
    <w:p w14:paraId="4295E433"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0B605392"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0972AFC1"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0FCD3CEF"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4FA74AAE" w14:textId="1D21F910" w:rsidR="00384A81" w:rsidRPr="00384A81" w:rsidRDefault="00384A81" w:rsidP="00384A81">
      <w:pPr>
        <w:spacing w:after="0" w:line="265" w:lineRule="auto"/>
        <w:ind w:left="10" w:right="965" w:hanging="10"/>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Lecturer’s Name: </w:t>
      </w:r>
      <w:proofErr w:type="spellStart"/>
      <w:r w:rsidR="00250B99">
        <w:rPr>
          <w:rFonts w:ascii="Arial" w:eastAsia="Arial" w:hAnsi="Arial" w:cs="Arial"/>
          <w:b/>
          <w:color w:val="000000"/>
          <w:sz w:val="26"/>
          <w:szCs w:val="24"/>
          <w:lang w:eastAsia="en-IN"/>
        </w:rPr>
        <w:t>Shengfeng</w:t>
      </w:r>
      <w:proofErr w:type="spellEnd"/>
      <w:r w:rsidR="00250B99">
        <w:rPr>
          <w:rFonts w:ascii="Arial" w:eastAsia="Arial" w:hAnsi="Arial" w:cs="Arial"/>
          <w:b/>
          <w:color w:val="000000"/>
          <w:sz w:val="26"/>
          <w:szCs w:val="24"/>
          <w:lang w:eastAsia="en-IN"/>
        </w:rPr>
        <w:t xml:space="preserve"> Mei</w:t>
      </w:r>
    </w:p>
    <w:p w14:paraId="5FE8D558"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024D6C89"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6F4975E5" w14:textId="77777777" w:rsidR="00384A81" w:rsidRPr="00384A81" w:rsidRDefault="00384A81" w:rsidP="00384A81">
      <w:pPr>
        <w:spacing w:after="0"/>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703CBFE3" w14:textId="10BD5BE5" w:rsidR="00384A81" w:rsidRPr="00384A81" w:rsidRDefault="00384A81" w:rsidP="00384A81">
      <w:pPr>
        <w:spacing w:after="0" w:line="265" w:lineRule="auto"/>
        <w:ind w:left="10" w:right="956" w:hanging="10"/>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Work Count: </w:t>
      </w:r>
      <w:r w:rsidR="00111E12">
        <w:rPr>
          <w:rFonts w:ascii="Arial" w:eastAsia="Arial" w:hAnsi="Arial" w:cs="Arial"/>
          <w:b/>
          <w:color w:val="000000"/>
          <w:sz w:val="26"/>
          <w:szCs w:val="24"/>
          <w:lang w:eastAsia="en-IN"/>
        </w:rPr>
        <w:t>5222</w:t>
      </w:r>
    </w:p>
    <w:p w14:paraId="659A5562"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6CCA7C6C"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2F1423B0"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32A9D282"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37FD8837" w14:textId="77777777" w:rsidR="00384A81" w:rsidRPr="00384A81" w:rsidRDefault="00384A81" w:rsidP="00384A81">
      <w:pPr>
        <w:spacing w:after="0"/>
        <w:ind w:right="884"/>
        <w:jc w:val="center"/>
        <w:rPr>
          <w:rFonts w:ascii="Calibri" w:eastAsia="Calibri" w:hAnsi="Calibri" w:cs="Calibri"/>
          <w:color w:val="000000"/>
          <w:szCs w:val="24"/>
          <w:lang w:eastAsia="en-IN"/>
        </w:rPr>
      </w:pPr>
      <w:r w:rsidRPr="00384A81">
        <w:rPr>
          <w:rFonts w:ascii="Arial" w:eastAsia="Arial" w:hAnsi="Arial" w:cs="Arial"/>
          <w:b/>
          <w:color w:val="000000"/>
          <w:sz w:val="26"/>
          <w:szCs w:val="24"/>
          <w:lang w:eastAsia="en-IN"/>
        </w:rPr>
        <w:t xml:space="preserve"> </w:t>
      </w:r>
    </w:p>
    <w:p w14:paraId="7E8DCA26" w14:textId="52239C9D" w:rsidR="00BD5AF5" w:rsidRPr="00555AB8" w:rsidRDefault="00384A81" w:rsidP="00384A81">
      <w:pPr>
        <w:spacing w:after="2931" w:line="265" w:lineRule="auto"/>
        <w:ind w:left="10" w:right="947" w:hanging="10"/>
        <w:jc w:val="center"/>
        <w:rPr>
          <w:rFonts w:ascii="Arial" w:hAnsi="Arial" w:cs="Arial"/>
          <w:sz w:val="24"/>
          <w:szCs w:val="24"/>
        </w:rPr>
      </w:pPr>
      <w:r w:rsidRPr="00384A81">
        <w:rPr>
          <w:rFonts w:ascii="Arial" w:eastAsia="Arial" w:hAnsi="Arial" w:cs="Arial"/>
          <w:b/>
          <w:color w:val="000000"/>
          <w:sz w:val="26"/>
          <w:szCs w:val="24"/>
          <w:lang w:eastAsia="en-IN"/>
        </w:rPr>
        <w:t xml:space="preserve">Term 1 </w:t>
      </w:r>
      <w:r w:rsidRPr="00384A81">
        <w:rPr>
          <w:rFonts w:ascii="Calibri" w:eastAsia="Calibri" w:hAnsi="Calibri" w:cs="Calibri"/>
          <w:color w:val="000000"/>
          <w:sz w:val="23"/>
          <w:szCs w:val="24"/>
          <w:lang w:eastAsia="en-IN"/>
        </w:rPr>
        <w:t xml:space="preserve"> </w:t>
      </w:r>
    </w:p>
    <w:p w14:paraId="46412F74" w14:textId="0BECD6DD" w:rsidR="00794E1D" w:rsidRPr="00555AB8" w:rsidRDefault="00BD5AF5" w:rsidP="00384A81">
      <w:r w:rsidRPr="00555AB8">
        <w:br w:type="page"/>
      </w:r>
    </w:p>
    <w:sdt>
      <w:sdtPr>
        <w:rPr>
          <w:rFonts w:ascii="Arial" w:eastAsiaTheme="minorHAnsi" w:hAnsi="Arial" w:cs="Arial"/>
          <w:color w:val="auto"/>
          <w:kern w:val="2"/>
          <w:sz w:val="22"/>
          <w:szCs w:val="22"/>
          <w:lang w:val="en-IN"/>
          <w14:ligatures w14:val="standardContextual"/>
        </w:rPr>
        <w:id w:val="-937356335"/>
        <w:docPartObj>
          <w:docPartGallery w:val="Table of Contents"/>
          <w:docPartUnique/>
        </w:docPartObj>
      </w:sdtPr>
      <w:sdtEndPr>
        <w:rPr>
          <w:b/>
          <w:bCs/>
          <w:noProof/>
        </w:rPr>
      </w:sdtEndPr>
      <w:sdtContent>
        <w:p w14:paraId="3F32814B" w14:textId="6E3AE288" w:rsidR="008D7103" w:rsidRPr="00555AB8" w:rsidRDefault="008D7103">
          <w:pPr>
            <w:pStyle w:val="TOCHeading"/>
            <w:rPr>
              <w:rFonts w:ascii="Arial" w:hAnsi="Arial" w:cs="Arial"/>
            </w:rPr>
          </w:pPr>
          <w:r w:rsidRPr="00555AB8">
            <w:rPr>
              <w:rFonts w:ascii="Arial" w:hAnsi="Arial" w:cs="Arial"/>
            </w:rPr>
            <w:t>Contents</w:t>
          </w:r>
        </w:p>
        <w:p w14:paraId="49408D39" w14:textId="375BC698" w:rsidR="00EE3396" w:rsidRDefault="008D7103" w:rsidP="00EE3396">
          <w:pPr>
            <w:pStyle w:val="TOC2"/>
            <w:tabs>
              <w:tab w:val="right" w:leader="dot" w:pos="9016"/>
            </w:tabs>
            <w:ind w:left="0"/>
            <w:rPr>
              <w:rFonts w:eastAsiaTheme="minorEastAsia"/>
              <w:noProof/>
              <w:sz w:val="24"/>
              <w:szCs w:val="24"/>
              <w:lang w:eastAsia="en-IN"/>
            </w:rPr>
          </w:pPr>
          <w:r w:rsidRPr="00555AB8">
            <w:rPr>
              <w:rFonts w:ascii="Arial" w:hAnsi="Arial" w:cs="Arial"/>
            </w:rPr>
            <w:fldChar w:fldCharType="begin"/>
          </w:r>
          <w:r w:rsidRPr="00555AB8">
            <w:rPr>
              <w:rFonts w:ascii="Arial" w:hAnsi="Arial" w:cs="Arial"/>
            </w:rPr>
            <w:instrText xml:space="preserve"> TOC \o "1-3" \h \z \u </w:instrText>
          </w:r>
          <w:r w:rsidRPr="00555AB8">
            <w:rPr>
              <w:rFonts w:ascii="Arial" w:hAnsi="Arial" w:cs="Arial"/>
            </w:rPr>
            <w:fldChar w:fldCharType="separate"/>
          </w:r>
          <w:hyperlink w:anchor="_Toc227767945" w:history="1"/>
        </w:p>
        <w:p w14:paraId="4C76AC75" w14:textId="0F9E8A46" w:rsidR="00EE3396" w:rsidRDefault="00EE3396">
          <w:pPr>
            <w:pStyle w:val="TOC1"/>
            <w:tabs>
              <w:tab w:val="right" w:leader="dot" w:pos="9016"/>
            </w:tabs>
            <w:rPr>
              <w:rFonts w:eastAsiaTheme="minorEastAsia"/>
              <w:noProof/>
              <w:sz w:val="24"/>
              <w:szCs w:val="24"/>
              <w:lang w:eastAsia="en-IN"/>
            </w:rPr>
          </w:pPr>
          <w:hyperlink w:anchor="_Toc227767946" w:history="1">
            <w:r w:rsidRPr="007E3DB0">
              <w:rPr>
                <w:rStyle w:val="Hyperlink"/>
                <w:rFonts w:ascii="Arial" w:hAnsi="Arial" w:cs="Arial"/>
                <w:b/>
                <w:bCs/>
                <w:noProof/>
              </w:rPr>
              <w:t>LIST OF FIGURES</w:t>
            </w:r>
            <w:r>
              <w:rPr>
                <w:noProof/>
                <w:webHidden/>
              </w:rPr>
              <w:tab/>
            </w:r>
            <w:r>
              <w:rPr>
                <w:noProof/>
                <w:webHidden/>
              </w:rPr>
              <w:fldChar w:fldCharType="begin"/>
            </w:r>
            <w:r>
              <w:rPr>
                <w:noProof/>
                <w:webHidden/>
              </w:rPr>
              <w:instrText xml:space="preserve"> PAGEREF _Toc227767946 \h </w:instrText>
            </w:r>
            <w:r>
              <w:rPr>
                <w:noProof/>
                <w:webHidden/>
              </w:rPr>
            </w:r>
            <w:r>
              <w:rPr>
                <w:noProof/>
                <w:webHidden/>
              </w:rPr>
              <w:fldChar w:fldCharType="separate"/>
            </w:r>
            <w:r>
              <w:rPr>
                <w:noProof/>
                <w:webHidden/>
              </w:rPr>
              <w:t>4</w:t>
            </w:r>
            <w:r>
              <w:rPr>
                <w:noProof/>
                <w:webHidden/>
              </w:rPr>
              <w:fldChar w:fldCharType="end"/>
            </w:r>
          </w:hyperlink>
        </w:p>
        <w:p w14:paraId="7FC2DBCB" w14:textId="2A601136" w:rsidR="00EE3396" w:rsidRDefault="00EE3396">
          <w:pPr>
            <w:pStyle w:val="TOC1"/>
            <w:tabs>
              <w:tab w:val="right" w:leader="dot" w:pos="9016"/>
            </w:tabs>
            <w:rPr>
              <w:rFonts w:eastAsiaTheme="minorEastAsia"/>
              <w:noProof/>
              <w:sz w:val="24"/>
              <w:szCs w:val="24"/>
              <w:lang w:eastAsia="en-IN"/>
            </w:rPr>
          </w:pPr>
          <w:hyperlink w:anchor="_Toc227767947" w:history="1">
            <w:r w:rsidRPr="007E3DB0">
              <w:rPr>
                <w:rStyle w:val="Hyperlink"/>
                <w:rFonts w:ascii="Arial" w:hAnsi="Arial" w:cs="Arial"/>
                <w:b/>
                <w:bCs/>
                <w:noProof/>
              </w:rPr>
              <w:t>LIST OF TABLES</w:t>
            </w:r>
            <w:r>
              <w:rPr>
                <w:noProof/>
                <w:webHidden/>
              </w:rPr>
              <w:tab/>
            </w:r>
            <w:r>
              <w:rPr>
                <w:noProof/>
                <w:webHidden/>
              </w:rPr>
              <w:fldChar w:fldCharType="begin"/>
            </w:r>
            <w:r>
              <w:rPr>
                <w:noProof/>
                <w:webHidden/>
              </w:rPr>
              <w:instrText xml:space="preserve"> PAGEREF _Toc227767947 \h </w:instrText>
            </w:r>
            <w:r>
              <w:rPr>
                <w:noProof/>
                <w:webHidden/>
              </w:rPr>
            </w:r>
            <w:r>
              <w:rPr>
                <w:noProof/>
                <w:webHidden/>
              </w:rPr>
              <w:fldChar w:fldCharType="separate"/>
            </w:r>
            <w:r>
              <w:rPr>
                <w:noProof/>
                <w:webHidden/>
              </w:rPr>
              <w:t>4</w:t>
            </w:r>
            <w:r>
              <w:rPr>
                <w:noProof/>
                <w:webHidden/>
              </w:rPr>
              <w:fldChar w:fldCharType="end"/>
            </w:r>
          </w:hyperlink>
        </w:p>
        <w:p w14:paraId="7176EC09" w14:textId="6CFED13F" w:rsidR="00EE3396" w:rsidRDefault="00EE3396">
          <w:pPr>
            <w:pStyle w:val="TOC1"/>
            <w:tabs>
              <w:tab w:val="right" w:leader="dot" w:pos="9016"/>
            </w:tabs>
            <w:rPr>
              <w:rFonts w:eastAsiaTheme="minorEastAsia"/>
              <w:noProof/>
              <w:sz w:val="24"/>
              <w:szCs w:val="24"/>
              <w:lang w:eastAsia="en-IN"/>
            </w:rPr>
          </w:pPr>
          <w:hyperlink w:anchor="_Toc227767948" w:history="1">
            <w:r w:rsidRPr="007E3DB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_Toc227767948 \h </w:instrText>
            </w:r>
            <w:r>
              <w:rPr>
                <w:noProof/>
                <w:webHidden/>
              </w:rPr>
            </w:r>
            <w:r>
              <w:rPr>
                <w:noProof/>
                <w:webHidden/>
              </w:rPr>
              <w:fldChar w:fldCharType="separate"/>
            </w:r>
            <w:r>
              <w:rPr>
                <w:noProof/>
                <w:webHidden/>
              </w:rPr>
              <w:t>5</w:t>
            </w:r>
            <w:r>
              <w:rPr>
                <w:noProof/>
                <w:webHidden/>
              </w:rPr>
              <w:fldChar w:fldCharType="end"/>
            </w:r>
          </w:hyperlink>
        </w:p>
        <w:p w14:paraId="7A4A07AF" w14:textId="6593E131" w:rsidR="00EE3396" w:rsidRDefault="00EE3396">
          <w:pPr>
            <w:pStyle w:val="TOC1"/>
            <w:tabs>
              <w:tab w:val="right" w:leader="dot" w:pos="9016"/>
            </w:tabs>
            <w:rPr>
              <w:rFonts w:eastAsiaTheme="minorEastAsia"/>
              <w:noProof/>
              <w:sz w:val="24"/>
              <w:szCs w:val="24"/>
              <w:lang w:eastAsia="en-IN"/>
            </w:rPr>
          </w:pPr>
          <w:hyperlink w:anchor="_Toc227767949" w:history="1">
            <w:r w:rsidRPr="007E3DB0">
              <w:rPr>
                <w:rStyle w:val="Hyperlink"/>
                <w:rFonts w:ascii="Arial" w:hAnsi="Arial" w:cs="Arial"/>
                <w:b/>
                <w:bCs/>
                <w:noProof/>
              </w:rPr>
              <w:t>FINANCIAL HEALTH CHECK OF BYD COMPANY (2020-2024)</w:t>
            </w:r>
            <w:r>
              <w:rPr>
                <w:noProof/>
                <w:webHidden/>
              </w:rPr>
              <w:tab/>
            </w:r>
            <w:r>
              <w:rPr>
                <w:noProof/>
                <w:webHidden/>
              </w:rPr>
              <w:fldChar w:fldCharType="begin"/>
            </w:r>
            <w:r>
              <w:rPr>
                <w:noProof/>
                <w:webHidden/>
              </w:rPr>
              <w:instrText xml:space="preserve"> PAGEREF _Toc227767949 \h </w:instrText>
            </w:r>
            <w:r>
              <w:rPr>
                <w:noProof/>
                <w:webHidden/>
              </w:rPr>
            </w:r>
            <w:r>
              <w:rPr>
                <w:noProof/>
                <w:webHidden/>
              </w:rPr>
              <w:fldChar w:fldCharType="separate"/>
            </w:r>
            <w:r>
              <w:rPr>
                <w:noProof/>
                <w:webHidden/>
              </w:rPr>
              <w:t>5</w:t>
            </w:r>
            <w:r>
              <w:rPr>
                <w:noProof/>
                <w:webHidden/>
              </w:rPr>
              <w:fldChar w:fldCharType="end"/>
            </w:r>
          </w:hyperlink>
        </w:p>
        <w:p w14:paraId="0515AC81" w14:textId="4354FD90" w:rsidR="00EE3396" w:rsidRDefault="00EE3396">
          <w:pPr>
            <w:pStyle w:val="TOC2"/>
            <w:tabs>
              <w:tab w:val="right" w:leader="dot" w:pos="9016"/>
            </w:tabs>
            <w:rPr>
              <w:rFonts w:eastAsiaTheme="minorEastAsia"/>
              <w:noProof/>
              <w:sz w:val="24"/>
              <w:szCs w:val="24"/>
              <w:lang w:eastAsia="en-IN"/>
            </w:rPr>
          </w:pPr>
          <w:hyperlink w:anchor="_Toc227767950" w:history="1">
            <w:r w:rsidRPr="007E3DB0">
              <w:rPr>
                <w:rStyle w:val="Hyperlink"/>
                <w:rFonts w:ascii="Arial" w:hAnsi="Arial" w:cs="Arial"/>
                <w:b/>
                <w:bCs/>
                <w:i/>
                <w:iCs/>
                <w:noProof/>
              </w:rPr>
              <w:t>Financial Performance Overview</w:t>
            </w:r>
            <w:r>
              <w:rPr>
                <w:noProof/>
                <w:webHidden/>
              </w:rPr>
              <w:tab/>
            </w:r>
            <w:r>
              <w:rPr>
                <w:noProof/>
                <w:webHidden/>
              </w:rPr>
              <w:fldChar w:fldCharType="begin"/>
            </w:r>
            <w:r>
              <w:rPr>
                <w:noProof/>
                <w:webHidden/>
              </w:rPr>
              <w:instrText xml:space="preserve"> PAGEREF _Toc227767950 \h </w:instrText>
            </w:r>
            <w:r>
              <w:rPr>
                <w:noProof/>
                <w:webHidden/>
              </w:rPr>
            </w:r>
            <w:r>
              <w:rPr>
                <w:noProof/>
                <w:webHidden/>
              </w:rPr>
              <w:fldChar w:fldCharType="separate"/>
            </w:r>
            <w:r>
              <w:rPr>
                <w:noProof/>
                <w:webHidden/>
              </w:rPr>
              <w:t>6</w:t>
            </w:r>
            <w:r>
              <w:rPr>
                <w:noProof/>
                <w:webHidden/>
              </w:rPr>
              <w:fldChar w:fldCharType="end"/>
            </w:r>
          </w:hyperlink>
        </w:p>
        <w:p w14:paraId="2B8781F1" w14:textId="70FC5564" w:rsidR="00EE3396" w:rsidRDefault="00EE3396">
          <w:pPr>
            <w:pStyle w:val="TOC2"/>
            <w:tabs>
              <w:tab w:val="right" w:leader="dot" w:pos="9016"/>
            </w:tabs>
            <w:rPr>
              <w:rFonts w:eastAsiaTheme="minorEastAsia"/>
              <w:noProof/>
              <w:sz w:val="24"/>
              <w:szCs w:val="24"/>
              <w:lang w:eastAsia="en-IN"/>
            </w:rPr>
          </w:pPr>
          <w:hyperlink w:anchor="_Toc227767951" w:history="1">
            <w:r w:rsidRPr="007E3DB0">
              <w:rPr>
                <w:rStyle w:val="Hyperlink"/>
                <w:rFonts w:ascii="Arial" w:hAnsi="Arial" w:cs="Arial"/>
                <w:b/>
                <w:bCs/>
                <w:i/>
                <w:iCs/>
                <w:noProof/>
              </w:rPr>
              <w:t>Ratio Analysis</w:t>
            </w:r>
            <w:r>
              <w:rPr>
                <w:noProof/>
                <w:webHidden/>
              </w:rPr>
              <w:tab/>
            </w:r>
            <w:r>
              <w:rPr>
                <w:noProof/>
                <w:webHidden/>
              </w:rPr>
              <w:fldChar w:fldCharType="begin"/>
            </w:r>
            <w:r>
              <w:rPr>
                <w:noProof/>
                <w:webHidden/>
              </w:rPr>
              <w:instrText xml:space="preserve"> PAGEREF _Toc227767951 \h </w:instrText>
            </w:r>
            <w:r>
              <w:rPr>
                <w:noProof/>
                <w:webHidden/>
              </w:rPr>
            </w:r>
            <w:r>
              <w:rPr>
                <w:noProof/>
                <w:webHidden/>
              </w:rPr>
              <w:fldChar w:fldCharType="separate"/>
            </w:r>
            <w:r>
              <w:rPr>
                <w:noProof/>
                <w:webHidden/>
              </w:rPr>
              <w:t>6</w:t>
            </w:r>
            <w:r>
              <w:rPr>
                <w:noProof/>
                <w:webHidden/>
              </w:rPr>
              <w:fldChar w:fldCharType="end"/>
            </w:r>
          </w:hyperlink>
        </w:p>
        <w:p w14:paraId="0890D36B" w14:textId="06124D7D" w:rsidR="00EE3396" w:rsidRDefault="00EE3396">
          <w:pPr>
            <w:pStyle w:val="TOC2"/>
            <w:tabs>
              <w:tab w:val="right" w:leader="dot" w:pos="9016"/>
            </w:tabs>
            <w:rPr>
              <w:rFonts w:eastAsiaTheme="minorEastAsia"/>
              <w:noProof/>
              <w:sz w:val="24"/>
              <w:szCs w:val="24"/>
              <w:lang w:eastAsia="en-IN"/>
            </w:rPr>
          </w:pPr>
          <w:hyperlink w:anchor="_Toc227767952" w:history="1">
            <w:r w:rsidRPr="007E3DB0">
              <w:rPr>
                <w:rStyle w:val="Hyperlink"/>
                <w:rFonts w:ascii="Arial" w:hAnsi="Arial" w:cs="Arial"/>
                <w:b/>
                <w:bCs/>
                <w:i/>
                <w:iCs/>
                <w:noProof/>
              </w:rPr>
              <w:t>Summary of Trends, Strengths, and Threats</w:t>
            </w:r>
            <w:r>
              <w:rPr>
                <w:noProof/>
                <w:webHidden/>
              </w:rPr>
              <w:tab/>
            </w:r>
            <w:r>
              <w:rPr>
                <w:noProof/>
                <w:webHidden/>
              </w:rPr>
              <w:fldChar w:fldCharType="begin"/>
            </w:r>
            <w:r>
              <w:rPr>
                <w:noProof/>
                <w:webHidden/>
              </w:rPr>
              <w:instrText xml:space="preserve"> PAGEREF _Toc227767952 \h </w:instrText>
            </w:r>
            <w:r>
              <w:rPr>
                <w:noProof/>
                <w:webHidden/>
              </w:rPr>
            </w:r>
            <w:r>
              <w:rPr>
                <w:noProof/>
                <w:webHidden/>
              </w:rPr>
              <w:fldChar w:fldCharType="separate"/>
            </w:r>
            <w:r>
              <w:rPr>
                <w:noProof/>
                <w:webHidden/>
              </w:rPr>
              <w:t>9</w:t>
            </w:r>
            <w:r>
              <w:rPr>
                <w:noProof/>
                <w:webHidden/>
              </w:rPr>
              <w:fldChar w:fldCharType="end"/>
            </w:r>
          </w:hyperlink>
        </w:p>
        <w:p w14:paraId="370B73AF" w14:textId="57A43DFA" w:rsidR="00EE3396" w:rsidRDefault="00EE3396">
          <w:pPr>
            <w:pStyle w:val="TOC1"/>
            <w:tabs>
              <w:tab w:val="right" w:leader="dot" w:pos="9016"/>
            </w:tabs>
            <w:rPr>
              <w:rFonts w:eastAsiaTheme="minorEastAsia"/>
              <w:noProof/>
              <w:sz w:val="24"/>
              <w:szCs w:val="24"/>
              <w:lang w:eastAsia="en-IN"/>
            </w:rPr>
          </w:pPr>
          <w:hyperlink w:anchor="_Toc227767953" w:history="1">
            <w:r w:rsidRPr="007E3DB0">
              <w:rPr>
                <w:rStyle w:val="Hyperlink"/>
                <w:rFonts w:ascii="Arial" w:hAnsi="Arial" w:cs="Arial"/>
                <w:b/>
                <w:bCs/>
                <w:noProof/>
              </w:rPr>
              <w:t>WORKING CAPITAL MANAGEMENT ANALYSIS</w:t>
            </w:r>
            <w:r>
              <w:rPr>
                <w:noProof/>
                <w:webHidden/>
              </w:rPr>
              <w:tab/>
            </w:r>
            <w:r>
              <w:rPr>
                <w:noProof/>
                <w:webHidden/>
              </w:rPr>
              <w:fldChar w:fldCharType="begin"/>
            </w:r>
            <w:r>
              <w:rPr>
                <w:noProof/>
                <w:webHidden/>
              </w:rPr>
              <w:instrText xml:space="preserve"> PAGEREF _Toc227767953 \h </w:instrText>
            </w:r>
            <w:r>
              <w:rPr>
                <w:noProof/>
                <w:webHidden/>
              </w:rPr>
            </w:r>
            <w:r>
              <w:rPr>
                <w:noProof/>
                <w:webHidden/>
              </w:rPr>
              <w:fldChar w:fldCharType="separate"/>
            </w:r>
            <w:r>
              <w:rPr>
                <w:noProof/>
                <w:webHidden/>
              </w:rPr>
              <w:t>9</w:t>
            </w:r>
            <w:r>
              <w:rPr>
                <w:noProof/>
                <w:webHidden/>
              </w:rPr>
              <w:fldChar w:fldCharType="end"/>
            </w:r>
          </w:hyperlink>
        </w:p>
        <w:p w14:paraId="4D61C2CF" w14:textId="07F6BDD2" w:rsidR="00EE3396" w:rsidRDefault="00EE3396">
          <w:pPr>
            <w:pStyle w:val="TOC2"/>
            <w:tabs>
              <w:tab w:val="right" w:leader="dot" w:pos="9016"/>
            </w:tabs>
            <w:rPr>
              <w:rFonts w:eastAsiaTheme="minorEastAsia"/>
              <w:noProof/>
              <w:sz w:val="24"/>
              <w:szCs w:val="24"/>
              <w:lang w:eastAsia="en-IN"/>
            </w:rPr>
          </w:pPr>
          <w:hyperlink w:anchor="_Toc227767954" w:history="1">
            <w:r w:rsidRPr="007E3DB0">
              <w:rPr>
                <w:rStyle w:val="Hyperlink"/>
                <w:rFonts w:ascii="Arial" w:hAnsi="Arial" w:cs="Arial"/>
                <w:b/>
                <w:bCs/>
                <w:i/>
                <w:iCs/>
                <w:noProof/>
              </w:rPr>
              <w:t>Overview of Working Capital Position (2020–2024)</w:t>
            </w:r>
            <w:r>
              <w:rPr>
                <w:noProof/>
                <w:webHidden/>
              </w:rPr>
              <w:tab/>
            </w:r>
            <w:r>
              <w:rPr>
                <w:noProof/>
                <w:webHidden/>
              </w:rPr>
              <w:fldChar w:fldCharType="begin"/>
            </w:r>
            <w:r>
              <w:rPr>
                <w:noProof/>
                <w:webHidden/>
              </w:rPr>
              <w:instrText xml:space="preserve"> PAGEREF _Toc227767954 \h </w:instrText>
            </w:r>
            <w:r>
              <w:rPr>
                <w:noProof/>
                <w:webHidden/>
              </w:rPr>
            </w:r>
            <w:r>
              <w:rPr>
                <w:noProof/>
                <w:webHidden/>
              </w:rPr>
              <w:fldChar w:fldCharType="separate"/>
            </w:r>
            <w:r>
              <w:rPr>
                <w:noProof/>
                <w:webHidden/>
              </w:rPr>
              <w:t>9</w:t>
            </w:r>
            <w:r>
              <w:rPr>
                <w:noProof/>
                <w:webHidden/>
              </w:rPr>
              <w:fldChar w:fldCharType="end"/>
            </w:r>
          </w:hyperlink>
        </w:p>
        <w:p w14:paraId="3A7B6EEB" w14:textId="76738E05" w:rsidR="00EE3396" w:rsidRDefault="00EE3396">
          <w:pPr>
            <w:pStyle w:val="TOC2"/>
            <w:tabs>
              <w:tab w:val="right" w:leader="dot" w:pos="9016"/>
            </w:tabs>
            <w:rPr>
              <w:rFonts w:eastAsiaTheme="minorEastAsia"/>
              <w:noProof/>
              <w:sz w:val="24"/>
              <w:szCs w:val="24"/>
              <w:lang w:eastAsia="en-IN"/>
            </w:rPr>
          </w:pPr>
          <w:hyperlink w:anchor="_Toc227767955" w:history="1">
            <w:r w:rsidRPr="007E3DB0">
              <w:rPr>
                <w:rStyle w:val="Hyperlink"/>
                <w:rFonts w:ascii="Arial" w:hAnsi="Arial" w:cs="Arial"/>
                <w:b/>
                <w:bCs/>
                <w:i/>
                <w:iCs/>
                <w:noProof/>
              </w:rPr>
              <w:t>Assessment of the Cash Operating Cycle</w:t>
            </w:r>
            <w:r>
              <w:rPr>
                <w:noProof/>
                <w:webHidden/>
              </w:rPr>
              <w:tab/>
            </w:r>
            <w:r>
              <w:rPr>
                <w:noProof/>
                <w:webHidden/>
              </w:rPr>
              <w:fldChar w:fldCharType="begin"/>
            </w:r>
            <w:r>
              <w:rPr>
                <w:noProof/>
                <w:webHidden/>
              </w:rPr>
              <w:instrText xml:space="preserve"> PAGEREF _Toc227767955 \h </w:instrText>
            </w:r>
            <w:r>
              <w:rPr>
                <w:noProof/>
                <w:webHidden/>
              </w:rPr>
            </w:r>
            <w:r>
              <w:rPr>
                <w:noProof/>
                <w:webHidden/>
              </w:rPr>
              <w:fldChar w:fldCharType="separate"/>
            </w:r>
            <w:r>
              <w:rPr>
                <w:noProof/>
                <w:webHidden/>
              </w:rPr>
              <w:t>10</w:t>
            </w:r>
            <w:r>
              <w:rPr>
                <w:noProof/>
                <w:webHidden/>
              </w:rPr>
              <w:fldChar w:fldCharType="end"/>
            </w:r>
          </w:hyperlink>
        </w:p>
        <w:p w14:paraId="2C5B008B" w14:textId="380F1E53" w:rsidR="00EE3396" w:rsidRDefault="00EE3396">
          <w:pPr>
            <w:pStyle w:val="TOC2"/>
            <w:tabs>
              <w:tab w:val="right" w:leader="dot" w:pos="9016"/>
            </w:tabs>
            <w:rPr>
              <w:rFonts w:eastAsiaTheme="minorEastAsia"/>
              <w:noProof/>
              <w:sz w:val="24"/>
              <w:szCs w:val="24"/>
              <w:lang w:eastAsia="en-IN"/>
            </w:rPr>
          </w:pPr>
          <w:hyperlink w:anchor="_Toc227767956" w:history="1">
            <w:r w:rsidRPr="007E3DB0">
              <w:rPr>
                <w:rStyle w:val="Hyperlink"/>
                <w:rFonts w:ascii="Arial" w:hAnsi="Arial" w:cs="Arial"/>
                <w:b/>
                <w:bCs/>
                <w:i/>
                <w:iCs/>
                <w:noProof/>
              </w:rPr>
              <w:t>Working Capital Reforms and Liquidity Enhancement Strategies</w:t>
            </w:r>
            <w:r>
              <w:rPr>
                <w:noProof/>
                <w:webHidden/>
              </w:rPr>
              <w:tab/>
            </w:r>
            <w:r>
              <w:rPr>
                <w:noProof/>
                <w:webHidden/>
              </w:rPr>
              <w:fldChar w:fldCharType="begin"/>
            </w:r>
            <w:r>
              <w:rPr>
                <w:noProof/>
                <w:webHidden/>
              </w:rPr>
              <w:instrText xml:space="preserve"> PAGEREF _Toc227767956 \h </w:instrText>
            </w:r>
            <w:r>
              <w:rPr>
                <w:noProof/>
                <w:webHidden/>
              </w:rPr>
            </w:r>
            <w:r>
              <w:rPr>
                <w:noProof/>
                <w:webHidden/>
              </w:rPr>
              <w:fldChar w:fldCharType="separate"/>
            </w:r>
            <w:r>
              <w:rPr>
                <w:noProof/>
                <w:webHidden/>
              </w:rPr>
              <w:t>11</w:t>
            </w:r>
            <w:r>
              <w:rPr>
                <w:noProof/>
                <w:webHidden/>
              </w:rPr>
              <w:fldChar w:fldCharType="end"/>
            </w:r>
          </w:hyperlink>
        </w:p>
        <w:p w14:paraId="3A309FCD" w14:textId="43FD8C48" w:rsidR="00EE3396" w:rsidRDefault="00EE3396">
          <w:pPr>
            <w:pStyle w:val="TOC2"/>
            <w:tabs>
              <w:tab w:val="right" w:leader="dot" w:pos="9016"/>
            </w:tabs>
            <w:rPr>
              <w:rFonts w:eastAsiaTheme="minorEastAsia"/>
              <w:noProof/>
              <w:sz w:val="24"/>
              <w:szCs w:val="24"/>
              <w:lang w:eastAsia="en-IN"/>
            </w:rPr>
          </w:pPr>
          <w:hyperlink w:anchor="_Toc227767957" w:history="1">
            <w:r w:rsidRPr="007E3DB0">
              <w:rPr>
                <w:rStyle w:val="Hyperlink"/>
                <w:rFonts w:ascii="Arial" w:hAnsi="Arial" w:cs="Arial"/>
                <w:b/>
                <w:bCs/>
                <w:i/>
                <w:iCs/>
                <w:noProof/>
              </w:rPr>
              <w:t>Short-Term vs Long-Term Financing: Strategic Implications</w:t>
            </w:r>
            <w:r>
              <w:rPr>
                <w:noProof/>
                <w:webHidden/>
              </w:rPr>
              <w:tab/>
            </w:r>
            <w:r>
              <w:rPr>
                <w:noProof/>
                <w:webHidden/>
              </w:rPr>
              <w:fldChar w:fldCharType="begin"/>
            </w:r>
            <w:r>
              <w:rPr>
                <w:noProof/>
                <w:webHidden/>
              </w:rPr>
              <w:instrText xml:space="preserve"> PAGEREF _Toc227767957 \h </w:instrText>
            </w:r>
            <w:r>
              <w:rPr>
                <w:noProof/>
                <w:webHidden/>
              </w:rPr>
            </w:r>
            <w:r>
              <w:rPr>
                <w:noProof/>
                <w:webHidden/>
              </w:rPr>
              <w:fldChar w:fldCharType="separate"/>
            </w:r>
            <w:r>
              <w:rPr>
                <w:noProof/>
                <w:webHidden/>
              </w:rPr>
              <w:t>11</w:t>
            </w:r>
            <w:r>
              <w:rPr>
                <w:noProof/>
                <w:webHidden/>
              </w:rPr>
              <w:fldChar w:fldCharType="end"/>
            </w:r>
          </w:hyperlink>
        </w:p>
        <w:p w14:paraId="766F4400" w14:textId="7A369925" w:rsidR="00EE3396" w:rsidRDefault="00EE3396">
          <w:pPr>
            <w:pStyle w:val="TOC1"/>
            <w:tabs>
              <w:tab w:val="right" w:leader="dot" w:pos="9016"/>
            </w:tabs>
            <w:rPr>
              <w:rFonts w:eastAsiaTheme="minorEastAsia"/>
              <w:noProof/>
              <w:sz w:val="24"/>
              <w:szCs w:val="24"/>
              <w:lang w:eastAsia="en-IN"/>
            </w:rPr>
          </w:pPr>
          <w:hyperlink w:anchor="_Toc227767958" w:history="1">
            <w:r w:rsidRPr="007E3DB0">
              <w:rPr>
                <w:rStyle w:val="Hyperlink"/>
                <w:rFonts w:ascii="Arial" w:hAnsi="Arial" w:cs="Arial"/>
                <w:b/>
                <w:bCs/>
                <w:noProof/>
              </w:rPr>
              <w:t>STRATEGIC FINANCIAL RESTRUCTURING PLAN</w:t>
            </w:r>
            <w:r>
              <w:rPr>
                <w:noProof/>
                <w:webHidden/>
              </w:rPr>
              <w:tab/>
            </w:r>
            <w:r>
              <w:rPr>
                <w:noProof/>
                <w:webHidden/>
              </w:rPr>
              <w:fldChar w:fldCharType="begin"/>
            </w:r>
            <w:r>
              <w:rPr>
                <w:noProof/>
                <w:webHidden/>
              </w:rPr>
              <w:instrText xml:space="preserve"> PAGEREF _Toc227767958 \h </w:instrText>
            </w:r>
            <w:r>
              <w:rPr>
                <w:noProof/>
                <w:webHidden/>
              </w:rPr>
            </w:r>
            <w:r>
              <w:rPr>
                <w:noProof/>
                <w:webHidden/>
              </w:rPr>
              <w:fldChar w:fldCharType="separate"/>
            </w:r>
            <w:r>
              <w:rPr>
                <w:noProof/>
                <w:webHidden/>
              </w:rPr>
              <w:t>12</w:t>
            </w:r>
            <w:r>
              <w:rPr>
                <w:noProof/>
                <w:webHidden/>
              </w:rPr>
              <w:fldChar w:fldCharType="end"/>
            </w:r>
          </w:hyperlink>
        </w:p>
        <w:p w14:paraId="2590AD9C" w14:textId="19604DD5" w:rsidR="00EE3396" w:rsidRDefault="00EE3396">
          <w:pPr>
            <w:pStyle w:val="TOC2"/>
            <w:tabs>
              <w:tab w:val="right" w:leader="dot" w:pos="9016"/>
            </w:tabs>
            <w:rPr>
              <w:rFonts w:eastAsiaTheme="minorEastAsia"/>
              <w:noProof/>
              <w:sz w:val="24"/>
              <w:szCs w:val="24"/>
              <w:lang w:eastAsia="en-IN"/>
            </w:rPr>
          </w:pPr>
          <w:hyperlink w:anchor="_Toc227767959" w:history="1">
            <w:r w:rsidRPr="007E3DB0">
              <w:rPr>
                <w:rStyle w:val="Hyperlink"/>
                <w:rFonts w:ascii="Arial" w:hAnsi="Arial" w:cs="Arial"/>
                <w:b/>
                <w:bCs/>
                <w:i/>
                <w:iCs/>
                <w:noProof/>
              </w:rPr>
              <w:t>Financial Restructuring Options</w:t>
            </w:r>
            <w:r>
              <w:rPr>
                <w:noProof/>
                <w:webHidden/>
              </w:rPr>
              <w:tab/>
            </w:r>
            <w:r>
              <w:rPr>
                <w:noProof/>
                <w:webHidden/>
              </w:rPr>
              <w:fldChar w:fldCharType="begin"/>
            </w:r>
            <w:r>
              <w:rPr>
                <w:noProof/>
                <w:webHidden/>
              </w:rPr>
              <w:instrText xml:space="preserve"> PAGEREF _Toc227767959 \h </w:instrText>
            </w:r>
            <w:r>
              <w:rPr>
                <w:noProof/>
                <w:webHidden/>
              </w:rPr>
            </w:r>
            <w:r>
              <w:rPr>
                <w:noProof/>
                <w:webHidden/>
              </w:rPr>
              <w:fldChar w:fldCharType="separate"/>
            </w:r>
            <w:r>
              <w:rPr>
                <w:noProof/>
                <w:webHidden/>
              </w:rPr>
              <w:t>12</w:t>
            </w:r>
            <w:r>
              <w:rPr>
                <w:noProof/>
                <w:webHidden/>
              </w:rPr>
              <w:fldChar w:fldCharType="end"/>
            </w:r>
          </w:hyperlink>
        </w:p>
        <w:p w14:paraId="3A610C05" w14:textId="15577B30" w:rsidR="00EE3396" w:rsidRDefault="00EE3396">
          <w:pPr>
            <w:pStyle w:val="TOC2"/>
            <w:tabs>
              <w:tab w:val="right" w:leader="dot" w:pos="9016"/>
            </w:tabs>
            <w:rPr>
              <w:rFonts w:eastAsiaTheme="minorEastAsia"/>
              <w:noProof/>
              <w:sz w:val="24"/>
              <w:szCs w:val="24"/>
              <w:lang w:eastAsia="en-IN"/>
            </w:rPr>
          </w:pPr>
          <w:hyperlink w:anchor="_Toc227767960" w:history="1">
            <w:r w:rsidRPr="007E3DB0">
              <w:rPr>
                <w:rStyle w:val="Hyperlink"/>
                <w:rFonts w:ascii="Arial" w:hAnsi="Arial" w:cs="Arial"/>
                <w:b/>
                <w:bCs/>
                <w:i/>
                <w:iCs/>
                <w:noProof/>
              </w:rPr>
              <w:t>Impact on Shareholder Value, Debt Structure, and Operational Flexibility</w:t>
            </w:r>
            <w:r>
              <w:rPr>
                <w:noProof/>
                <w:webHidden/>
              </w:rPr>
              <w:tab/>
            </w:r>
            <w:r>
              <w:rPr>
                <w:noProof/>
                <w:webHidden/>
              </w:rPr>
              <w:fldChar w:fldCharType="begin"/>
            </w:r>
            <w:r>
              <w:rPr>
                <w:noProof/>
                <w:webHidden/>
              </w:rPr>
              <w:instrText xml:space="preserve"> PAGEREF _Toc227767960 \h </w:instrText>
            </w:r>
            <w:r>
              <w:rPr>
                <w:noProof/>
                <w:webHidden/>
              </w:rPr>
            </w:r>
            <w:r>
              <w:rPr>
                <w:noProof/>
                <w:webHidden/>
              </w:rPr>
              <w:fldChar w:fldCharType="separate"/>
            </w:r>
            <w:r>
              <w:rPr>
                <w:noProof/>
                <w:webHidden/>
              </w:rPr>
              <w:t>13</w:t>
            </w:r>
            <w:r>
              <w:rPr>
                <w:noProof/>
                <w:webHidden/>
              </w:rPr>
              <w:fldChar w:fldCharType="end"/>
            </w:r>
          </w:hyperlink>
        </w:p>
        <w:p w14:paraId="3816E732" w14:textId="010B31D5" w:rsidR="00EE3396" w:rsidRDefault="00EE3396">
          <w:pPr>
            <w:pStyle w:val="TOC2"/>
            <w:tabs>
              <w:tab w:val="right" w:leader="dot" w:pos="9016"/>
            </w:tabs>
            <w:rPr>
              <w:rFonts w:eastAsiaTheme="minorEastAsia"/>
              <w:noProof/>
              <w:sz w:val="24"/>
              <w:szCs w:val="24"/>
              <w:lang w:eastAsia="en-IN"/>
            </w:rPr>
          </w:pPr>
          <w:hyperlink w:anchor="_Toc227767961" w:history="1">
            <w:r w:rsidRPr="007E3DB0">
              <w:rPr>
                <w:rStyle w:val="Hyperlink"/>
                <w:rFonts w:ascii="Arial" w:hAnsi="Arial" w:cs="Arial"/>
                <w:b/>
                <w:bCs/>
                <w:i/>
                <w:iCs/>
                <w:noProof/>
              </w:rPr>
              <w:t>International Financial Considerations</w:t>
            </w:r>
            <w:r>
              <w:rPr>
                <w:noProof/>
                <w:webHidden/>
              </w:rPr>
              <w:tab/>
            </w:r>
            <w:r>
              <w:rPr>
                <w:noProof/>
                <w:webHidden/>
              </w:rPr>
              <w:fldChar w:fldCharType="begin"/>
            </w:r>
            <w:r>
              <w:rPr>
                <w:noProof/>
                <w:webHidden/>
              </w:rPr>
              <w:instrText xml:space="preserve"> PAGEREF _Toc227767961 \h </w:instrText>
            </w:r>
            <w:r>
              <w:rPr>
                <w:noProof/>
                <w:webHidden/>
              </w:rPr>
            </w:r>
            <w:r>
              <w:rPr>
                <w:noProof/>
                <w:webHidden/>
              </w:rPr>
              <w:fldChar w:fldCharType="separate"/>
            </w:r>
            <w:r>
              <w:rPr>
                <w:noProof/>
                <w:webHidden/>
              </w:rPr>
              <w:t>14</w:t>
            </w:r>
            <w:r>
              <w:rPr>
                <w:noProof/>
                <w:webHidden/>
              </w:rPr>
              <w:fldChar w:fldCharType="end"/>
            </w:r>
          </w:hyperlink>
        </w:p>
        <w:p w14:paraId="61B038A9" w14:textId="3C663266" w:rsidR="00EE3396" w:rsidRDefault="00EE3396">
          <w:pPr>
            <w:pStyle w:val="TOC2"/>
            <w:tabs>
              <w:tab w:val="right" w:leader="dot" w:pos="9016"/>
            </w:tabs>
            <w:rPr>
              <w:rFonts w:eastAsiaTheme="minorEastAsia"/>
              <w:noProof/>
              <w:sz w:val="24"/>
              <w:szCs w:val="24"/>
              <w:lang w:eastAsia="en-IN"/>
            </w:rPr>
          </w:pPr>
          <w:hyperlink w:anchor="_Toc227767962" w:history="1">
            <w:r w:rsidRPr="007E3DB0">
              <w:rPr>
                <w:rStyle w:val="Hyperlink"/>
                <w:rFonts w:ascii="Arial" w:hAnsi="Arial" w:cs="Arial"/>
                <w:b/>
                <w:bCs/>
                <w:i/>
                <w:iCs/>
                <w:noProof/>
              </w:rPr>
              <w:t>Corporate Social Responsibility (CSR) and ethical issues.</w:t>
            </w:r>
            <w:r>
              <w:rPr>
                <w:noProof/>
                <w:webHidden/>
              </w:rPr>
              <w:tab/>
            </w:r>
            <w:r>
              <w:rPr>
                <w:noProof/>
                <w:webHidden/>
              </w:rPr>
              <w:fldChar w:fldCharType="begin"/>
            </w:r>
            <w:r>
              <w:rPr>
                <w:noProof/>
                <w:webHidden/>
              </w:rPr>
              <w:instrText xml:space="preserve"> PAGEREF _Toc227767962 \h </w:instrText>
            </w:r>
            <w:r>
              <w:rPr>
                <w:noProof/>
                <w:webHidden/>
              </w:rPr>
            </w:r>
            <w:r>
              <w:rPr>
                <w:noProof/>
                <w:webHidden/>
              </w:rPr>
              <w:fldChar w:fldCharType="separate"/>
            </w:r>
            <w:r>
              <w:rPr>
                <w:noProof/>
                <w:webHidden/>
              </w:rPr>
              <w:t>15</w:t>
            </w:r>
            <w:r>
              <w:rPr>
                <w:noProof/>
                <w:webHidden/>
              </w:rPr>
              <w:fldChar w:fldCharType="end"/>
            </w:r>
          </w:hyperlink>
        </w:p>
        <w:p w14:paraId="407AA0E2" w14:textId="4CF881A4" w:rsidR="00EE3396" w:rsidRDefault="00EE3396">
          <w:pPr>
            <w:pStyle w:val="TOC1"/>
            <w:tabs>
              <w:tab w:val="right" w:leader="dot" w:pos="9016"/>
            </w:tabs>
            <w:rPr>
              <w:rFonts w:eastAsiaTheme="minorEastAsia"/>
              <w:noProof/>
              <w:sz w:val="24"/>
              <w:szCs w:val="24"/>
              <w:lang w:eastAsia="en-IN"/>
            </w:rPr>
          </w:pPr>
          <w:hyperlink w:anchor="_Toc227767963" w:history="1">
            <w:r w:rsidRPr="007E3DB0">
              <w:rPr>
                <w:rStyle w:val="Hyperlink"/>
                <w:rFonts w:ascii="Arial" w:hAnsi="Arial" w:cs="Arial"/>
                <w:b/>
                <w:bCs/>
                <w:noProof/>
              </w:rPr>
              <w:t>INVESTMENT APPRAISAL AND CAPITAL BUDGETING</w:t>
            </w:r>
            <w:r>
              <w:rPr>
                <w:noProof/>
                <w:webHidden/>
              </w:rPr>
              <w:tab/>
            </w:r>
            <w:r>
              <w:rPr>
                <w:noProof/>
                <w:webHidden/>
              </w:rPr>
              <w:fldChar w:fldCharType="begin"/>
            </w:r>
            <w:r>
              <w:rPr>
                <w:noProof/>
                <w:webHidden/>
              </w:rPr>
              <w:instrText xml:space="preserve"> PAGEREF _Toc227767963 \h </w:instrText>
            </w:r>
            <w:r>
              <w:rPr>
                <w:noProof/>
                <w:webHidden/>
              </w:rPr>
            </w:r>
            <w:r>
              <w:rPr>
                <w:noProof/>
                <w:webHidden/>
              </w:rPr>
              <w:fldChar w:fldCharType="separate"/>
            </w:r>
            <w:r>
              <w:rPr>
                <w:noProof/>
                <w:webHidden/>
              </w:rPr>
              <w:t>15</w:t>
            </w:r>
            <w:r>
              <w:rPr>
                <w:noProof/>
                <w:webHidden/>
              </w:rPr>
              <w:fldChar w:fldCharType="end"/>
            </w:r>
          </w:hyperlink>
        </w:p>
        <w:p w14:paraId="3B7AD0C0" w14:textId="2E45D9A0" w:rsidR="00EE3396" w:rsidRDefault="00EE3396">
          <w:pPr>
            <w:pStyle w:val="TOC2"/>
            <w:tabs>
              <w:tab w:val="right" w:leader="dot" w:pos="9016"/>
            </w:tabs>
            <w:rPr>
              <w:rFonts w:eastAsiaTheme="minorEastAsia"/>
              <w:noProof/>
              <w:sz w:val="24"/>
              <w:szCs w:val="24"/>
              <w:lang w:eastAsia="en-IN"/>
            </w:rPr>
          </w:pPr>
          <w:hyperlink w:anchor="_Toc227767964" w:history="1">
            <w:r w:rsidRPr="007E3DB0">
              <w:rPr>
                <w:rStyle w:val="Hyperlink"/>
                <w:rFonts w:ascii="Arial" w:hAnsi="Arial" w:cs="Arial"/>
                <w:b/>
                <w:bCs/>
                <w:i/>
                <w:iCs/>
                <w:noProof/>
              </w:rPr>
              <w:t>Net Present Value (NPV) Analysis</w:t>
            </w:r>
            <w:r>
              <w:rPr>
                <w:noProof/>
                <w:webHidden/>
              </w:rPr>
              <w:tab/>
            </w:r>
            <w:r>
              <w:rPr>
                <w:noProof/>
                <w:webHidden/>
              </w:rPr>
              <w:fldChar w:fldCharType="begin"/>
            </w:r>
            <w:r>
              <w:rPr>
                <w:noProof/>
                <w:webHidden/>
              </w:rPr>
              <w:instrText xml:space="preserve"> PAGEREF _Toc227767964 \h </w:instrText>
            </w:r>
            <w:r>
              <w:rPr>
                <w:noProof/>
                <w:webHidden/>
              </w:rPr>
            </w:r>
            <w:r>
              <w:rPr>
                <w:noProof/>
                <w:webHidden/>
              </w:rPr>
              <w:fldChar w:fldCharType="separate"/>
            </w:r>
            <w:r>
              <w:rPr>
                <w:noProof/>
                <w:webHidden/>
              </w:rPr>
              <w:t>16</w:t>
            </w:r>
            <w:r>
              <w:rPr>
                <w:noProof/>
                <w:webHidden/>
              </w:rPr>
              <w:fldChar w:fldCharType="end"/>
            </w:r>
          </w:hyperlink>
        </w:p>
        <w:p w14:paraId="71A716A3" w14:textId="3BD9DE70" w:rsidR="00EE3396" w:rsidRDefault="00EE3396">
          <w:pPr>
            <w:pStyle w:val="TOC2"/>
            <w:tabs>
              <w:tab w:val="right" w:leader="dot" w:pos="9016"/>
            </w:tabs>
            <w:rPr>
              <w:rFonts w:eastAsiaTheme="minorEastAsia"/>
              <w:noProof/>
              <w:sz w:val="24"/>
              <w:szCs w:val="24"/>
              <w:lang w:eastAsia="en-IN"/>
            </w:rPr>
          </w:pPr>
          <w:hyperlink w:anchor="_Toc227767965" w:history="1">
            <w:r w:rsidRPr="007E3DB0">
              <w:rPr>
                <w:rStyle w:val="Hyperlink"/>
                <w:rFonts w:ascii="Arial" w:hAnsi="Arial" w:cs="Arial"/>
                <w:b/>
                <w:bCs/>
                <w:i/>
                <w:iCs/>
                <w:noProof/>
              </w:rPr>
              <w:t>Payback Period Analysis</w:t>
            </w:r>
            <w:r>
              <w:rPr>
                <w:noProof/>
                <w:webHidden/>
              </w:rPr>
              <w:tab/>
            </w:r>
            <w:r>
              <w:rPr>
                <w:noProof/>
                <w:webHidden/>
              </w:rPr>
              <w:fldChar w:fldCharType="begin"/>
            </w:r>
            <w:r>
              <w:rPr>
                <w:noProof/>
                <w:webHidden/>
              </w:rPr>
              <w:instrText xml:space="preserve"> PAGEREF _Toc227767965 \h </w:instrText>
            </w:r>
            <w:r>
              <w:rPr>
                <w:noProof/>
                <w:webHidden/>
              </w:rPr>
            </w:r>
            <w:r>
              <w:rPr>
                <w:noProof/>
                <w:webHidden/>
              </w:rPr>
              <w:fldChar w:fldCharType="separate"/>
            </w:r>
            <w:r>
              <w:rPr>
                <w:noProof/>
                <w:webHidden/>
              </w:rPr>
              <w:t>16</w:t>
            </w:r>
            <w:r>
              <w:rPr>
                <w:noProof/>
                <w:webHidden/>
              </w:rPr>
              <w:fldChar w:fldCharType="end"/>
            </w:r>
          </w:hyperlink>
        </w:p>
        <w:p w14:paraId="321C5098" w14:textId="5305FECD" w:rsidR="00EE3396" w:rsidRDefault="00EE3396">
          <w:pPr>
            <w:pStyle w:val="TOC2"/>
            <w:tabs>
              <w:tab w:val="right" w:leader="dot" w:pos="9016"/>
            </w:tabs>
            <w:rPr>
              <w:rFonts w:eastAsiaTheme="minorEastAsia"/>
              <w:noProof/>
              <w:sz w:val="24"/>
              <w:szCs w:val="24"/>
              <w:lang w:eastAsia="en-IN"/>
            </w:rPr>
          </w:pPr>
          <w:hyperlink w:anchor="_Toc227767966" w:history="1">
            <w:r w:rsidRPr="007E3DB0">
              <w:rPr>
                <w:rStyle w:val="Hyperlink"/>
                <w:rFonts w:ascii="Arial" w:hAnsi="Arial" w:cs="Arial"/>
                <w:b/>
                <w:bCs/>
                <w:i/>
                <w:iCs/>
                <w:noProof/>
              </w:rPr>
              <w:t>Accounting Rate of Return (ARR) Analysis</w:t>
            </w:r>
            <w:r>
              <w:rPr>
                <w:noProof/>
                <w:webHidden/>
              </w:rPr>
              <w:tab/>
            </w:r>
            <w:r>
              <w:rPr>
                <w:noProof/>
                <w:webHidden/>
              </w:rPr>
              <w:fldChar w:fldCharType="begin"/>
            </w:r>
            <w:r>
              <w:rPr>
                <w:noProof/>
                <w:webHidden/>
              </w:rPr>
              <w:instrText xml:space="preserve"> PAGEREF _Toc227767966 \h </w:instrText>
            </w:r>
            <w:r>
              <w:rPr>
                <w:noProof/>
                <w:webHidden/>
              </w:rPr>
            </w:r>
            <w:r>
              <w:rPr>
                <w:noProof/>
                <w:webHidden/>
              </w:rPr>
              <w:fldChar w:fldCharType="separate"/>
            </w:r>
            <w:r>
              <w:rPr>
                <w:noProof/>
                <w:webHidden/>
              </w:rPr>
              <w:t>17</w:t>
            </w:r>
            <w:r>
              <w:rPr>
                <w:noProof/>
                <w:webHidden/>
              </w:rPr>
              <w:fldChar w:fldCharType="end"/>
            </w:r>
          </w:hyperlink>
        </w:p>
        <w:p w14:paraId="034CA7EC" w14:textId="11EFAE6D" w:rsidR="00EE3396" w:rsidRDefault="00EE3396">
          <w:pPr>
            <w:pStyle w:val="TOC2"/>
            <w:tabs>
              <w:tab w:val="right" w:leader="dot" w:pos="9016"/>
            </w:tabs>
            <w:rPr>
              <w:rFonts w:eastAsiaTheme="minorEastAsia"/>
              <w:noProof/>
              <w:sz w:val="24"/>
              <w:szCs w:val="24"/>
              <w:lang w:eastAsia="en-IN"/>
            </w:rPr>
          </w:pPr>
          <w:hyperlink w:anchor="_Toc227767967" w:history="1">
            <w:r w:rsidRPr="007E3DB0">
              <w:rPr>
                <w:rStyle w:val="Hyperlink"/>
                <w:rFonts w:ascii="Arial" w:hAnsi="Arial" w:cs="Arial"/>
                <w:b/>
                <w:bCs/>
                <w:i/>
                <w:iCs/>
                <w:noProof/>
              </w:rPr>
              <w:t>Internal Rate of Return (IRR) Analysis</w:t>
            </w:r>
            <w:r>
              <w:rPr>
                <w:noProof/>
                <w:webHidden/>
              </w:rPr>
              <w:tab/>
            </w:r>
            <w:r>
              <w:rPr>
                <w:noProof/>
                <w:webHidden/>
              </w:rPr>
              <w:fldChar w:fldCharType="begin"/>
            </w:r>
            <w:r>
              <w:rPr>
                <w:noProof/>
                <w:webHidden/>
              </w:rPr>
              <w:instrText xml:space="preserve"> PAGEREF _Toc227767967 \h </w:instrText>
            </w:r>
            <w:r>
              <w:rPr>
                <w:noProof/>
                <w:webHidden/>
              </w:rPr>
            </w:r>
            <w:r>
              <w:rPr>
                <w:noProof/>
                <w:webHidden/>
              </w:rPr>
              <w:fldChar w:fldCharType="separate"/>
            </w:r>
            <w:r>
              <w:rPr>
                <w:noProof/>
                <w:webHidden/>
              </w:rPr>
              <w:t>17</w:t>
            </w:r>
            <w:r>
              <w:rPr>
                <w:noProof/>
                <w:webHidden/>
              </w:rPr>
              <w:fldChar w:fldCharType="end"/>
            </w:r>
          </w:hyperlink>
        </w:p>
        <w:p w14:paraId="2ED2ADE6" w14:textId="1D66DB49" w:rsidR="00EE3396" w:rsidRDefault="00EE3396">
          <w:pPr>
            <w:pStyle w:val="TOC2"/>
            <w:tabs>
              <w:tab w:val="right" w:leader="dot" w:pos="9016"/>
            </w:tabs>
            <w:rPr>
              <w:rFonts w:eastAsiaTheme="minorEastAsia"/>
              <w:noProof/>
              <w:sz w:val="24"/>
              <w:szCs w:val="24"/>
              <w:lang w:eastAsia="en-IN"/>
            </w:rPr>
          </w:pPr>
          <w:hyperlink w:anchor="_Toc227767968" w:history="1">
            <w:r w:rsidRPr="007E3DB0">
              <w:rPr>
                <w:rStyle w:val="Hyperlink"/>
                <w:rFonts w:ascii="Arial" w:hAnsi="Arial" w:cs="Arial"/>
                <w:b/>
                <w:bCs/>
                <w:i/>
                <w:iCs/>
                <w:noProof/>
              </w:rPr>
              <w:t>Comparative Evaluation of Investment Techniques</w:t>
            </w:r>
            <w:r>
              <w:rPr>
                <w:noProof/>
                <w:webHidden/>
              </w:rPr>
              <w:tab/>
            </w:r>
            <w:r>
              <w:rPr>
                <w:noProof/>
                <w:webHidden/>
              </w:rPr>
              <w:fldChar w:fldCharType="begin"/>
            </w:r>
            <w:r>
              <w:rPr>
                <w:noProof/>
                <w:webHidden/>
              </w:rPr>
              <w:instrText xml:space="preserve"> PAGEREF _Toc227767968 \h </w:instrText>
            </w:r>
            <w:r>
              <w:rPr>
                <w:noProof/>
                <w:webHidden/>
              </w:rPr>
            </w:r>
            <w:r>
              <w:rPr>
                <w:noProof/>
                <w:webHidden/>
              </w:rPr>
              <w:fldChar w:fldCharType="separate"/>
            </w:r>
            <w:r>
              <w:rPr>
                <w:noProof/>
                <w:webHidden/>
              </w:rPr>
              <w:t>18</w:t>
            </w:r>
            <w:r>
              <w:rPr>
                <w:noProof/>
                <w:webHidden/>
              </w:rPr>
              <w:fldChar w:fldCharType="end"/>
            </w:r>
          </w:hyperlink>
        </w:p>
        <w:p w14:paraId="63662DFE" w14:textId="6194197A" w:rsidR="00EE3396" w:rsidRDefault="00EE3396">
          <w:pPr>
            <w:pStyle w:val="TOC2"/>
            <w:tabs>
              <w:tab w:val="right" w:leader="dot" w:pos="9016"/>
            </w:tabs>
            <w:rPr>
              <w:rFonts w:eastAsiaTheme="minorEastAsia"/>
              <w:noProof/>
              <w:sz w:val="24"/>
              <w:szCs w:val="24"/>
              <w:lang w:eastAsia="en-IN"/>
            </w:rPr>
          </w:pPr>
          <w:hyperlink w:anchor="_Toc227767969" w:history="1">
            <w:r w:rsidRPr="007E3DB0">
              <w:rPr>
                <w:rStyle w:val="Hyperlink"/>
                <w:rFonts w:ascii="Arial" w:hAnsi="Arial" w:cs="Arial"/>
                <w:b/>
                <w:bCs/>
                <w:i/>
                <w:iCs/>
                <w:noProof/>
              </w:rPr>
              <w:t>Capital Rationing</w:t>
            </w:r>
            <w:r>
              <w:rPr>
                <w:noProof/>
                <w:webHidden/>
              </w:rPr>
              <w:tab/>
            </w:r>
            <w:r>
              <w:rPr>
                <w:noProof/>
                <w:webHidden/>
              </w:rPr>
              <w:fldChar w:fldCharType="begin"/>
            </w:r>
            <w:r>
              <w:rPr>
                <w:noProof/>
                <w:webHidden/>
              </w:rPr>
              <w:instrText xml:space="preserve"> PAGEREF _Toc227767969 \h </w:instrText>
            </w:r>
            <w:r>
              <w:rPr>
                <w:noProof/>
                <w:webHidden/>
              </w:rPr>
            </w:r>
            <w:r>
              <w:rPr>
                <w:noProof/>
                <w:webHidden/>
              </w:rPr>
              <w:fldChar w:fldCharType="separate"/>
            </w:r>
            <w:r>
              <w:rPr>
                <w:noProof/>
                <w:webHidden/>
              </w:rPr>
              <w:t>18</w:t>
            </w:r>
            <w:r>
              <w:rPr>
                <w:noProof/>
                <w:webHidden/>
              </w:rPr>
              <w:fldChar w:fldCharType="end"/>
            </w:r>
          </w:hyperlink>
        </w:p>
        <w:p w14:paraId="61FF4728" w14:textId="31419983" w:rsidR="00EE3396" w:rsidRDefault="00EE3396">
          <w:pPr>
            <w:pStyle w:val="TOC1"/>
            <w:tabs>
              <w:tab w:val="right" w:leader="dot" w:pos="9016"/>
            </w:tabs>
            <w:rPr>
              <w:rFonts w:eastAsiaTheme="minorEastAsia"/>
              <w:noProof/>
              <w:sz w:val="24"/>
              <w:szCs w:val="24"/>
              <w:lang w:eastAsia="en-IN"/>
            </w:rPr>
          </w:pPr>
          <w:hyperlink w:anchor="_Toc227767970" w:history="1">
            <w:r w:rsidRPr="007E3DB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_Toc227767970 \h </w:instrText>
            </w:r>
            <w:r>
              <w:rPr>
                <w:noProof/>
                <w:webHidden/>
              </w:rPr>
            </w:r>
            <w:r>
              <w:rPr>
                <w:noProof/>
                <w:webHidden/>
              </w:rPr>
              <w:fldChar w:fldCharType="separate"/>
            </w:r>
            <w:r>
              <w:rPr>
                <w:noProof/>
                <w:webHidden/>
              </w:rPr>
              <w:t>20</w:t>
            </w:r>
            <w:r>
              <w:rPr>
                <w:noProof/>
                <w:webHidden/>
              </w:rPr>
              <w:fldChar w:fldCharType="end"/>
            </w:r>
          </w:hyperlink>
        </w:p>
        <w:p w14:paraId="1959BA3A" w14:textId="09AD9D1E" w:rsidR="00EE3396" w:rsidRDefault="00EE3396">
          <w:pPr>
            <w:pStyle w:val="TOC1"/>
            <w:tabs>
              <w:tab w:val="right" w:leader="dot" w:pos="9016"/>
            </w:tabs>
            <w:rPr>
              <w:rFonts w:eastAsiaTheme="minorEastAsia"/>
              <w:noProof/>
              <w:sz w:val="24"/>
              <w:szCs w:val="24"/>
              <w:lang w:eastAsia="en-IN"/>
            </w:rPr>
          </w:pPr>
          <w:hyperlink w:anchor="_Toc227767971" w:history="1">
            <w:r w:rsidRPr="007E3DB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_Toc227767971 \h </w:instrText>
            </w:r>
            <w:r>
              <w:rPr>
                <w:noProof/>
                <w:webHidden/>
              </w:rPr>
            </w:r>
            <w:r>
              <w:rPr>
                <w:noProof/>
                <w:webHidden/>
              </w:rPr>
              <w:fldChar w:fldCharType="separate"/>
            </w:r>
            <w:r>
              <w:rPr>
                <w:noProof/>
                <w:webHidden/>
              </w:rPr>
              <w:t>21</w:t>
            </w:r>
            <w:r>
              <w:rPr>
                <w:noProof/>
                <w:webHidden/>
              </w:rPr>
              <w:fldChar w:fldCharType="end"/>
            </w:r>
          </w:hyperlink>
        </w:p>
        <w:p w14:paraId="2249FDBE" w14:textId="6A35BE8F" w:rsidR="00EE3396" w:rsidRDefault="00EE3396">
          <w:pPr>
            <w:pStyle w:val="TOC1"/>
            <w:tabs>
              <w:tab w:val="right" w:leader="dot" w:pos="9016"/>
            </w:tabs>
            <w:rPr>
              <w:rFonts w:eastAsiaTheme="minorEastAsia"/>
              <w:noProof/>
              <w:sz w:val="24"/>
              <w:szCs w:val="24"/>
              <w:lang w:eastAsia="en-IN"/>
            </w:rPr>
          </w:pPr>
          <w:hyperlink w:anchor="_Toc227767972" w:history="1">
            <w:r w:rsidRPr="007E3DB0">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_Toc227767972 \h </w:instrText>
            </w:r>
            <w:r>
              <w:rPr>
                <w:noProof/>
                <w:webHidden/>
              </w:rPr>
            </w:r>
            <w:r>
              <w:rPr>
                <w:noProof/>
                <w:webHidden/>
              </w:rPr>
              <w:fldChar w:fldCharType="separate"/>
            </w:r>
            <w:r>
              <w:rPr>
                <w:noProof/>
                <w:webHidden/>
              </w:rPr>
              <w:t>25</w:t>
            </w:r>
            <w:r>
              <w:rPr>
                <w:noProof/>
                <w:webHidden/>
              </w:rPr>
              <w:fldChar w:fldCharType="end"/>
            </w:r>
          </w:hyperlink>
        </w:p>
        <w:p w14:paraId="0B981E1F" w14:textId="6227FE77" w:rsidR="00EE3396" w:rsidRDefault="00EE3396">
          <w:pPr>
            <w:pStyle w:val="TOC2"/>
            <w:tabs>
              <w:tab w:val="right" w:leader="dot" w:pos="9016"/>
            </w:tabs>
            <w:rPr>
              <w:rFonts w:eastAsiaTheme="minorEastAsia"/>
              <w:noProof/>
              <w:sz w:val="24"/>
              <w:szCs w:val="24"/>
              <w:lang w:eastAsia="en-IN"/>
            </w:rPr>
          </w:pPr>
          <w:hyperlink w:anchor="_Toc227767973" w:history="1">
            <w:r w:rsidRPr="007E3DB0">
              <w:rPr>
                <w:rStyle w:val="Hyperlink"/>
                <w:rFonts w:ascii="Arial" w:hAnsi="Arial" w:cs="Arial"/>
                <w:b/>
                <w:bCs/>
                <w:i/>
                <w:iCs/>
                <w:noProof/>
              </w:rPr>
              <w:t>Ratios Calculations</w:t>
            </w:r>
            <w:r>
              <w:rPr>
                <w:noProof/>
                <w:webHidden/>
              </w:rPr>
              <w:tab/>
            </w:r>
            <w:r>
              <w:rPr>
                <w:noProof/>
                <w:webHidden/>
              </w:rPr>
              <w:fldChar w:fldCharType="begin"/>
            </w:r>
            <w:r>
              <w:rPr>
                <w:noProof/>
                <w:webHidden/>
              </w:rPr>
              <w:instrText xml:space="preserve"> PAGEREF _Toc227767973 \h </w:instrText>
            </w:r>
            <w:r>
              <w:rPr>
                <w:noProof/>
                <w:webHidden/>
              </w:rPr>
            </w:r>
            <w:r>
              <w:rPr>
                <w:noProof/>
                <w:webHidden/>
              </w:rPr>
              <w:fldChar w:fldCharType="separate"/>
            </w:r>
            <w:r>
              <w:rPr>
                <w:noProof/>
                <w:webHidden/>
              </w:rPr>
              <w:t>25</w:t>
            </w:r>
            <w:r>
              <w:rPr>
                <w:noProof/>
                <w:webHidden/>
              </w:rPr>
              <w:fldChar w:fldCharType="end"/>
            </w:r>
          </w:hyperlink>
        </w:p>
        <w:p w14:paraId="65C8324C" w14:textId="1F492C20" w:rsidR="00EE3396" w:rsidRDefault="00EE3396">
          <w:pPr>
            <w:pStyle w:val="TOC2"/>
            <w:tabs>
              <w:tab w:val="right" w:leader="dot" w:pos="9016"/>
            </w:tabs>
            <w:rPr>
              <w:rFonts w:eastAsiaTheme="minorEastAsia"/>
              <w:noProof/>
              <w:sz w:val="24"/>
              <w:szCs w:val="24"/>
              <w:lang w:eastAsia="en-IN"/>
            </w:rPr>
          </w:pPr>
          <w:hyperlink w:anchor="_Toc227767974" w:history="1">
            <w:r w:rsidRPr="007E3DB0">
              <w:rPr>
                <w:rStyle w:val="Hyperlink"/>
                <w:rFonts w:ascii="Arial" w:hAnsi="Arial" w:cs="Arial"/>
                <w:b/>
                <w:bCs/>
                <w:i/>
                <w:iCs/>
                <w:noProof/>
              </w:rPr>
              <w:t>Working Capital Calculation</w:t>
            </w:r>
            <w:r>
              <w:rPr>
                <w:noProof/>
                <w:webHidden/>
              </w:rPr>
              <w:tab/>
            </w:r>
            <w:r>
              <w:rPr>
                <w:noProof/>
                <w:webHidden/>
              </w:rPr>
              <w:fldChar w:fldCharType="begin"/>
            </w:r>
            <w:r>
              <w:rPr>
                <w:noProof/>
                <w:webHidden/>
              </w:rPr>
              <w:instrText xml:space="preserve"> PAGEREF _Toc227767974 \h </w:instrText>
            </w:r>
            <w:r>
              <w:rPr>
                <w:noProof/>
                <w:webHidden/>
              </w:rPr>
            </w:r>
            <w:r>
              <w:rPr>
                <w:noProof/>
                <w:webHidden/>
              </w:rPr>
              <w:fldChar w:fldCharType="separate"/>
            </w:r>
            <w:r>
              <w:rPr>
                <w:noProof/>
                <w:webHidden/>
              </w:rPr>
              <w:t>26</w:t>
            </w:r>
            <w:r>
              <w:rPr>
                <w:noProof/>
                <w:webHidden/>
              </w:rPr>
              <w:fldChar w:fldCharType="end"/>
            </w:r>
          </w:hyperlink>
        </w:p>
        <w:p w14:paraId="4C3E7FCD" w14:textId="740FDC49" w:rsidR="00EE3396" w:rsidRDefault="00EE3396">
          <w:pPr>
            <w:pStyle w:val="TOC2"/>
            <w:tabs>
              <w:tab w:val="right" w:leader="dot" w:pos="9016"/>
            </w:tabs>
            <w:rPr>
              <w:rFonts w:eastAsiaTheme="minorEastAsia"/>
              <w:noProof/>
              <w:sz w:val="24"/>
              <w:szCs w:val="24"/>
              <w:lang w:eastAsia="en-IN"/>
            </w:rPr>
          </w:pPr>
          <w:hyperlink w:anchor="_Toc227767975" w:history="1">
            <w:r w:rsidRPr="007E3DB0">
              <w:rPr>
                <w:rStyle w:val="Hyperlink"/>
                <w:rFonts w:ascii="Arial" w:hAnsi="Arial" w:cs="Arial"/>
                <w:b/>
                <w:bCs/>
                <w:i/>
                <w:iCs/>
                <w:noProof/>
              </w:rPr>
              <w:t>Investment appraisal</w:t>
            </w:r>
            <w:r>
              <w:rPr>
                <w:noProof/>
                <w:webHidden/>
              </w:rPr>
              <w:tab/>
            </w:r>
            <w:r>
              <w:rPr>
                <w:noProof/>
                <w:webHidden/>
              </w:rPr>
              <w:fldChar w:fldCharType="begin"/>
            </w:r>
            <w:r>
              <w:rPr>
                <w:noProof/>
                <w:webHidden/>
              </w:rPr>
              <w:instrText xml:space="preserve"> PAGEREF _Toc227767975 \h </w:instrText>
            </w:r>
            <w:r>
              <w:rPr>
                <w:noProof/>
                <w:webHidden/>
              </w:rPr>
            </w:r>
            <w:r>
              <w:rPr>
                <w:noProof/>
                <w:webHidden/>
              </w:rPr>
              <w:fldChar w:fldCharType="separate"/>
            </w:r>
            <w:r>
              <w:rPr>
                <w:noProof/>
                <w:webHidden/>
              </w:rPr>
              <w:t>27</w:t>
            </w:r>
            <w:r>
              <w:rPr>
                <w:noProof/>
                <w:webHidden/>
              </w:rPr>
              <w:fldChar w:fldCharType="end"/>
            </w:r>
          </w:hyperlink>
        </w:p>
        <w:p w14:paraId="0F96F271" w14:textId="14B9AE6C" w:rsidR="008D7103" w:rsidRPr="00555AB8" w:rsidRDefault="008D7103">
          <w:pPr>
            <w:rPr>
              <w:rFonts w:ascii="Arial" w:hAnsi="Arial" w:cs="Arial"/>
            </w:rPr>
          </w:pPr>
          <w:r w:rsidRPr="00555AB8">
            <w:rPr>
              <w:rFonts w:ascii="Arial" w:hAnsi="Arial" w:cs="Arial"/>
              <w:b/>
              <w:bCs/>
              <w:noProof/>
            </w:rPr>
            <w:fldChar w:fldCharType="end"/>
          </w:r>
        </w:p>
      </w:sdtContent>
    </w:sdt>
    <w:p w14:paraId="633F9385" w14:textId="77777777" w:rsidR="005B3077" w:rsidRPr="00555AB8" w:rsidRDefault="005B3077">
      <w:pPr>
        <w:rPr>
          <w:rFonts w:ascii="Arial" w:hAnsi="Arial" w:cs="Arial"/>
          <w:sz w:val="24"/>
          <w:szCs w:val="24"/>
        </w:rPr>
      </w:pPr>
      <w:r w:rsidRPr="00555AB8">
        <w:rPr>
          <w:rFonts w:ascii="Arial" w:hAnsi="Arial" w:cs="Arial"/>
          <w:sz w:val="24"/>
          <w:szCs w:val="24"/>
        </w:rPr>
        <w:br w:type="page"/>
      </w:r>
    </w:p>
    <w:p w14:paraId="4CE82F07" w14:textId="77777777" w:rsidR="005B3077" w:rsidRPr="00555AB8" w:rsidRDefault="005B3077" w:rsidP="005B3077">
      <w:pPr>
        <w:pStyle w:val="Heading1"/>
        <w:spacing w:line="360" w:lineRule="auto"/>
        <w:jc w:val="both"/>
        <w:rPr>
          <w:rFonts w:ascii="Arial" w:hAnsi="Arial" w:cs="Arial"/>
          <w:b/>
          <w:bCs/>
          <w:sz w:val="28"/>
          <w:szCs w:val="28"/>
        </w:rPr>
      </w:pPr>
      <w:bookmarkStart w:id="1" w:name="_Toc227767946"/>
      <w:r w:rsidRPr="00555AB8">
        <w:rPr>
          <w:rFonts w:ascii="Arial" w:hAnsi="Arial" w:cs="Arial"/>
          <w:b/>
          <w:bCs/>
          <w:sz w:val="28"/>
          <w:szCs w:val="28"/>
        </w:rPr>
        <w:t>LIST OF FIGURES</w:t>
      </w:r>
      <w:bookmarkEnd w:id="1"/>
    </w:p>
    <w:p w14:paraId="71957E9D" w14:textId="4E8F0F0D" w:rsidR="00EE3396" w:rsidRDefault="00384A81">
      <w:pPr>
        <w:pStyle w:val="TableofFigures"/>
        <w:tabs>
          <w:tab w:val="right" w:leader="dot" w:pos="9016"/>
        </w:tabs>
        <w:rPr>
          <w:rFonts w:eastAsiaTheme="minorEastAsia"/>
          <w:noProof/>
          <w:sz w:val="24"/>
          <w:szCs w:val="24"/>
          <w:lang w:eastAsia="en-IN"/>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w:anchor="_Toc227767930" w:history="1">
        <w:r w:rsidR="00EE3396" w:rsidRPr="00F55470">
          <w:rPr>
            <w:rStyle w:val="Hyperlink"/>
            <w:rFonts w:ascii="Arial" w:hAnsi="Arial" w:cs="Arial"/>
            <w:noProof/>
          </w:rPr>
          <w:t>Figure 1: Ratios</w:t>
        </w:r>
        <w:r w:rsidR="00EE3396">
          <w:rPr>
            <w:noProof/>
            <w:webHidden/>
          </w:rPr>
          <w:tab/>
        </w:r>
        <w:r w:rsidR="00EE3396">
          <w:rPr>
            <w:noProof/>
            <w:webHidden/>
          </w:rPr>
          <w:fldChar w:fldCharType="begin"/>
        </w:r>
        <w:r w:rsidR="00EE3396">
          <w:rPr>
            <w:noProof/>
            <w:webHidden/>
          </w:rPr>
          <w:instrText xml:space="preserve"> PAGEREF _Toc227767930 \h </w:instrText>
        </w:r>
        <w:r w:rsidR="00EE3396">
          <w:rPr>
            <w:noProof/>
            <w:webHidden/>
          </w:rPr>
        </w:r>
        <w:r w:rsidR="00EE3396">
          <w:rPr>
            <w:noProof/>
            <w:webHidden/>
          </w:rPr>
          <w:fldChar w:fldCharType="separate"/>
        </w:r>
        <w:r w:rsidR="00EE3396">
          <w:rPr>
            <w:noProof/>
            <w:webHidden/>
          </w:rPr>
          <w:t>24</w:t>
        </w:r>
        <w:r w:rsidR="00EE3396">
          <w:rPr>
            <w:noProof/>
            <w:webHidden/>
          </w:rPr>
          <w:fldChar w:fldCharType="end"/>
        </w:r>
      </w:hyperlink>
    </w:p>
    <w:p w14:paraId="0F274898" w14:textId="1D393F9E" w:rsidR="00EE3396" w:rsidRDefault="00EE3396">
      <w:pPr>
        <w:pStyle w:val="TableofFigures"/>
        <w:tabs>
          <w:tab w:val="right" w:leader="dot" w:pos="9016"/>
        </w:tabs>
        <w:rPr>
          <w:rFonts w:eastAsiaTheme="minorEastAsia"/>
          <w:noProof/>
          <w:sz w:val="24"/>
          <w:szCs w:val="24"/>
          <w:lang w:eastAsia="en-IN"/>
        </w:rPr>
      </w:pPr>
      <w:hyperlink w:anchor="_Toc227767931" w:history="1">
        <w:r w:rsidRPr="00F55470">
          <w:rPr>
            <w:rStyle w:val="Hyperlink"/>
            <w:rFonts w:ascii="Arial" w:hAnsi="Arial" w:cs="Arial"/>
            <w:noProof/>
          </w:rPr>
          <w:t>Figure 2: Graphical Presentation of Ratios</w:t>
        </w:r>
        <w:r>
          <w:rPr>
            <w:noProof/>
            <w:webHidden/>
          </w:rPr>
          <w:tab/>
        </w:r>
        <w:r>
          <w:rPr>
            <w:noProof/>
            <w:webHidden/>
          </w:rPr>
          <w:fldChar w:fldCharType="begin"/>
        </w:r>
        <w:r>
          <w:rPr>
            <w:noProof/>
            <w:webHidden/>
          </w:rPr>
          <w:instrText xml:space="preserve"> PAGEREF _Toc227767931 \h </w:instrText>
        </w:r>
        <w:r>
          <w:rPr>
            <w:noProof/>
            <w:webHidden/>
          </w:rPr>
        </w:r>
        <w:r>
          <w:rPr>
            <w:noProof/>
            <w:webHidden/>
          </w:rPr>
          <w:fldChar w:fldCharType="separate"/>
        </w:r>
        <w:r>
          <w:rPr>
            <w:noProof/>
            <w:webHidden/>
          </w:rPr>
          <w:t>24</w:t>
        </w:r>
        <w:r>
          <w:rPr>
            <w:noProof/>
            <w:webHidden/>
          </w:rPr>
          <w:fldChar w:fldCharType="end"/>
        </w:r>
      </w:hyperlink>
    </w:p>
    <w:p w14:paraId="7118B6EC" w14:textId="18A125EE" w:rsidR="00EE3396" w:rsidRDefault="00EE3396">
      <w:pPr>
        <w:pStyle w:val="TableofFigures"/>
        <w:tabs>
          <w:tab w:val="right" w:leader="dot" w:pos="9016"/>
        </w:tabs>
        <w:rPr>
          <w:rFonts w:eastAsiaTheme="minorEastAsia"/>
          <w:noProof/>
          <w:sz w:val="24"/>
          <w:szCs w:val="24"/>
          <w:lang w:eastAsia="en-IN"/>
        </w:rPr>
      </w:pPr>
      <w:hyperlink w:anchor="_Toc227767932" w:history="1">
        <w:r w:rsidRPr="00F55470">
          <w:rPr>
            <w:rStyle w:val="Hyperlink"/>
            <w:rFonts w:ascii="Arial" w:hAnsi="Arial" w:cs="Arial"/>
            <w:noProof/>
          </w:rPr>
          <w:t>Figure 3: Working capital</w:t>
        </w:r>
        <w:r>
          <w:rPr>
            <w:noProof/>
            <w:webHidden/>
          </w:rPr>
          <w:tab/>
        </w:r>
        <w:r>
          <w:rPr>
            <w:noProof/>
            <w:webHidden/>
          </w:rPr>
          <w:fldChar w:fldCharType="begin"/>
        </w:r>
        <w:r>
          <w:rPr>
            <w:noProof/>
            <w:webHidden/>
          </w:rPr>
          <w:instrText xml:space="preserve"> PAGEREF _Toc227767932 \h </w:instrText>
        </w:r>
        <w:r>
          <w:rPr>
            <w:noProof/>
            <w:webHidden/>
          </w:rPr>
        </w:r>
        <w:r>
          <w:rPr>
            <w:noProof/>
            <w:webHidden/>
          </w:rPr>
          <w:fldChar w:fldCharType="separate"/>
        </w:r>
        <w:r>
          <w:rPr>
            <w:noProof/>
            <w:webHidden/>
          </w:rPr>
          <w:t>25</w:t>
        </w:r>
        <w:r>
          <w:rPr>
            <w:noProof/>
            <w:webHidden/>
          </w:rPr>
          <w:fldChar w:fldCharType="end"/>
        </w:r>
      </w:hyperlink>
    </w:p>
    <w:p w14:paraId="5C2E756B" w14:textId="1769D0B1" w:rsidR="00EE3396" w:rsidRDefault="00EE3396">
      <w:pPr>
        <w:pStyle w:val="TableofFigures"/>
        <w:tabs>
          <w:tab w:val="right" w:leader="dot" w:pos="9016"/>
        </w:tabs>
        <w:rPr>
          <w:rFonts w:eastAsiaTheme="minorEastAsia"/>
          <w:noProof/>
          <w:sz w:val="24"/>
          <w:szCs w:val="24"/>
          <w:lang w:eastAsia="en-IN"/>
        </w:rPr>
      </w:pPr>
      <w:hyperlink w:anchor="_Toc227767933" w:history="1">
        <w:r w:rsidRPr="00F55470">
          <w:rPr>
            <w:rStyle w:val="Hyperlink"/>
            <w:rFonts w:ascii="Arial" w:hAnsi="Arial" w:cs="Arial"/>
            <w:noProof/>
          </w:rPr>
          <w:t>Figure 4: Investment Appraisal</w:t>
        </w:r>
        <w:r>
          <w:rPr>
            <w:noProof/>
            <w:webHidden/>
          </w:rPr>
          <w:tab/>
        </w:r>
        <w:r>
          <w:rPr>
            <w:noProof/>
            <w:webHidden/>
          </w:rPr>
          <w:fldChar w:fldCharType="begin"/>
        </w:r>
        <w:r>
          <w:rPr>
            <w:noProof/>
            <w:webHidden/>
          </w:rPr>
          <w:instrText xml:space="preserve"> PAGEREF _Toc227767933 \h </w:instrText>
        </w:r>
        <w:r>
          <w:rPr>
            <w:noProof/>
            <w:webHidden/>
          </w:rPr>
        </w:r>
        <w:r>
          <w:rPr>
            <w:noProof/>
            <w:webHidden/>
          </w:rPr>
          <w:fldChar w:fldCharType="separate"/>
        </w:r>
        <w:r>
          <w:rPr>
            <w:noProof/>
            <w:webHidden/>
          </w:rPr>
          <w:t>26</w:t>
        </w:r>
        <w:r>
          <w:rPr>
            <w:noProof/>
            <w:webHidden/>
          </w:rPr>
          <w:fldChar w:fldCharType="end"/>
        </w:r>
      </w:hyperlink>
    </w:p>
    <w:p w14:paraId="47C967FA" w14:textId="7D5B631B" w:rsidR="00E41D31" w:rsidRDefault="00384A81">
      <w:pPr>
        <w:rPr>
          <w:rFonts w:ascii="Arial" w:hAnsi="Arial" w:cs="Arial"/>
          <w:sz w:val="24"/>
          <w:szCs w:val="24"/>
        </w:rPr>
      </w:pPr>
      <w:r>
        <w:rPr>
          <w:rFonts w:ascii="Arial" w:hAnsi="Arial" w:cs="Arial"/>
          <w:sz w:val="24"/>
          <w:szCs w:val="24"/>
        </w:rPr>
        <w:fldChar w:fldCharType="end"/>
      </w:r>
    </w:p>
    <w:p w14:paraId="73D381F4" w14:textId="77777777" w:rsidR="00E41D31" w:rsidRPr="00E41D31" w:rsidRDefault="00E41D31" w:rsidP="00E41D31">
      <w:pPr>
        <w:pStyle w:val="Heading1"/>
        <w:spacing w:line="360" w:lineRule="auto"/>
        <w:jc w:val="both"/>
        <w:rPr>
          <w:rFonts w:ascii="Arial" w:hAnsi="Arial" w:cs="Arial"/>
          <w:b/>
          <w:bCs/>
          <w:sz w:val="28"/>
          <w:szCs w:val="28"/>
        </w:rPr>
      </w:pPr>
      <w:bookmarkStart w:id="2" w:name="_Toc227767947"/>
      <w:r w:rsidRPr="00E41D31">
        <w:rPr>
          <w:rFonts w:ascii="Arial" w:hAnsi="Arial" w:cs="Arial"/>
          <w:b/>
          <w:bCs/>
          <w:sz w:val="28"/>
          <w:szCs w:val="28"/>
        </w:rPr>
        <w:t>LIST OF TABLES</w:t>
      </w:r>
      <w:bookmarkEnd w:id="2"/>
    </w:p>
    <w:p w14:paraId="18A18419" w14:textId="3E010604" w:rsidR="00EE3396" w:rsidRDefault="00E41D31">
      <w:pPr>
        <w:pStyle w:val="TableofFigures"/>
        <w:tabs>
          <w:tab w:val="right" w:leader="dot" w:pos="9016"/>
        </w:tabs>
        <w:rPr>
          <w:rFonts w:eastAsiaTheme="minorEastAsia"/>
          <w:noProof/>
          <w:sz w:val="24"/>
          <w:szCs w:val="24"/>
          <w:lang w:eastAsia="en-IN"/>
        </w:rPr>
      </w:pPr>
      <w:r>
        <w:rPr>
          <w:rFonts w:ascii="Arial" w:hAnsi="Arial" w:cs="Arial"/>
          <w:sz w:val="24"/>
          <w:szCs w:val="24"/>
        </w:rPr>
        <w:fldChar w:fldCharType="begin"/>
      </w:r>
      <w:r>
        <w:rPr>
          <w:rFonts w:ascii="Arial" w:hAnsi="Arial" w:cs="Arial"/>
          <w:sz w:val="24"/>
          <w:szCs w:val="24"/>
        </w:rPr>
        <w:instrText xml:space="preserve"> TOC \h \z \c "Table" </w:instrText>
      </w:r>
      <w:r>
        <w:rPr>
          <w:rFonts w:ascii="Arial" w:hAnsi="Arial" w:cs="Arial"/>
          <w:sz w:val="24"/>
          <w:szCs w:val="24"/>
        </w:rPr>
        <w:fldChar w:fldCharType="separate"/>
      </w:r>
      <w:hyperlink w:anchor="_Toc227767937" w:history="1">
        <w:r w:rsidR="00EE3396" w:rsidRPr="00030EE6">
          <w:rPr>
            <w:rStyle w:val="Hyperlink"/>
            <w:noProof/>
          </w:rPr>
          <w:t>Table 1: CCC Days</w:t>
        </w:r>
        <w:r w:rsidR="00EE3396">
          <w:rPr>
            <w:noProof/>
            <w:webHidden/>
          </w:rPr>
          <w:tab/>
        </w:r>
        <w:r w:rsidR="00EE3396">
          <w:rPr>
            <w:noProof/>
            <w:webHidden/>
          </w:rPr>
          <w:fldChar w:fldCharType="begin"/>
        </w:r>
        <w:r w:rsidR="00EE3396">
          <w:rPr>
            <w:noProof/>
            <w:webHidden/>
          </w:rPr>
          <w:instrText xml:space="preserve"> PAGEREF _Toc227767937 \h </w:instrText>
        </w:r>
        <w:r w:rsidR="00EE3396">
          <w:rPr>
            <w:noProof/>
            <w:webHidden/>
          </w:rPr>
        </w:r>
        <w:r w:rsidR="00EE3396">
          <w:rPr>
            <w:noProof/>
            <w:webHidden/>
          </w:rPr>
          <w:fldChar w:fldCharType="separate"/>
        </w:r>
        <w:r w:rsidR="00EE3396">
          <w:rPr>
            <w:noProof/>
            <w:webHidden/>
          </w:rPr>
          <w:t>9</w:t>
        </w:r>
        <w:r w:rsidR="00EE3396">
          <w:rPr>
            <w:noProof/>
            <w:webHidden/>
          </w:rPr>
          <w:fldChar w:fldCharType="end"/>
        </w:r>
      </w:hyperlink>
    </w:p>
    <w:p w14:paraId="41E6D91A" w14:textId="0755843C" w:rsidR="00384A81" w:rsidRDefault="00E41D31">
      <w:pPr>
        <w:rPr>
          <w:rFonts w:ascii="Arial" w:hAnsi="Arial" w:cs="Arial"/>
          <w:sz w:val="24"/>
          <w:szCs w:val="24"/>
        </w:rPr>
      </w:pPr>
      <w:r>
        <w:rPr>
          <w:rFonts w:ascii="Arial" w:hAnsi="Arial" w:cs="Arial"/>
          <w:sz w:val="24"/>
          <w:szCs w:val="24"/>
        </w:rPr>
        <w:fldChar w:fldCharType="end"/>
      </w:r>
    </w:p>
    <w:p w14:paraId="2210D13D" w14:textId="4CD27BDE" w:rsidR="00E41D31" w:rsidRPr="00555AB8" w:rsidRDefault="00794E1D">
      <w:pPr>
        <w:rPr>
          <w:rFonts w:ascii="Arial" w:hAnsi="Arial" w:cs="Arial"/>
          <w:sz w:val="24"/>
          <w:szCs w:val="24"/>
        </w:rPr>
      </w:pPr>
      <w:r w:rsidRPr="00555AB8">
        <w:rPr>
          <w:rFonts w:ascii="Arial" w:hAnsi="Arial" w:cs="Arial"/>
          <w:sz w:val="24"/>
          <w:szCs w:val="24"/>
        </w:rPr>
        <w:br w:type="page"/>
      </w:r>
    </w:p>
    <w:p w14:paraId="711C8BC9" w14:textId="12DB0BB0" w:rsidR="00C774DE" w:rsidRPr="00555AB8" w:rsidRDefault="00416202" w:rsidP="00794E1D">
      <w:pPr>
        <w:pStyle w:val="Heading1"/>
        <w:spacing w:line="360" w:lineRule="auto"/>
        <w:jc w:val="both"/>
        <w:rPr>
          <w:rFonts w:ascii="Arial" w:hAnsi="Arial" w:cs="Arial"/>
          <w:b/>
          <w:bCs/>
          <w:sz w:val="28"/>
          <w:szCs w:val="28"/>
        </w:rPr>
      </w:pPr>
      <w:bookmarkStart w:id="3" w:name="_Toc227767948"/>
      <w:r w:rsidRPr="00555AB8">
        <w:rPr>
          <w:rFonts w:ascii="Arial" w:hAnsi="Arial" w:cs="Arial"/>
          <w:b/>
          <w:bCs/>
          <w:sz w:val="28"/>
          <w:szCs w:val="28"/>
        </w:rPr>
        <w:t>INTRODUCTION</w:t>
      </w:r>
      <w:bookmarkEnd w:id="3"/>
    </w:p>
    <w:p w14:paraId="1A48BA22" w14:textId="15877DFF" w:rsidR="00416202" w:rsidRDefault="001E60CF" w:rsidP="00416202">
      <w:pPr>
        <w:spacing w:line="360" w:lineRule="auto"/>
        <w:jc w:val="both"/>
        <w:rPr>
          <w:rFonts w:ascii="Arial" w:hAnsi="Arial" w:cs="Arial"/>
          <w:sz w:val="24"/>
          <w:szCs w:val="24"/>
        </w:rPr>
      </w:pPr>
      <w:r w:rsidRPr="00555AB8">
        <w:rPr>
          <w:rFonts w:ascii="Arial" w:hAnsi="Arial" w:cs="Arial"/>
          <w:sz w:val="24"/>
          <w:szCs w:val="24"/>
        </w:rPr>
        <w:tab/>
        <w:t xml:space="preserve">The worldwide electric vehicle (EV) sector is experiencing an </w:t>
      </w:r>
      <w:r w:rsidR="00AD25E3">
        <w:rPr>
          <w:rFonts w:ascii="Arial" w:hAnsi="Arial" w:cs="Arial"/>
          <w:sz w:val="24"/>
          <w:szCs w:val="24"/>
        </w:rPr>
        <w:t>accelerated</w:t>
      </w:r>
      <w:r w:rsidRPr="00555AB8">
        <w:rPr>
          <w:rFonts w:ascii="Arial" w:hAnsi="Arial" w:cs="Arial"/>
          <w:sz w:val="24"/>
          <w:szCs w:val="24"/>
        </w:rPr>
        <w:t xml:space="preserve"> paradigm shift induced by technological creativity, regulatory forces, and a shift towards sustainable mobility. It is within this dynamic environment that BYD Company Limited has become a key strategic player, featuring rapid growth, </w:t>
      </w:r>
      <w:r w:rsidR="00AD25E3">
        <w:rPr>
          <w:rFonts w:ascii="Arial" w:hAnsi="Arial" w:cs="Arial"/>
          <w:sz w:val="24"/>
          <w:szCs w:val="24"/>
        </w:rPr>
        <w:t>vertical integration,</w:t>
      </w:r>
      <w:r w:rsidRPr="00555AB8">
        <w:rPr>
          <w:rFonts w:ascii="Arial" w:hAnsi="Arial" w:cs="Arial"/>
          <w:sz w:val="24"/>
          <w:szCs w:val="24"/>
        </w:rPr>
        <w:t xml:space="preserve"> and excellent positioning in battery and EV production. Being a new Chief Financial Officer (CFO), this report also conducts </w:t>
      </w:r>
      <w:r w:rsidR="00AD25E3">
        <w:rPr>
          <w:rFonts w:ascii="Arial" w:hAnsi="Arial" w:cs="Arial"/>
          <w:sz w:val="24"/>
          <w:szCs w:val="24"/>
        </w:rPr>
        <w:t xml:space="preserve">a </w:t>
      </w:r>
      <w:r w:rsidRPr="00555AB8">
        <w:rPr>
          <w:rFonts w:ascii="Arial" w:hAnsi="Arial" w:cs="Arial"/>
          <w:sz w:val="24"/>
          <w:szCs w:val="24"/>
        </w:rPr>
        <w:t xml:space="preserve">thorough analysis of </w:t>
      </w:r>
      <w:r w:rsidR="00AD25E3">
        <w:rPr>
          <w:rFonts w:ascii="Arial" w:hAnsi="Arial" w:cs="Arial"/>
          <w:sz w:val="24"/>
          <w:szCs w:val="24"/>
        </w:rPr>
        <w:t>BYD's</w:t>
      </w:r>
      <w:r w:rsidRPr="00555AB8">
        <w:rPr>
          <w:rFonts w:ascii="Arial" w:hAnsi="Arial" w:cs="Arial"/>
          <w:sz w:val="24"/>
          <w:szCs w:val="24"/>
        </w:rPr>
        <w:t xml:space="preserve"> financial performance during </w:t>
      </w:r>
      <w:r w:rsidR="00AD25E3">
        <w:rPr>
          <w:rFonts w:ascii="Arial" w:hAnsi="Arial" w:cs="Arial"/>
          <w:sz w:val="24"/>
          <w:szCs w:val="24"/>
        </w:rPr>
        <w:t>the five years</w:t>
      </w:r>
      <w:r w:rsidRPr="00555AB8">
        <w:rPr>
          <w:rFonts w:ascii="Arial" w:hAnsi="Arial" w:cs="Arial"/>
          <w:sz w:val="24"/>
          <w:szCs w:val="24"/>
        </w:rPr>
        <w:t xml:space="preserve"> (2020-2024) with an aim of determining the financial strength, structural weakness, and risks emerging. </w:t>
      </w:r>
    </w:p>
    <w:p w14:paraId="47114BDA" w14:textId="02621667" w:rsidR="00AD25E3" w:rsidRPr="00555AB8" w:rsidRDefault="00AD25E3" w:rsidP="00416202">
      <w:pPr>
        <w:spacing w:line="360" w:lineRule="auto"/>
        <w:jc w:val="both"/>
        <w:rPr>
          <w:rFonts w:ascii="Arial" w:hAnsi="Arial" w:cs="Arial"/>
          <w:sz w:val="24"/>
          <w:szCs w:val="24"/>
        </w:rPr>
      </w:pPr>
      <w:r>
        <w:rPr>
          <w:rFonts w:ascii="Arial" w:hAnsi="Arial" w:cs="Arial"/>
          <w:sz w:val="24"/>
          <w:szCs w:val="24"/>
        </w:rPr>
        <w:tab/>
      </w:r>
      <w:r w:rsidRPr="00AD25E3">
        <w:rPr>
          <w:rFonts w:ascii="Arial" w:hAnsi="Arial" w:cs="Arial"/>
          <w:sz w:val="24"/>
          <w:szCs w:val="24"/>
        </w:rPr>
        <w:t xml:space="preserve">The analysis will be divided into four sections. To begin with, </w:t>
      </w:r>
      <w:r>
        <w:rPr>
          <w:rFonts w:ascii="Arial" w:hAnsi="Arial" w:cs="Arial"/>
          <w:sz w:val="24"/>
          <w:szCs w:val="24"/>
        </w:rPr>
        <w:t xml:space="preserve">a </w:t>
      </w:r>
      <w:r w:rsidRPr="00AD25E3">
        <w:rPr>
          <w:rFonts w:ascii="Arial" w:hAnsi="Arial" w:cs="Arial"/>
          <w:sz w:val="24"/>
          <w:szCs w:val="24"/>
        </w:rPr>
        <w:t xml:space="preserve">financial health check </w:t>
      </w:r>
      <w:proofErr w:type="spellStart"/>
      <w:r w:rsidRPr="00AD25E3">
        <w:rPr>
          <w:rFonts w:ascii="Arial" w:hAnsi="Arial" w:cs="Arial"/>
          <w:sz w:val="24"/>
          <w:szCs w:val="24"/>
        </w:rPr>
        <w:t>analyzes</w:t>
      </w:r>
      <w:proofErr w:type="spellEnd"/>
      <w:r w:rsidRPr="00AD25E3">
        <w:rPr>
          <w:rFonts w:ascii="Arial" w:hAnsi="Arial" w:cs="Arial"/>
          <w:sz w:val="24"/>
          <w:szCs w:val="24"/>
        </w:rPr>
        <w:t xml:space="preserve"> </w:t>
      </w:r>
      <w:r>
        <w:rPr>
          <w:rFonts w:ascii="Arial" w:hAnsi="Arial" w:cs="Arial"/>
          <w:sz w:val="24"/>
          <w:szCs w:val="24"/>
        </w:rPr>
        <w:t xml:space="preserve">the </w:t>
      </w:r>
      <w:r w:rsidRPr="00AD25E3">
        <w:rPr>
          <w:rFonts w:ascii="Arial" w:hAnsi="Arial" w:cs="Arial"/>
          <w:sz w:val="24"/>
          <w:szCs w:val="24"/>
        </w:rPr>
        <w:t xml:space="preserve">performance of </w:t>
      </w:r>
      <w:r>
        <w:rPr>
          <w:rFonts w:ascii="Arial" w:hAnsi="Arial" w:cs="Arial"/>
          <w:sz w:val="24"/>
          <w:szCs w:val="24"/>
        </w:rPr>
        <w:t xml:space="preserve">the past </w:t>
      </w:r>
      <w:r w:rsidRPr="00AD25E3">
        <w:rPr>
          <w:rFonts w:ascii="Arial" w:hAnsi="Arial" w:cs="Arial"/>
          <w:sz w:val="24"/>
          <w:szCs w:val="24"/>
        </w:rPr>
        <w:t xml:space="preserve">five years using </w:t>
      </w:r>
      <w:r>
        <w:rPr>
          <w:rFonts w:ascii="Arial" w:hAnsi="Arial" w:cs="Arial"/>
          <w:sz w:val="24"/>
          <w:szCs w:val="24"/>
        </w:rPr>
        <w:t>ratios</w:t>
      </w:r>
      <w:r w:rsidRPr="00AD25E3">
        <w:rPr>
          <w:rFonts w:ascii="Arial" w:hAnsi="Arial" w:cs="Arial"/>
          <w:sz w:val="24"/>
          <w:szCs w:val="24"/>
        </w:rPr>
        <w:t xml:space="preserve"> as well as trend analysis. Second, the working capital management is evaluated to find out the </w:t>
      </w:r>
      <w:r>
        <w:rPr>
          <w:rFonts w:ascii="Arial" w:hAnsi="Arial" w:cs="Arial"/>
          <w:sz w:val="24"/>
          <w:szCs w:val="24"/>
        </w:rPr>
        <w:t>liquidity constraints</w:t>
      </w:r>
      <w:r w:rsidRPr="00AD25E3">
        <w:rPr>
          <w:rFonts w:ascii="Arial" w:hAnsi="Arial" w:cs="Arial"/>
          <w:sz w:val="24"/>
          <w:szCs w:val="24"/>
        </w:rPr>
        <w:t>. Third, it proposes a restructuring plan on the financial front that aims at enhancing financial stability. Lastly, capital allocation decisions are assessed using the investment appraisal methods</w:t>
      </w:r>
      <w:r>
        <w:rPr>
          <w:rFonts w:ascii="Arial" w:hAnsi="Arial" w:cs="Arial"/>
          <w:sz w:val="24"/>
          <w:szCs w:val="24"/>
        </w:rPr>
        <w:t>,</w:t>
      </w:r>
      <w:r w:rsidRPr="00AD25E3">
        <w:rPr>
          <w:rFonts w:ascii="Arial" w:hAnsi="Arial" w:cs="Arial"/>
          <w:sz w:val="24"/>
          <w:szCs w:val="24"/>
        </w:rPr>
        <w:t xml:space="preserve"> which involve taking capital allocation decisions under limitations. </w:t>
      </w:r>
    </w:p>
    <w:p w14:paraId="73CA62BC" w14:textId="54A6718B" w:rsidR="009C4E99" w:rsidRPr="00555AB8" w:rsidRDefault="009C4E99" w:rsidP="00794E1D">
      <w:pPr>
        <w:pStyle w:val="Heading1"/>
        <w:spacing w:line="360" w:lineRule="auto"/>
        <w:jc w:val="both"/>
        <w:rPr>
          <w:rFonts w:ascii="Arial" w:hAnsi="Arial" w:cs="Arial"/>
          <w:b/>
          <w:bCs/>
          <w:sz w:val="28"/>
          <w:szCs w:val="28"/>
        </w:rPr>
      </w:pPr>
      <w:bookmarkStart w:id="4" w:name="_Toc227767949"/>
      <w:r w:rsidRPr="00555AB8">
        <w:rPr>
          <w:rFonts w:ascii="Arial" w:hAnsi="Arial" w:cs="Arial"/>
          <w:b/>
          <w:bCs/>
          <w:sz w:val="28"/>
          <w:szCs w:val="28"/>
        </w:rPr>
        <w:t>FINANCIAL HEALTH CHECK</w:t>
      </w:r>
      <w:r w:rsidR="00EE63F1" w:rsidRPr="00555AB8">
        <w:rPr>
          <w:rFonts w:ascii="Arial" w:hAnsi="Arial" w:cs="Arial"/>
          <w:b/>
          <w:bCs/>
          <w:sz w:val="28"/>
          <w:szCs w:val="28"/>
        </w:rPr>
        <w:t xml:space="preserve"> OF BYD COMPANY (2020-2024)</w:t>
      </w:r>
      <w:bookmarkEnd w:id="4"/>
    </w:p>
    <w:p w14:paraId="65A477DB" w14:textId="19CEB02A" w:rsidR="00794E1D" w:rsidRPr="00555AB8" w:rsidRDefault="00794E1D" w:rsidP="00794E1D">
      <w:pPr>
        <w:spacing w:line="360" w:lineRule="auto"/>
        <w:jc w:val="both"/>
        <w:rPr>
          <w:rFonts w:ascii="Arial" w:hAnsi="Arial" w:cs="Arial"/>
          <w:sz w:val="24"/>
          <w:szCs w:val="24"/>
        </w:rPr>
      </w:pPr>
      <w:r w:rsidRPr="00555AB8">
        <w:rPr>
          <w:rFonts w:ascii="Arial" w:hAnsi="Arial" w:cs="Arial"/>
          <w:sz w:val="24"/>
          <w:szCs w:val="24"/>
        </w:rPr>
        <w:tab/>
        <w:t xml:space="preserve">BYD Company Limited is a top Chinese multinational company that has its headquarters in Shenzhen and deals with the overlap of automobile manufacturers, renewable energy, and novel battery technology. The company was founded in 1995, and at </w:t>
      </w:r>
      <w:proofErr w:type="gramStart"/>
      <w:r w:rsidRPr="00555AB8">
        <w:rPr>
          <w:rFonts w:ascii="Arial" w:hAnsi="Arial" w:cs="Arial"/>
          <w:sz w:val="24"/>
          <w:szCs w:val="24"/>
        </w:rPr>
        <w:t>first</w:t>
      </w:r>
      <w:proofErr w:type="gramEnd"/>
      <w:r w:rsidRPr="00555AB8">
        <w:rPr>
          <w:rFonts w:ascii="Arial" w:hAnsi="Arial" w:cs="Arial"/>
          <w:sz w:val="24"/>
          <w:szCs w:val="24"/>
        </w:rPr>
        <w:t xml:space="preserve"> it focused on rechargeable batteries</w:t>
      </w:r>
      <w:r w:rsidR="00AD25E3">
        <w:rPr>
          <w:rFonts w:ascii="Arial" w:hAnsi="Arial" w:cs="Arial"/>
          <w:sz w:val="24"/>
          <w:szCs w:val="24"/>
        </w:rPr>
        <w:t>. It</w:t>
      </w:r>
      <w:r w:rsidRPr="00555AB8">
        <w:rPr>
          <w:rFonts w:ascii="Arial" w:hAnsi="Arial" w:cs="Arial"/>
          <w:sz w:val="24"/>
          <w:szCs w:val="24"/>
        </w:rPr>
        <w:t xml:space="preserve"> strategically diversified to the automotive arena, where it has become a global leader in new energy vehicles (NEVs), such as battery electric vehicles (BEVs) and plug-in hybrid electric vehicles (PHEVs).</w:t>
      </w:r>
    </w:p>
    <w:p w14:paraId="44CE1FB7" w14:textId="67EB80D1" w:rsidR="00F549FE" w:rsidRPr="00555AB8" w:rsidRDefault="00F549FE" w:rsidP="00AD25E3">
      <w:pPr>
        <w:spacing w:line="360" w:lineRule="auto"/>
        <w:jc w:val="both"/>
        <w:rPr>
          <w:rFonts w:ascii="Arial" w:hAnsi="Arial" w:cs="Arial"/>
          <w:sz w:val="24"/>
          <w:szCs w:val="24"/>
        </w:rPr>
      </w:pPr>
      <w:r>
        <w:rPr>
          <w:rFonts w:ascii="Arial" w:hAnsi="Arial" w:cs="Arial"/>
          <w:sz w:val="24"/>
          <w:szCs w:val="24"/>
        </w:rPr>
        <w:tab/>
      </w:r>
      <w:r w:rsidRPr="00F549FE">
        <w:rPr>
          <w:rFonts w:ascii="Arial" w:hAnsi="Arial" w:cs="Arial"/>
          <w:sz w:val="24"/>
          <w:szCs w:val="24"/>
        </w:rPr>
        <w:t xml:space="preserve">By 2024, BYD was the largest NEV maker in the world </w:t>
      </w:r>
      <w:r w:rsidR="00E716F1">
        <w:rPr>
          <w:rFonts w:ascii="Arial" w:hAnsi="Arial" w:cs="Arial"/>
          <w:sz w:val="24"/>
          <w:szCs w:val="24"/>
        </w:rPr>
        <w:t>in terms of</w:t>
      </w:r>
      <w:r w:rsidRPr="00F549FE">
        <w:rPr>
          <w:rFonts w:ascii="Arial" w:hAnsi="Arial" w:cs="Arial"/>
          <w:sz w:val="24"/>
          <w:szCs w:val="24"/>
        </w:rPr>
        <w:t xml:space="preserve"> volume and significantly ahead of Tesla in BEV deliveries in Q4 2023, indicating a major industry change in leadership. The high demand in China</w:t>
      </w:r>
      <w:r w:rsidR="00E716F1">
        <w:rPr>
          <w:rFonts w:ascii="Arial" w:hAnsi="Arial" w:cs="Arial"/>
          <w:sz w:val="24"/>
          <w:szCs w:val="24"/>
        </w:rPr>
        <w:t>,</w:t>
      </w:r>
      <w:r w:rsidRPr="00F549FE">
        <w:rPr>
          <w:rFonts w:ascii="Arial" w:hAnsi="Arial" w:cs="Arial"/>
          <w:sz w:val="24"/>
          <w:szCs w:val="24"/>
        </w:rPr>
        <w:t xml:space="preserve"> with a high rate of international expansion to Europe, Latin America</w:t>
      </w:r>
      <w:r w:rsidR="00E716F1">
        <w:rPr>
          <w:rFonts w:ascii="Arial" w:hAnsi="Arial" w:cs="Arial"/>
          <w:sz w:val="24"/>
          <w:szCs w:val="24"/>
        </w:rPr>
        <w:t>,</w:t>
      </w:r>
      <w:r w:rsidRPr="00F549FE">
        <w:rPr>
          <w:rFonts w:ascii="Arial" w:hAnsi="Arial" w:cs="Arial"/>
          <w:sz w:val="24"/>
          <w:szCs w:val="24"/>
        </w:rPr>
        <w:t xml:space="preserve"> and Southeast Asia</w:t>
      </w:r>
      <w:r w:rsidR="00E716F1">
        <w:rPr>
          <w:rFonts w:ascii="Arial" w:hAnsi="Arial" w:cs="Arial"/>
          <w:sz w:val="24"/>
          <w:szCs w:val="24"/>
        </w:rPr>
        <w:t>,</w:t>
      </w:r>
      <w:r w:rsidRPr="00F549FE">
        <w:rPr>
          <w:rFonts w:ascii="Arial" w:hAnsi="Arial" w:cs="Arial"/>
          <w:sz w:val="24"/>
          <w:szCs w:val="24"/>
        </w:rPr>
        <w:t xml:space="preserve"> has contributed to the continuous growth in revenue. </w:t>
      </w:r>
    </w:p>
    <w:p w14:paraId="03D063A0" w14:textId="183952A2" w:rsidR="009C4E99" w:rsidRPr="00555AB8" w:rsidRDefault="00286EBD" w:rsidP="00794E1D">
      <w:pPr>
        <w:pStyle w:val="Heading2"/>
        <w:rPr>
          <w:rFonts w:ascii="Arial" w:hAnsi="Arial" w:cs="Arial"/>
          <w:b/>
          <w:bCs/>
          <w:i/>
          <w:iCs/>
          <w:sz w:val="24"/>
          <w:szCs w:val="24"/>
          <w:u w:val="single"/>
        </w:rPr>
      </w:pPr>
      <w:bookmarkStart w:id="5" w:name="_Toc227767950"/>
      <w:r w:rsidRPr="00555AB8">
        <w:rPr>
          <w:rFonts w:ascii="Arial" w:hAnsi="Arial" w:cs="Arial"/>
          <w:b/>
          <w:bCs/>
          <w:i/>
          <w:iCs/>
          <w:sz w:val="24"/>
          <w:szCs w:val="24"/>
          <w:u w:val="single"/>
        </w:rPr>
        <w:t>Financial Performance Overview</w:t>
      </w:r>
      <w:bookmarkEnd w:id="5"/>
    </w:p>
    <w:p w14:paraId="6C78C2B0" w14:textId="5D47EEA6" w:rsidR="00D37630" w:rsidRPr="00555AB8" w:rsidRDefault="00D37630" w:rsidP="00D37630">
      <w:pPr>
        <w:spacing w:line="360" w:lineRule="auto"/>
        <w:jc w:val="both"/>
        <w:rPr>
          <w:rFonts w:ascii="Arial" w:hAnsi="Arial" w:cs="Arial"/>
          <w:sz w:val="24"/>
          <w:szCs w:val="24"/>
        </w:rPr>
      </w:pPr>
      <w:r w:rsidRPr="00555AB8">
        <w:rPr>
          <w:rFonts w:ascii="Arial" w:hAnsi="Arial" w:cs="Arial"/>
          <w:sz w:val="24"/>
          <w:szCs w:val="24"/>
        </w:rPr>
        <w:tab/>
        <w:t xml:space="preserve">A cost-benefit analysis of </w:t>
      </w:r>
      <w:r w:rsidR="000B41B0" w:rsidRPr="00555AB8">
        <w:rPr>
          <w:rFonts w:ascii="Arial" w:hAnsi="Arial" w:cs="Arial"/>
          <w:sz w:val="24"/>
          <w:szCs w:val="24"/>
        </w:rPr>
        <w:t>BYD's financial statements for 2020–2024 will show that the company experienced rapid structural change, i.e., faster revenue growth, higher profitability, and a substantial increase in balance sheet size</w:t>
      </w:r>
      <w:r w:rsidRPr="00555AB8">
        <w:rPr>
          <w:rFonts w:ascii="Arial" w:hAnsi="Arial" w:cs="Arial"/>
          <w:sz w:val="24"/>
          <w:szCs w:val="24"/>
        </w:rPr>
        <w:t xml:space="preserve">. </w:t>
      </w:r>
    </w:p>
    <w:p w14:paraId="6FD1DC76" w14:textId="1D913AA5" w:rsidR="00D37630" w:rsidRPr="00555AB8" w:rsidRDefault="00D37630" w:rsidP="00D37630">
      <w:pPr>
        <w:spacing w:line="360" w:lineRule="auto"/>
        <w:jc w:val="both"/>
        <w:rPr>
          <w:rFonts w:ascii="Arial" w:hAnsi="Arial" w:cs="Arial"/>
          <w:sz w:val="24"/>
          <w:szCs w:val="24"/>
        </w:rPr>
      </w:pPr>
      <w:r w:rsidRPr="00555AB8">
        <w:rPr>
          <w:rFonts w:ascii="Arial" w:hAnsi="Arial" w:cs="Arial"/>
          <w:sz w:val="24"/>
          <w:szCs w:val="24"/>
        </w:rPr>
        <w:t>The rebound saw a growth in revenue in 2024 to RMB 777.1 billion compared to 2020, which is nearly five times higher</w:t>
      </w:r>
      <w:r w:rsidR="00C43028" w:rsidRPr="00555AB8">
        <w:rPr>
          <w:rFonts w:ascii="Arial" w:hAnsi="Arial" w:cs="Arial"/>
          <w:sz w:val="24"/>
          <w:szCs w:val="24"/>
        </w:rPr>
        <w:t xml:space="preserve"> (BYD Company Limited, 2024)</w:t>
      </w:r>
      <w:r w:rsidRPr="00555AB8">
        <w:rPr>
          <w:rFonts w:ascii="Arial" w:hAnsi="Arial" w:cs="Arial"/>
          <w:sz w:val="24"/>
          <w:szCs w:val="24"/>
        </w:rPr>
        <w:t xml:space="preserve">. This highly impressive growth </w:t>
      </w:r>
      <w:r w:rsidR="00300FDB" w:rsidRPr="00555AB8">
        <w:rPr>
          <w:rFonts w:ascii="Arial" w:hAnsi="Arial" w:cs="Arial"/>
          <w:sz w:val="24"/>
          <w:szCs w:val="24"/>
        </w:rPr>
        <w:t>reflects both volume expansion and</w:t>
      </w:r>
      <w:r w:rsidRPr="00555AB8">
        <w:rPr>
          <w:rFonts w:ascii="Arial" w:hAnsi="Arial" w:cs="Arial"/>
          <w:sz w:val="24"/>
          <w:szCs w:val="24"/>
        </w:rPr>
        <w:t xml:space="preserve"> positioning in the new energy vehicle (NEV) segment. The inflection point is in the years 2021 to 2022, when revenue is almost doubled</w:t>
      </w:r>
      <w:r w:rsidR="000B41B0" w:rsidRPr="00555AB8">
        <w:rPr>
          <w:rFonts w:ascii="Arial" w:hAnsi="Arial" w:cs="Arial"/>
          <w:sz w:val="24"/>
          <w:szCs w:val="24"/>
        </w:rPr>
        <w:t>,</w:t>
      </w:r>
      <w:r w:rsidRPr="00555AB8">
        <w:rPr>
          <w:rFonts w:ascii="Arial" w:hAnsi="Arial" w:cs="Arial"/>
          <w:sz w:val="24"/>
          <w:szCs w:val="24"/>
        </w:rPr>
        <w:t xml:space="preserve"> and the transition is seen to a more advanced stage of commercialisation, not in </w:t>
      </w:r>
      <w:r w:rsidR="000B41B0" w:rsidRPr="00555AB8">
        <w:rPr>
          <w:rFonts w:ascii="Arial" w:hAnsi="Arial" w:cs="Arial"/>
          <w:sz w:val="24"/>
          <w:szCs w:val="24"/>
        </w:rPr>
        <w:t>early-stage</w:t>
      </w:r>
      <w:r w:rsidRPr="00555AB8">
        <w:rPr>
          <w:rFonts w:ascii="Arial" w:hAnsi="Arial" w:cs="Arial"/>
          <w:sz w:val="24"/>
          <w:szCs w:val="24"/>
        </w:rPr>
        <w:t xml:space="preserve"> scaling.</w:t>
      </w:r>
    </w:p>
    <w:p w14:paraId="610384E4" w14:textId="1619225C" w:rsidR="00D37630" w:rsidRPr="00555AB8" w:rsidRDefault="00D37630" w:rsidP="00D37630">
      <w:pPr>
        <w:spacing w:line="360" w:lineRule="auto"/>
        <w:jc w:val="both"/>
        <w:rPr>
          <w:rFonts w:ascii="Arial" w:hAnsi="Arial" w:cs="Arial"/>
          <w:sz w:val="24"/>
          <w:szCs w:val="24"/>
        </w:rPr>
      </w:pPr>
      <w:r w:rsidRPr="00555AB8">
        <w:rPr>
          <w:rFonts w:ascii="Arial" w:hAnsi="Arial" w:cs="Arial"/>
          <w:sz w:val="24"/>
          <w:szCs w:val="24"/>
        </w:rPr>
        <w:t>The trends in profitability follow a more line-like pattern. Net profit margins declined from 2.7% in 2020 to 1.4% in 2021 before recovering to 5.2% by 2024</w:t>
      </w:r>
      <w:r w:rsidR="00C43028" w:rsidRPr="00555AB8">
        <w:rPr>
          <w:rFonts w:ascii="Arial" w:hAnsi="Arial" w:cs="Arial"/>
          <w:sz w:val="24"/>
          <w:szCs w:val="24"/>
        </w:rPr>
        <w:t xml:space="preserve"> (BYD Company Limited, 2024)</w:t>
      </w:r>
      <w:r w:rsidRPr="00555AB8">
        <w:rPr>
          <w:rFonts w:ascii="Arial" w:hAnsi="Arial" w:cs="Arial"/>
          <w:sz w:val="24"/>
          <w:szCs w:val="24"/>
        </w:rPr>
        <w:t>. Such a trend is indicative of the cost pressures that are common when looking at fast growth</w:t>
      </w:r>
      <w:r w:rsidR="000B41B0" w:rsidRPr="00555AB8">
        <w:rPr>
          <w:rFonts w:ascii="Arial" w:hAnsi="Arial" w:cs="Arial"/>
          <w:sz w:val="24"/>
          <w:szCs w:val="24"/>
        </w:rPr>
        <w:t>,</w:t>
      </w:r>
      <w:r w:rsidRPr="00555AB8">
        <w:rPr>
          <w:rFonts w:ascii="Arial" w:hAnsi="Arial" w:cs="Arial"/>
          <w:sz w:val="24"/>
          <w:szCs w:val="24"/>
        </w:rPr>
        <w:t xml:space="preserve"> such as in research and development spending, supply chain upheaval, and capital spending. </w:t>
      </w:r>
    </w:p>
    <w:p w14:paraId="372F39A2" w14:textId="692A4800" w:rsidR="00286EBD" w:rsidRPr="00555AB8" w:rsidRDefault="00D37630" w:rsidP="00D37630">
      <w:pPr>
        <w:spacing w:line="360" w:lineRule="auto"/>
        <w:jc w:val="both"/>
        <w:rPr>
          <w:rFonts w:ascii="Arial" w:hAnsi="Arial" w:cs="Arial"/>
          <w:sz w:val="24"/>
          <w:szCs w:val="24"/>
        </w:rPr>
      </w:pPr>
      <w:r w:rsidRPr="00555AB8">
        <w:rPr>
          <w:rFonts w:ascii="Arial" w:hAnsi="Arial" w:cs="Arial"/>
          <w:sz w:val="24"/>
          <w:szCs w:val="24"/>
        </w:rPr>
        <w:t>The growth in the balance sheet is also strong, where the total assets increased by RMB 201 billion in 2020 to RMB 7</w:t>
      </w:r>
      <w:r w:rsidR="00C776CB">
        <w:rPr>
          <w:rFonts w:ascii="Arial" w:hAnsi="Arial" w:cs="Arial"/>
          <w:sz w:val="24"/>
          <w:szCs w:val="24"/>
        </w:rPr>
        <w:t>80</w:t>
      </w:r>
      <w:r w:rsidRPr="00555AB8">
        <w:rPr>
          <w:rFonts w:ascii="Arial" w:hAnsi="Arial" w:cs="Arial"/>
          <w:sz w:val="24"/>
          <w:szCs w:val="24"/>
        </w:rPr>
        <w:t xml:space="preserve"> billion in 2024</w:t>
      </w:r>
      <w:r w:rsidR="00C43028" w:rsidRPr="00555AB8">
        <w:rPr>
          <w:rFonts w:ascii="Arial" w:hAnsi="Arial" w:cs="Arial"/>
          <w:sz w:val="24"/>
          <w:szCs w:val="24"/>
        </w:rPr>
        <w:t xml:space="preserve"> (BYD Company Limited, 2024)</w:t>
      </w:r>
      <w:r w:rsidRPr="00555AB8">
        <w:rPr>
          <w:rFonts w:ascii="Arial" w:hAnsi="Arial" w:cs="Arial"/>
          <w:sz w:val="24"/>
          <w:szCs w:val="24"/>
        </w:rPr>
        <w:t xml:space="preserve">. This growth is a sign of massive capital inflow investment </w:t>
      </w:r>
      <w:r w:rsidR="000B41B0" w:rsidRPr="00555AB8">
        <w:rPr>
          <w:rFonts w:ascii="Arial" w:hAnsi="Arial" w:cs="Arial"/>
          <w:sz w:val="24"/>
          <w:szCs w:val="24"/>
        </w:rPr>
        <w:t>in</w:t>
      </w:r>
      <w:r w:rsidRPr="00555AB8">
        <w:rPr>
          <w:rFonts w:ascii="Arial" w:hAnsi="Arial" w:cs="Arial"/>
          <w:sz w:val="24"/>
          <w:szCs w:val="24"/>
        </w:rPr>
        <w:t xml:space="preserve"> manufacturing capacity, battery assembling</w:t>
      </w:r>
      <w:r w:rsidR="000B41B0" w:rsidRPr="00555AB8">
        <w:rPr>
          <w:rFonts w:ascii="Arial" w:hAnsi="Arial" w:cs="Arial"/>
          <w:sz w:val="24"/>
          <w:szCs w:val="24"/>
        </w:rPr>
        <w:t>,</w:t>
      </w:r>
      <w:r w:rsidRPr="00555AB8">
        <w:rPr>
          <w:rFonts w:ascii="Arial" w:hAnsi="Arial" w:cs="Arial"/>
          <w:sz w:val="24"/>
          <w:szCs w:val="24"/>
        </w:rPr>
        <w:t xml:space="preserve"> and distribution network throughout the globe. </w:t>
      </w:r>
    </w:p>
    <w:p w14:paraId="06A8E6F7" w14:textId="77777777" w:rsidR="00EE3396" w:rsidRDefault="008C5660" w:rsidP="00DF07AF">
      <w:pPr>
        <w:spacing w:line="360" w:lineRule="auto"/>
        <w:jc w:val="both"/>
        <w:rPr>
          <w:rFonts w:ascii="Arial" w:hAnsi="Arial" w:cs="Arial"/>
          <w:sz w:val="24"/>
          <w:szCs w:val="24"/>
        </w:rPr>
      </w:pPr>
      <w:r w:rsidRPr="00555AB8">
        <w:rPr>
          <w:rFonts w:ascii="Arial" w:hAnsi="Arial" w:cs="Arial"/>
          <w:sz w:val="24"/>
          <w:szCs w:val="24"/>
        </w:rPr>
        <w:tab/>
        <w:t>The equity gradually increases annually, with 2022 starting around RMB 121 billion</w:t>
      </w:r>
      <w:r w:rsidR="005B6B54" w:rsidRPr="00555AB8">
        <w:rPr>
          <w:rFonts w:ascii="Arial" w:hAnsi="Arial" w:cs="Arial"/>
          <w:sz w:val="24"/>
          <w:szCs w:val="24"/>
        </w:rPr>
        <w:t>,</w:t>
      </w:r>
      <w:r w:rsidRPr="00555AB8">
        <w:rPr>
          <w:rFonts w:ascii="Arial" w:hAnsi="Arial" w:cs="Arial"/>
          <w:sz w:val="24"/>
          <w:szCs w:val="24"/>
        </w:rPr>
        <w:t xml:space="preserve"> which compares to more than RMB 258 billion as of 2025</w:t>
      </w:r>
      <w:r w:rsidR="005B6B54" w:rsidRPr="00555AB8">
        <w:rPr>
          <w:rFonts w:ascii="Arial" w:hAnsi="Arial" w:cs="Arial"/>
          <w:sz w:val="24"/>
          <w:szCs w:val="24"/>
        </w:rPr>
        <w:t>,</w:t>
      </w:r>
      <w:r w:rsidRPr="00555AB8">
        <w:rPr>
          <w:rFonts w:ascii="Arial" w:hAnsi="Arial" w:cs="Arial"/>
          <w:sz w:val="24"/>
          <w:szCs w:val="24"/>
        </w:rPr>
        <w:t xml:space="preserve"> primarily caused by retained earnings</w:t>
      </w:r>
      <w:r w:rsidR="00C43028" w:rsidRPr="00555AB8">
        <w:rPr>
          <w:rFonts w:ascii="Arial" w:hAnsi="Arial" w:cs="Arial"/>
          <w:sz w:val="24"/>
          <w:szCs w:val="24"/>
        </w:rPr>
        <w:t xml:space="preserve"> (BYD Company Limited, 2022)</w:t>
      </w:r>
      <w:r w:rsidRPr="00555AB8">
        <w:rPr>
          <w:rFonts w:ascii="Arial" w:hAnsi="Arial" w:cs="Arial"/>
          <w:sz w:val="24"/>
          <w:szCs w:val="24"/>
        </w:rPr>
        <w:t xml:space="preserve">. </w:t>
      </w:r>
      <w:r w:rsidR="00DF07AF">
        <w:rPr>
          <w:rFonts w:ascii="Arial" w:hAnsi="Arial" w:cs="Arial"/>
          <w:sz w:val="24"/>
          <w:szCs w:val="24"/>
        </w:rPr>
        <w:tab/>
      </w:r>
    </w:p>
    <w:p w14:paraId="7DAF34CC" w14:textId="53087622" w:rsidR="00DF07AF" w:rsidRPr="00DF07AF" w:rsidRDefault="00DF07AF" w:rsidP="00DF07AF">
      <w:pPr>
        <w:spacing w:line="360" w:lineRule="auto"/>
        <w:jc w:val="both"/>
        <w:rPr>
          <w:rFonts w:ascii="Arial" w:hAnsi="Arial" w:cs="Arial"/>
          <w:sz w:val="24"/>
          <w:szCs w:val="24"/>
        </w:rPr>
      </w:pPr>
      <w:r w:rsidRPr="00DF07AF">
        <w:rPr>
          <w:rFonts w:ascii="Arial" w:hAnsi="Arial" w:cs="Arial"/>
          <w:sz w:val="24"/>
          <w:szCs w:val="24"/>
        </w:rPr>
        <w:t>Profitability trend indicates that there is a temporary compression in the margin between 2021 and 2022, and there is a sharp recovery. The drop can be explained by the fact that the costs of battery raw materials, and lithium carbonate especially, have risen considerably, especially at the end of 2022, and research and development spending is high due to the scaling of the BYD Blade Battery technology. After 2023, however, margins started to improve when the business enjoyed economies of scale, improved pricing power</w:t>
      </w:r>
      <w:r>
        <w:rPr>
          <w:rFonts w:ascii="Arial" w:hAnsi="Arial" w:cs="Arial"/>
          <w:sz w:val="24"/>
          <w:szCs w:val="24"/>
        </w:rPr>
        <w:t>,</w:t>
      </w:r>
      <w:r w:rsidRPr="00DF07AF">
        <w:rPr>
          <w:rFonts w:ascii="Arial" w:hAnsi="Arial" w:cs="Arial"/>
          <w:sz w:val="24"/>
          <w:szCs w:val="24"/>
        </w:rPr>
        <w:t xml:space="preserve"> and the costs of inputs stabilised. </w:t>
      </w:r>
    </w:p>
    <w:p w14:paraId="10CA9600" w14:textId="476F72DF" w:rsidR="00C258A4" w:rsidRPr="003F3E3C" w:rsidRDefault="00C258A4" w:rsidP="003F3E3C">
      <w:pPr>
        <w:pStyle w:val="Heading2"/>
        <w:rPr>
          <w:rFonts w:ascii="Arial" w:hAnsi="Arial" w:cs="Arial"/>
          <w:b/>
          <w:bCs/>
          <w:i/>
          <w:iCs/>
          <w:sz w:val="24"/>
          <w:szCs w:val="24"/>
          <w:u w:val="single"/>
        </w:rPr>
      </w:pPr>
      <w:bookmarkStart w:id="6" w:name="_Toc227767951"/>
      <w:r w:rsidRPr="00555AB8">
        <w:rPr>
          <w:rFonts w:ascii="Arial" w:hAnsi="Arial" w:cs="Arial"/>
          <w:b/>
          <w:bCs/>
          <w:i/>
          <w:iCs/>
          <w:sz w:val="24"/>
          <w:szCs w:val="24"/>
          <w:u w:val="single"/>
        </w:rPr>
        <w:t>Ratio Analysis</w:t>
      </w:r>
      <w:bookmarkEnd w:id="6"/>
    </w:p>
    <w:p w14:paraId="555A4BB9" w14:textId="1179843E" w:rsidR="00416202" w:rsidRPr="00555AB8" w:rsidRDefault="0054171C" w:rsidP="00416202">
      <w:pPr>
        <w:spacing w:line="360" w:lineRule="auto"/>
        <w:jc w:val="both"/>
        <w:rPr>
          <w:rFonts w:ascii="Arial" w:hAnsi="Arial" w:cs="Arial"/>
          <w:sz w:val="24"/>
          <w:szCs w:val="24"/>
        </w:rPr>
      </w:pPr>
      <w:r w:rsidRPr="00555AB8">
        <w:rPr>
          <w:rFonts w:ascii="Arial" w:hAnsi="Arial" w:cs="Arial"/>
          <w:sz w:val="24"/>
          <w:szCs w:val="24"/>
        </w:rPr>
        <w:t>Interpretations:</w:t>
      </w:r>
    </w:p>
    <w:p w14:paraId="47EA8FC8" w14:textId="77777777" w:rsidR="00F907D9" w:rsidRPr="00555AB8" w:rsidRDefault="00F907D9" w:rsidP="00F907D9">
      <w:pPr>
        <w:spacing w:line="360" w:lineRule="auto"/>
        <w:jc w:val="both"/>
        <w:rPr>
          <w:rFonts w:ascii="Arial" w:hAnsi="Arial" w:cs="Arial"/>
          <w:b/>
          <w:bCs/>
          <w:i/>
          <w:iCs/>
          <w:sz w:val="24"/>
          <w:szCs w:val="24"/>
        </w:rPr>
      </w:pPr>
      <w:r w:rsidRPr="00555AB8">
        <w:rPr>
          <w:rFonts w:ascii="Arial" w:hAnsi="Arial" w:cs="Arial"/>
          <w:b/>
          <w:bCs/>
          <w:i/>
          <w:iCs/>
          <w:sz w:val="24"/>
          <w:szCs w:val="24"/>
        </w:rPr>
        <w:t>1. Profitability Ratios</w:t>
      </w:r>
    </w:p>
    <w:p w14:paraId="1DD21430" w14:textId="7DDAFE9D" w:rsidR="00A00351" w:rsidRPr="00A00351" w:rsidRDefault="00A00351" w:rsidP="001748FF">
      <w:pPr>
        <w:spacing w:line="360" w:lineRule="auto"/>
        <w:ind w:firstLine="720"/>
        <w:jc w:val="both"/>
        <w:rPr>
          <w:rFonts w:ascii="Arial" w:hAnsi="Arial" w:cs="Arial"/>
          <w:i/>
          <w:iCs/>
          <w:sz w:val="24"/>
          <w:szCs w:val="24"/>
        </w:rPr>
      </w:pPr>
      <w:r w:rsidRPr="00A00351">
        <w:rPr>
          <w:rFonts w:ascii="Arial" w:hAnsi="Arial" w:cs="Arial"/>
          <w:i/>
          <w:iCs/>
          <w:sz w:val="24"/>
          <w:szCs w:val="24"/>
        </w:rPr>
        <w:t>Return on Equity Ratio= Net Profit ÷ Shareholders’ Equity × 100</w:t>
      </w:r>
    </w:p>
    <w:p w14:paraId="2097DBCE" w14:textId="563F4DA4" w:rsidR="0054171C" w:rsidRPr="00555AB8" w:rsidRDefault="00F907D9" w:rsidP="001748FF">
      <w:pPr>
        <w:spacing w:line="360" w:lineRule="auto"/>
        <w:ind w:firstLine="720"/>
        <w:jc w:val="both"/>
        <w:rPr>
          <w:rFonts w:ascii="Arial" w:hAnsi="Arial" w:cs="Arial"/>
          <w:sz w:val="24"/>
          <w:szCs w:val="24"/>
        </w:rPr>
      </w:pPr>
      <w:r w:rsidRPr="00555AB8">
        <w:rPr>
          <w:rFonts w:ascii="Arial" w:hAnsi="Arial" w:cs="Arial"/>
          <w:sz w:val="24"/>
          <w:szCs w:val="24"/>
        </w:rPr>
        <w:t>BYD shows a significant and steady increase in profitability during the years 2020</w:t>
      </w:r>
      <w:r w:rsidR="00A00351">
        <w:rPr>
          <w:rFonts w:ascii="Arial" w:hAnsi="Arial" w:cs="Arial"/>
          <w:sz w:val="24"/>
          <w:szCs w:val="24"/>
        </w:rPr>
        <w:t>-</w:t>
      </w:r>
      <w:r w:rsidRPr="00555AB8">
        <w:rPr>
          <w:rFonts w:ascii="Arial" w:hAnsi="Arial" w:cs="Arial"/>
          <w:sz w:val="24"/>
          <w:szCs w:val="24"/>
        </w:rPr>
        <w:t xml:space="preserve">24, which implies the high-level operation and efficiency in the strategy. This margin of the gross profit is improved by 17.75 percent in 2020-24, albeit there was a </w:t>
      </w:r>
      <w:r w:rsidR="007B548E" w:rsidRPr="00555AB8">
        <w:rPr>
          <w:rFonts w:ascii="Arial" w:hAnsi="Arial" w:cs="Arial"/>
          <w:sz w:val="24"/>
          <w:szCs w:val="24"/>
        </w:rPr>
        <w:t>decline</w:t>
      </w:r>
      <w:r w:rsidRPr="00555AB8">
        <w:rPr>
          <w:rFonts w:ascii="Arial" w:hAnsi="Arial" w:cs="Arial"/>
          <w:sz w:val="24"/>
          <w:szCs w:val="24"/>
        </w:rPr>
        <w:t xml:space="preserve"> during the year 2021 (11.18 percent)</w:t>
      </w:r>
      <w:r w:rsidR="007B548E" w:rsidRPr="00555AB8">
        <w:rPr>
          <w:rFonts w:ascii="Arial" w:hAnsi="Arial" w:cs="Arial"/>
          <w:sz w:val="24"/>
          <w:szCs w:val="24"/>
        </w:rPr>
        <w:t>,</w:t>
      </w:r>
      <w:r w:rsidRPr="00555AB8">
        <w:rPr>
          <w:rFonts w:ascii="Arial" w:hAnsi="Arial" w:cs="Arial"/>
          <w:sz w:val="24"/>
          <w:szCs w:val="24"/>
        </w:rPr>
        <w:t xml:space="preserve"> indicating that the cost pressures were outweighed and cost control mechanisms were better</w:t>
      </w:r>
      <w:r w:rsidR="00962AEE" w:rsidRPr="00555AB8">
        <w:rPr>
          <w:rFonts w:ascii="Arial" w:hAnsi="Arial" w:cs="Arial"/>
          <w:sz w:val="24"/>
          <w:szCs w:val="24"/>
        </w:rPr>
        <w:t xml:space="preserve"> (</w:t>
      </w:r>
      <w:proofErr w:type="spellStart"/>
      <w:r w:rsidR="00962AEE" w:rsidRPr="00555AB8">
        <w:rPr>
          <w:rFonts w:ascii="Arial" w:hAnsi="Arial" w:cs="Arial"/>
          <w:sz w:val="24"/>
          <w:szCs w:val="24"/>
        </w:rPr>
        <w:t>Astuti</w:t>
      </w:r>
      <w:proofErr w:type="spellEnd"/>
      <w:r w:rsidR="00962AEE" w:rsidRPr="00555AB8">
        <w:rPr>
          <w:rFonts w:ascii="Arial" w:hAnsi="Arial" w:cs="Arial"/>
          <w:sz w:val="24"/>
          <w:szCs w:val="24"/>
        </w:rPr>
        <w:t xml:space="preserve"> et al., 2025)</w:t>
      </w:r>
      <w:r w:rsidRPr="00555AB8">
        <w:rPr>
          <w:rFonts w:ascii="Arial" w:hAnsi="Arial" w:cs="Arial"/>
          <w:sz w:val="24"/>
          <w:szCs w:val="24"/>
        </w:rPr>
        <w:t>. In the same case, the net profit margin also increased dramatically</w:t>
      </w:r>
      <w:r w:rsidR="007B548E" w:rsidRPr="00555AB8">
        <w:rPr>
          <w:rFonts w:ascii="Arial" w:hAnsi="Arial" w:cs="Arial"/>
          <w:sz w:val="24"/>
          <w:szCs w:val="24"/>
        </w:rPr>
        <w:t>,</w:t>
      </w:r>
      <w:r w:rsidRPr="00555AB8">
        <w:rPr>
          <w:rFonts w:ascii="Arial" w:hAnsi="Arial" w:cs="Arial"/>
          <w:sz w:val="24"/>
          <w:szCs w:val="24"/>
        </w:rPr>
        <w:t xml:space="preserve"> as in 2020 it was at 2.76% and in 2024 at 5.18%</w:t>
      </w:r>
      <w:r w:rsidR="007B548E" w:rsidRPr="00555AB8">
        <w:rPr>
          <w:rFonts w:ascii="Arial" w:hAnsi="Arial" w:cs="Arial"/>
          <w:sz w:val="24"/>
          <w:szCs w:val="24"/>
        </w:rPr>
        <w:t>,</w:t>
      </w:r>
      <w:r w:rsidRPr="00555AB8">
        <w:rPr>
          <w:rFonts w:ascii="Arial" w:hAnsi="Arial" w:cs="Arial"/>
          <w:sz w:val="24"/>
          <w:szCs w:val="24"/>
        </w:rPr>
        <w:t xml:space="preserve"> demonstrating better overall cost management, such as administrative and financial costs</w:t>
      </w:r>
      <w:r w:rsidR="001748FF" w:rsidRPr="00555AB8">
        <w:rPr>
          <w:rFonts w:ascii="Arial" w:hAnsi="Arial" w:cs="Arial"/>
          <w:sz w:val="24"/>
          <w:szCs w:val="24"/>
        </w:rPr>
        <w:t xml:space="preserve"> (</w:t>
      </w:r>
      <w:proofErr w:type="spellStart"/>
      <w:r w:rsidR="001748FF" w:rsidRPr="00555AB8">
        <w:rPr>
          <w:rFonts w:ascii="Arial" w:hAnsi="Arial" w:cs="Arial"/>
          <w:sz w:val="24"/>
          <w:szCs w:val="24"/>
        </w:rPr>
        <w:t>Tannady</w:t>
      </w:r>
      <w:proofErr w:type="spellEnd"/>
      <w:r w:rsidR="001748FF" w:rsidRPr="00555AB8">
        <w:rPr>
          <w:rFonts w:ascii="Arial" w:hAnsi="Arial" w:cs="Arial"/>
          <w:sz w:val="24"/>
          <w:szCs w:val="24"/>
        </w:rPr>
        <w:t xml:space="preserve"> et al., 2023)</w:t>
      </w:r>
      <w:r w:rsidRPr="00555AB8">
        <w:rPr>
          <w:rFonts w:ascii="Arial" w:hAnsi="Arial" w:cs="Arial"/>
          <w:sz w:val="24"/>
          <w:szCs w:val="24"/>
        </w:rPr>
        <w:t xml:space="preserve">. </w:t>
      </w:r>
      <w:r w:rsidR="00D27A64" w:rsidRPr="00D27A64">
        <w:rPr>
          <w:rFonts w:ascii="Arial" w:hAnsi="Arial" w:cs="Arial"/>
          <w:sz w:val="24"/>
          <w:szCs w:val="24"/>
        </w:rPr>
        <w:t xml:space="preserve">Net Profit Margin = 5.18, Asset Turnover = 0.99, and Equity Multiplier = 4.2, which yields ROE = 21.5, which agrees with those indicated. This demonstrates that leverage is a major contributor </w:t>
      </w:r>
      <w:r w:rsidR="00D27A64">
        <w:rPr>
          <w:rFonts w:ascii="Arial" w:hAnsi="Arial" w:cs="Arial"/>
          <w:sz w:val="24"/>
          <w:szCs w:val="24"/>
        </w:rPr>
        <w:t>to</w:t>
      </w:r>
      <w:r w:rsidR="00D27A64" w:rsidRPr="00D27A64">
        <w:rPr>
          <w:rFonts w:ascii="Arial" w:hAnsi="Arial" w:cs="Arial"/>
          <w:sz w:val="24"/>
          <w:szCs w:val="24"/>
        </w:rPr>
        <w:t xml:space="preserve"> ROE, and not margins. Though the percentage of margin enhanced after 2022</w:t>
      </w:r>
      <w:r w:rsidR="00D27A64">
        <w:rPr>
          <w:rFonts w:ascii="Arial" w:hAnsi="Arial" w:cs="Arial"/>
          <w:sz w:val="24"/>
          <w:szCs w:val="24"/>
        </w:rPr>
        <w:t>,</w:t>
      </w:r>
      <w:r w:rsidR="00D27A64" w:rsidRPr="00D27A64">
        <w:rPr>
          <w:rFonts w:ascii="Arial" w:hAnsi="Arial" w:cs="Arial"/>
          <w:sz w:val="24"/>
          <w:szCs w:val="24"/>
        </w:rPr>
        <w:t xml:space="preserve"> thanks to normalisation of costs and pricing power, </w:t>
      </w:r>
      <w:r w:rsidR="00D27A64">
        <w:rPr>
          <w:rFonts w:ascii="Arial" w:hAnsi="Arial" w:cs="Arial"/>
          <w:sz w:val="24"/>
          <w:szCs w:val="24"/>
        </w:rPr>
        <w:t xml:space="preserve">a </w:t>
      </w:r>
      <w:r w:rsidR="00D27A64" w:rsidRPr="00D27A64">
        <w:rPr>
          <w:rFonts w:ascii="Arial" w:hAnsi="Arial" w:cs="Arial"/>
          <w:sz w:val="24"/>
          <w:szCs w:val="24"/>
        </w:rPr>
        <w:t xml:space="preserve">high equity multiplier suggests that it depends on debt funding. Best practice strengthens this point of view. Tesla, Inc. has been getting ROE principally due to increased margins, and Li Auto Inc. and </w:t>
      </w:r>
      <w:proofErr w:type="spellStart"/>
      <w:r w:rsidR="00D27A64" w:rsidRPr="00D27A64">
        <w:rPr>
          <w:rFonts w:ascii="Arial" w:hAnsi="Arial" w:cs="Arial"/>
          <w:sz w:val="24"/>
          <w:szCs w:val="24"/>
        </w:rPr>
        <w:t>Geely</w:t>
      </w:r>
      <w:proofErr w:type="spellEnd"/>
      <w:r w:rsidR="00D27A64" w:rsidRPr="00D27A64">
        <w:rPr>
          <w:rFonts w:ascii="Arial" w:hAnsi="Arial" w:cs="Arial"/>
          <w:sz w:val="24"/>
          <w:szCs w:val="24"/>
        </w:rPr>
        <w:t xml:space="preserve"> Automobile Holdings Limited have relatively lower returns. </w:t>
      </w:r>
    </w:p>
    <w:p w14:paraId="34D95B06" w14:textId="77777777" w:rsidR="008F711A" w:rsidRPr="00555AB8" w:rsidRDefault="008F711A" w:rsidP="008F711A">
      <w:pPr>
        <w:spacing w:line="360" w:lineRule="auto"/>
        <w:jc w:val="both"/>
        <w:rPr>
          <w:rFonts w:ascii="Arial" w:hAnsi="Arial" w:cs="Arial"/>
          <w:b/>
          <w:bCs/>
          <w:i/>
          <w:iCs/>
          <w:sz w:val="24"/>
          <w:szCs w:val="24"/>
        </w:rPr>
      </w:pPr>
      <w:r w:rsidRPr="00555AB8">
        <w:rPr>
          <w:rFonts w:ascii="Arial" w:hAnsi="Arial" w:cs="Arial"/>
          <w:b/>
          <w:bCs/>
          <w:i/>
          <w:iCs/>
          <w:sz w:val="24"/>
          <w:szCs w:val="24"/>
        </w:rPr>
        <w:t>2. Liquidity Ratios</w:t>
      </w:r>
    </w:p>
    <w:p w14:paraId="4514AB49" w14:textId="560AD42A" w:rsidR="00D27A64" w:rsidRPr="00555AB8" w:rsidRDefault="00D27A64" w:rsidP="00D27A64">
      <w:pPr>
        <w:spacing w:line="360" w:lineRule="auto"/>
        <w:ind w:firstLine="720"/>
        <w:jc w:val="both"/>
        <w:rPr>
          <w:rFonts w:ascii="Arial" w:hAnsi="Arial" w:cs="Arial"/>
          <w:sz w:val="24"/>
          <w:szCs w:val="24"/>
        </w:rPr>
      </w:pPr>
      <w:r>
        <w:rPr>
          <w:rFonts w:ascii="Arial" w:hAnsi="Arial" w:cs="Arial"/>
          <w:sz w:val="24"/>
          <w:szCs w:val="24"/>
        </w:rPr>
        <w:t>The liquidity</w:t>
      </w:r>
      <w:r w:rsidRPr="00D27A64">
        <w:rPr>
          <w:rFonts w:ascii="Arial" w:hAnsi="Arial" w:cs="Arial"/>
          <w:sz w:val="24"/>
          <w:szCs w:val="24"/>
        </w:rPr>
        <w:t xml:space="preserve"> position of BYD </w:t>
      </w:r>
      <w:r>
        <w:rPr>
          <w:rFonts w:ascii="Arial" w:hAnsi="Arial" w:cs="Arial"/>
          <w:sz w:val="24"/>
          <w:szCs w:val="24"/>
        </w:rPr>
        <w:t>has</w:t>
      </w:r>
      <w:r w:rsidRPr="00D27A64">
        <w:rPr>
          <w:rFonts w:ascii="Arial" w:hAnsi="Arial" w:cs="Arial"/>
          <w:sz w:val="24"/>
          <w:szCs w:val="24"/>
        </w:rPr>
        <w:t xml:space="preserve"> deteriorated during 2020–2024, where the current ratio dropped to 0.75, revealing </w:t>
      </w:r>
      <w:r>
        <w:rPr>
          <w:rFonts w:ascii="Arial" w:hAnsi="Arial" w:cs="Arial"/>
          <w:sz w:val="24"/>
          <w:szCs w:val="24"/>
        </w:rPr>
        <w:t xml:space="preserve">that </w:t>
      </w:r>
      <w:r w:rsidRPr="00D27A64">
        <w:rPr>
          <w:rFonts w:ascii="Arial" w:hAnsi="Arial" w:cs="Arial"/>
          <w:sz w:val="24"/>
          <w:szCs w:val="24"/>
        </w:rPr>
        <w:t>the current assets are less than current liabilities. But this cannot be taken to mean that it is financial distress. This is a structural working capital model</w:t>
      </w:r>
      <w:r>
        <w:rPr>
          <w:rFonts w:ascii="Arial" w:hAnsi="Arial" w:cs="Arial"/>
          <w:sz w:val="24"/>
          <w:szCs w:val="24"/>
        </w:rPr>
        <w:t>,</w:t>
      </w:r>
      <w:r w:rsidRPr="00D27A64">
        <w:rPr>
          <w:rFonts w:ascii="Arial" w:hAnsi="Arial" w:cs="Arial"/>
          <w:sz w:val="24"/>
          <w:szCs w:val="24"/>
        </w:rPr>
        <w:t xml:space="preserve"> as in the Chinese automotive sector</w:t>
      </w:r>
      <w:r>
        <w:rPr>
          <w:rFonts w:ascii="Arial" w:hAnsi="Arial" w:cs="Arial"/>
          <w:sz w:val="24"/>
          <w:szCs w:val="24"/>
        </w:rPr>
        <w:t>,</w:t>
      </w:r>
      <w:r w:rsidRPr="00D27A64">
        <w:rPr>
          <w:rFonts w:ascii="Arial" w:hAnsi="Arial" w:cs="Arial"/>
          <w:sz w:val="24"/>
          <w:szCs w:val="24"/>
        </w:rPr>
        <w:t xml:space="preserve"> companies use good supplier credit and advance payments to fund their operations</w:t>
      </w:r>
      <w:r>
        <w:rPr>
          <w:rFonts w:ascii="Arial" w:hAnsi="Arial" w:cs="Arial"/>
          <w:sz w:val="24"/>
          <w:szCs w:val="24"/>
        </w:rPr>
        <w:t xml:space="preserve"> </w:t>
      </w:r>
      <w:r w:rsidRPr="00555AB8">
        <w:rPr>
          <w:rFonts w:ascii="Arial" w:hAnsi="Arial" w:cs="Arial"/>
          <w:sz w:val="24"/>
          <w:szCs w:val="24"/>
        </w:rPr>
        <w:t>(</w:t>
      </w:r>
      <w:proofErr w:type="spellStart"/>
      <w:r w:rsidRPr="00555AB8">
        <w:rPr>
          <w:rFonts w:ascii="Arial" w:hAnsi="Arial" w:cs="Arial"/>
          <w:sz w:val="24"/>
          <w:szCs w:val="24"/>
        </w:rPr>
        <w:t>Hasidi</w:t>
      </w:r>
      <w:proofErr w:type="spellEnd"/>
      <w:r w:rsidRPr="00555AB8">
        <w:rPr>
          <w:rFonts w:ascii="Arial" w:hAnsi="Arial" w:cs="Arial"/>
          <w:sz w:val="24"/>
          <w:szCs w:val="24"/>
        </w:rPr>
        <w:t xml:space="preserve">, </w:t>
      </w:r>
      <w:proofErr w:type="spellStart"/>
      <w:r w:rsidRPr="00555AB8">
        <w:rPr>
          <w:rFonts w:ascii="Arial" w:hAnsi="Arial" w:cs="Arial"/>
          <w:sz w:val="24"/>
          <w:szCs w:val="24"/>
        </w:rPr>
        <w:t>Baheri</w:t>
      </w:r>
      <w:proofErr w:type="spellEnd"/>
      <w:r>
        <w:rPr>
          <w:rFonts w:ascii="Arial" w:hAnsi="Arial" w:cs="Arial"/>
          <w:sz w:val="24"/>
          <w:szCs w:val="24"/>
        </w:rPr>
        <w:t>,</w:t>
      </w:r>
      <w:r w:rsidRPr="00555AB8">
        <w:rPr>
          <w:rFonts w:ascii="Arial" w:hAnsi="Arial" w:cs="Arial"/>
          <w:sz w:val="24"/>
          <w:szCs w:val="24"/>
        </w:rPr>
        <w:t xml:space="preserve"> and </w:t>
      </w:r>
      <w:proofErr w:type="spellStart"/>
      <w:r w:rsidRPr="00555AB8">
        <w:rPr>
          <w:rFonts w:ascii="Arial" w:hAnsi="Arial" w:cs="Arial"/>
          <w:sz w:val="24"/>
          <w:szCs w:val="24"/>
        </w:rPr>
        <w:t>Hajar</w:t>
      </w:r>
      <w:proofErr w:type="spellEnd"/>
      <w:r w:rsidRPr="00555AB8">
        <w:rPr>
          <w:rFonts w:ascii="Arial" w:hAnsi="Arial" w:cs="Arial"/>
          <w:sz w:val="24"/>
          <w:szCs w:val="24"/>
        </w:rPr>
        <w:t>, 2024)</w:t>
      </w:r>
      <w:r w:rsidRPr="00D27A64">
        <w:rPr>
          <w:rFonts w:ascii="Arial" w:hAnsi="Arial" w:cs="Arial"/>
          <w:sz w:val="24"/>
          <w:szCs w:val="24"/>
        </w:rPr>
        <w:t xml:space="preserve">. This is in contrast with Tesla, Inc., which has a larger current ratio (~1.7), indicating a safer </w:t>
      </w:r>
      <w:r>
        <w:rPr>
          <w:rFonts w:ascii="Arial" w:hAnsi="Arial" w:cs="Arial"/>
          <w:sz w:val="24"/>
          <w:szCs w:val="24"/>
        </w:rPr>
        <w:t>balance sheet</w:t>
      </w:r>
      <w:r w:rsidRPr="00D27A64">
        <w:rPr>
          <w:rFonts w:ascii="Arial" w:hAnsi="Arial" w:cs="Arial"/>
          <w:sz w:val="24"/>
          <w:szCs w:val="24"/>
        </w:rPr>
        <w:t xml:space="preserve"> and reduced dependence on credit. The rapid ratio decrease (0.75 to 0.51) confirms that BYD has a high inventory-dependent liquidity, as is in line with its high volume</w:t>
      </w:r>
      <w:r>
        <w:rPr>
          <w:rFonts w:ascii="Arial" w:hAnsi="Arial" w:cs="Arial"/>
          <w:sz w:val="24"/>
          <w:szCs w:val="24"/>
        </w:rPr>
        <w:t xml:space="preserve"> and</w:t>
      </w:r>
      <w:r w:rsidRPr="00D27A64">
        <w:rPr>
          <w:rFonts w:ascii="Arial" w:hAnsi="Arial" w:cs="Arial"/>
          <w:sz w:val="24"/>
          <w:szCs w:val="24"/>
        </w:rPr>
        <w:t xml:space="preserve"> vertically integrated manufacturing structure. Tesla has a leaner inventory structure, which does not need as much working capital lock-in as BYD does, due to its scale. The current ratio (0.13</w:t>
      </w:r>
      <w:r w:rsidR="00EE3396">
        <w:rPr>
          <w:rFonts w:ascii="Arial" w:hAnsi="Arial" w:cs="Arial"/>
          <w:sz w:val="24"/>
          <w:szCs w:val="24"/>
        </w:rPr>
        <w:t>-</w:t>
      </w:r>
      <w:r w:rsidRPr="00D27A64">
        <w:rPr>
          <w:rFonts w:ascii="Arial" w:hAnsi="Arial" w:cs="Arial"/>
          <w:sz w:val="24"/>
          <w:szCs w:val="24"/>
        </w:rPr>
        <w:t>0.24; 0.21 in 2024) shows that it does not have much immediate liquidity coverage</w:t>
      </w:r>
      <w:r w:rsidR="00EE3396">
        <w:rPr>
          <w:rFonts w:ascii="Arial" w:hAnsi="Arial" w:cs="Arial"/>
          <w:sz w:val="24"/>
          <w:szCs w:val="24"/>
        </w:rPr>
        <w:t xml:space="preserve"> </w:t>
      </w:r>
      <w:r w:rsidRPr="00555AB8">
        <w:rPr>
          <w:rFonts w:ascii="Arial" w:hAnsi="Arial" w:cs="Arial"/>
          <w:sz w:val="24"/>
          <w:szCs w:val="24"/>
        </w:rPr>
        <w:t xml:space="preserve">(Blessing and </w:t>
      </w:r>
      <w:proofErr w:type="spellStart"/>
      <w:r w:rsidRPr="00555AB8">
        <w:rPr>
          <w:rFonts w:ascii="Arial" w:hAnsi="Arial" w:cs="Arial"/>
          <w:sz w:val="24"/>
          <w:szCs w:val="24"/>
        </w:rPr>
        <w:t>Sakouvogui</w:t>
      </w:r>
      <w:proofErr w:type="spellEnd"/>
      <w:r w:rsidRPr="00555AB8">
        <w:rPr>
          <w:rFonts w:ascii="Arial" w:hAnsi="Arial" w:cs="Arial"/>
          <w:sz w:val="24"/>
          <w:szCs w:val="24"/>
        </w:rPr>
        <w:t>, 2023)</w:t>
      </w:r>
      <w:r w:rsidRPr="00D27A64">
        <w:rPr>
          <w:rFonts w:ascii="Arial" w:hAnsi="Arial" w:cs="Arial"/>
          <w:sz w:val="24"/>
          <w:szCs w:val="24"/>
        </w:rPr>
        <w:t>.</w:t>
      </w:r>
    </w:p>
    <w:p w14:paraId="5AD279D3" w14:textId="77777777" w:rsidR="00135A24" w:rsidRPr="00555AB8" w:rsidRDefault="00135A24" w:rsidP="00135A24">
      <w:pPr>
        <w:spacing w:line="360" w:lineRule="auto"/>
        <w:jc w:val="both"/>
        <w:rPr>
          <w:rFonts w:ascii="Arial" w:hAnsi="Arial" w:cs="Arial"/>
          <w:b/>
          <w:bCs/>
          <w:i/>
          <w:iCs/>
          <w:sz w:val="24"/>
          <w:szCs w:val="24"/>
        </w:rPr>
      </w:pPr>
      <w:r w:rsidRPr="00555AB8">
        <w:rPr>
          <w:rFonts w:ascii="Arial" w:hAnsi="Arial" w:cs="Arial"/>
          <w:b/>
          <w:bCs/>
          <w:i/>
          <w:iCs/>
          <w:sz w:val="24"/>
          <w:szCs w:val="24"/>
        </w:rPr>
        <w:t>3. Efficiency Ratios</w:t>
      </w:r>
    </w:p>
    <w:p w14:paraId="6B4E4585" w14:textId="62299557" w:rsidR="00DA43E3" w:rsidRPr="00555AB8" w:rsidRDefault="00DA43E3" w:rsidP="006B223E">
      <w:pPr>
        <w:spacing w:line="360" w:lineRule="auto"/>
        <w:ind w:firstLine="720"/>
        <w:jc w:val="both"/>
        <w:rPr>
          <w:rFonts w:ascii="Arial" w:hAnsi="Arial" w:cs="Arial"/>
          <w:sz w:val="24"/>
          <w:szCs w:val="24"/>
        </w:rPr>
      </w:pPr>
      <w:r>
        <w:rPr>
          <w:rFonts w:ascii="Arial" w:hAnsi="Arial" w:cs="Arial"/>
          <w:sz w:val="24"/>
          <w:szCs w:val="24"/>
        </w:rPr>
        <w:t>BYD's</w:t>
      </w:r>
      <w:r w:rsidRPr="00DA43E3">
        <w:rPr>
          <w:rFonts w:ascii="Arial" w:hAnsi="Arial" w:cs="Arial"/>
          <w:sz w:val="24"/>
          <w:szCs w:val="24"/>
        </w:rPr>
        <w:t xml:space="preserve"> performance was much better in 2020-2024. The receivables days decreased to 29.26 and 93.49 as a structural change to cash-on-delivery</w:t>
      </w:r>
      <w:r>
        <w:rPr>
          <w:rFonts w:ascii="Arial" w:hAnsi="Arial" w:cs="Arial"/>
          <w:sz w:val="24"/>
          <w:szCs w:val="24"/>
        </w:rPr>
        <w:t>,</w:t>
      </w:r>
      <w:r w:rsidRPr="00DA43E3">
        <w:rPr>
          <w:rFonts w:ascii="Arial" w:hAnsi="Arial" w:cs="Arial"/>
          <w:sz w:val="24"/>
          <w:szCs w:val="24"/>
        </w:rPr>
        <w:t xml:space="preserve"> and a stricter designer credit terms occurred with an increase in Battery Yankee market power. This enhanced the change of cash and minimized credit risk. Asset turnover increased to 0.99</w:t>
      </w:r>
      <w:r>
        <w:rPr>
          <w:rFonts w:ascii="Arial" w:hAnsi="Arial" w:cs="Arial"/>
          <w:sz w:val="24"/>
          <w:szCs w:val="24"/>
        </w:rPr>
        <w:t>,</w:t>
      </w:r>
      <w:r w:rsidRPr="00DA43E3">
        <w:rPr>
          <w:rFonts w:ascii="Arial" w:hAnsi="Arial" w:cs="Arial"/>
          <w:sz w:val="24"/>
          <w:szCs w:val="24"/>
        </w:rPr>
        <w:t xml:space="preserve"> and there was increased utilisation of its rising </w:t>
      </w:r>
      <w:r>
        <w:rPr>
          <w:rFonts w:ascii="Arial" w:hAnsi="Arial" w:cs="Arial"/>
          <w:sz w:val="24"/>
          <w:szCs w:val="24"/>
        </w:rPr>
        <w:t>asset</w:t>
      </w:r>
      <w:r w:rsidRPr="00DA43E3">
        <w:rPr>
          <w:rFonts w:ascii="Arial" w:hAnsi="Arial" w:cs="Arial"/>
          <w:sz w:val="24"/>
          <w:szCs w:val="24"/>
        </w:rPr>
        <w:t xml:space="preserve"> base, as its revenue growth continued to be steady with its capital investment</w:t>
      </w:r>
      <w:r w:rsidR="00EE3396">
        <w:rPr>
          <w:rFonts w:ascii="Arial" w:hAnsi="Arial" w:cs="Arial"/>
          <w:sz w:val="24"/>
          <w:szCs w:val="24"/>
        </w:rPr>
        <w:t xml:space="preserve"> </w:t>
      </w:r>
      <w:r w:rsidR="006B223E" w:rsidRPr="006B223E">
        <w:rPr>
          <w:rFonts w:ascii="Arial" w:hAnsi="Arial" w:cs="Arial"/>
          <w:sz w:val="24"/>
          <w:szCs w:val="24"/>
        </w:rPr>
        <w:t>(Wang, 2022)</w:t>
      </w:r>
      <w:r w:rsidRPr="00DA43E3">
        <w:rPr>
          <w:rFonts w:ascii="Arial" w:hAnsi="Arial" w:cs="Arial"/>
          <w:sz w:val="24"/>
          <w:szCs w:val="24"/>
        </w:rPr>
        <w:t>.</w:t>
      </w:r>
    </w:p>
    <w:p w14:paraId="26B96F48" w14:textId="77777777" w:rsidR="00481BFE" w:rsidRPr="00555AB8" w:rsidRDefault="00481BFE" w:rsidP="00481BFE">
      <w:pPr>
        <w:spacing w:line="360" w:lineRule="auto"/>
        <w:jc w:val="both"/>
        <w:rPr>
          <w:rFonts w:ascii="Arial" w:hAnsi="Arial" w:cs="Arial"/>
          <w:b/>
          <w:bCs/>
          <w:i/>
          <w:iCs/>
          <w:sz w:val="24"/>
          <w:szCs w:val="24"/>
        </w:rPr>
      </w:pPr>
      <w:r w:rsidRPr="00555AB8">
        <w:rPr>
          <w:rFonts w:ascii="Arial" w:hAnsi="Arial" w:cs="Arial"/>
          <w:b/>
          <w:bCs/>
          <w:i/>
          <w:iCs/>
          <w:sz w:val="24"/>
          <w:szCs w:val="24"/>
        </w:rPr>
        <w:t>4. Gearing Ratios</w:t>
      </w:r>
    </w:p>
    <w:p w14:paraId="5B4F7DA6" w14:textId="70530AF6" w:rsidR="008439FB" w:rsidRPr="00555AB8" w:rsidRDefault="008439FB" w:rsidP="008439FB">
      <w:pPr>
        <w:spacing w:line="360" w:lineRule="auto"/>
        <w:ind w:firstLine="720"/>
        <w:jc w:val="both"/>
        <w:rPr>
          <w:rFonts w:ascii="Arial" w:hAnsi="Arial" w:cs="Arial"/>
          <w:sz w:val="24"/>
          <w:szCs w:val="24"/>
        </w:rPr>
      </w:pPr>
      <w:r w:rsidRPr="008439FB">
        <w:rPr>
          <w:rFonts w:ascii="Arial" w:hAnsi="Arial" w:cs="Arial"/>
          <w:sz w:val="24"/>
          <w:szCs w:val="24"/>
        </w:rPr>
        <w:t xml:space="preserve">The recent trend of capital structure at BYD is an increase in gross leverage combined with </w:t>
      </w:r>
      <w:r>
        <w:rPr>
          <w:rFonts w:ascii="Arial" w:hAnsi="Arial" w:cs="Arial"/>
          <w:sz w:val="24"/>
          <w:szCs w:val="24"/>
        </w:rPr>
        <w:t>a</w:t>
      </w:r>
      <w:r w:rsidRPr="008439FB">
        <w:rPr>
          <w:rFonts w:ascii="Arial" w:hAnsi="Arial" w:cs="Arial"/>
          <w:sz w:val="24"/>
          <w:szCs w:val="24"/>
        </w:rPr>
        <w:t xml:space="preserve"> decrease in net financial risk, which can be explained by </w:t>
      </w:r>
      <w:r>
        <w:rPr>
          <w:rFonts w:ascii="Arial" w:hAnsi="Arial" w:cs="Arial"/>
          <w:sz w:val="24"/>
          <w:szCs w:val="24"/>
        </w:rPr>
        <w:t xml:space="preserve">the </w:t>
      </w:r>
      <w:r w:rsidRPr="008439FB">
        <w:rPr>
          <w:rFonts w:ascii="Arial" w:hAnsi="Arial" w:cs="Arial"/>
          <w:sz w:val="24"/>
          <w:szCs w:val="24"/>
        </w:rPr>
        <w:t>balancing sheets forces. The debt-to-equity ratio rose to 2.94 (2024), as compared to 2.12 in 2020, indicating increased total liabilities in the pace of quick development in production capacity and expansion around the globe. Nevertheless, the gearing ratio (net debt/equity) became reduced by 0.44 and reached 0.17</w:t>
      </w:r>
      <w:r>
        <w:rPr>
          <w:rFonts w:ascii="Arial" w:hAnsi="Arial" w:cs="Arial"/>
          <w:sz w:val="24"/>
          <w:szCs w:val="24"/>
        </w:rPr>
        <w:t>,</w:t>
      </w:r>
      <w:r w:rsidRPr="008439FB">
        <w:rPr>
          <w:rFonts w:ascii="Arial" w:hAnsi="Arial" w:cs="Arial"/>
          <w:sz w:val="24"/>
          <w:szCs w:val="24"/>
        </w:rPr>
        <w:t xml:space="preserve"> which meant that cash and cash </w:t>
      </w:r>
      <w:r>
        <w:rPr>
          <w:rFonts w:ascii="Arial" w:hAnsi="Arial" w:cs="Arial"/>
          <w:sz w:val="24"/>
          <w:szCs w:val="24"/>
        </w:rPr>
        <w:t>equivalents</w:t>
      </w:r>
      <w:r w:rsidRPr="008439FB">
        <w:rPr>
          <w:rFonts w:ascii="Arial" w:hAnsi="Arial" w:cs="Arial"/>
          <w:sz w:val="24"/>
          <w:szCs w:val="24"/>
        </w:rPr>
        <w:t xml:space="preserve"> increased at a higher rate compared to that of debt</w:t>
      </w:r>
      <w:r>
        <w:rPr>
          <w:rFonts w:ascii="Arial" w:hAnsi="Arial" w:cs="Arial"/>
          <w:sz w:val="24"/>
          <w:szCs w:val="24"/>
        </w:rPr>
        <w:t>,</w:t>
      </w:r>
      <w:r w:rsidRPr="008439FB">
        <w:rPr>
          <w:rFonts w:ascii="Arial" w:hAnsi="Arial" w:cs="Arial"/>
          <w:sz w:val="24"/>
          <w:szCs w:val="24"/>
        </w:rPr>
        <w:t xml:space="preserve"> whereas the retained earnings increased the equity base</w:t>
      </w:r>
      <w:r>
        <w:rPr>
          <w:rFonts w:ascii="Arial" w:hAnsi="Arial" w:cs="Arial"/>
          <w:sz w:val="24"/>
          <w:szCs w:val="24"/>
        </w:rPr>
        <w:t xml:space="preserve"> </w:t>
      </w:r>
      <w:r w:rsidRPr="00555AB8">
        <w:rPr>
          <w:rFonts w:ascii="Arial" w:hAnsi="Arial" w:cs="Arial"/>
          <w:sz w:val="24"/>
          <w:szCs w:val="24"/>
        </w:rPr>
        <w:t>(</w:t>
      </w:r>
      <w:proofErr w:type="spellStart"/>
      <w:r w:rsidRPr="00555AB8">
        <w:rPr>
          <w:rFonts w:ascii="Arial" w:hAnsi="Arial" w:cs="Arial"/>
          <w:sz w:val="24"/>
          <w:szCs w:val="24"/>
        </w:rPr>
        <w:t>Oranefo</w:t>
      </w:r>
      <w:proofErr w:type="spellEnd"/>
      <w:r w:rsidRPr="00555AB8">
        <w:rPr>
          <w:rFonts w:ascii="Arial" w:hAnsi="Arial" w:cs="Arial"/>
          <w:sz w:val="24"/>
          <w:szCs w:val="24"/>
        </w:rPr>
        <w:t xml:space="preserve"> and </w:t>
      </w:r>
      <w:proofErr w:type="spellStart"/>
      <w:r w:rsidRPr="00555AB8">
        <w:rPr>
          <w:rFonts w:ascii="Arial" w:hAnsi="Arial" w:cs="Arial"/>
          <w:sz w:val="24"/>
          <w:szCs w:val="24"/>
        </w:rPr>
        <w:t>Egbunike</w:t>
      </w:r>
      <w:proofErr w:type="spellEnd"/>
      <w:r w:rsidRPr="00555AB8">
        <w:rPr>
          <w:rFonts w:ascii="Arial" w:hAnsi="Arial" w:cs="Arial"/>
          <w:sz w:val="24"/>
          <w:szCs w:val="24"/>
        </w:rPr>
        <w:t>, 2023)</w:t>
      </w:r>
      <w:r w:rsidRPr="008439FB">
        <w:rPr>
          <w:rFonts w:ascii="Arial" w:hAnsi="Arial" w:cs="Arial"/>
          <w:sz w:val="24"/>
          <w:szCs w:val="24"/>
        </w:rPr>
        <w:t xml:space="preserve">. That is, with its increased borrowing, BYD also increased its liquidity and profits, lowering its financial risk net exposure. </w:t>
      </w:r>
    </w:p>
    <w:p w14:paraId="0B08A5AB" w14:textId="77777777" w:rsidR="00481BFE" w:rsidRPr="00555AB8" w:rsidRDefault="00481BFE" w:rsidP="00481BFE">
      <w:pPr>
        <w:spacing w:line="360" w:lineRule="auto"/>
        <w:jc w:val="both"/>
        <w:rPr>
          <w:rFonts w:ascii="Arial" w:hAnsi="Arial" w:cs="Arial"/>
          <w:b/>
          <w:bCs/>
          <w:i/>
          <w:iCs/>
          <w:sz w:val="24"/>
          <w:szCs w:val="24"/>
        </w:rPr>
      </w:pPr>
      <w:r w:rsidRPr="00555AB8">
        <w:rPr>
          <w:rFonts w:ascii="Arial" w:hAnsi="Arial" w:cs="Arial"/>
          <w:b/>
          <w:bCs/>
          <w:i/>
          <w:iCs/>
          <w:sz w:val="24"/>
          <w:szCs w:val="24"/>
        </w:rPr>
        <w:t>5. Investment Ratios</w:t>
      </w:r>
    </w:p>
    <w:p w14:paraId="65C84C3D" w14:textId="7838FDD0" w:rsidR="00481BFE" w:rsidRPr="00555AB8" w:rsidRDefault="00481BFE" w:rsidP="006F0C1D">
      <w:pPr>
        <w:spacing w:line="360" w:lineRule="auto"/>
        <w:ind w:firstLine="720"/>
        <w:jc w:val="both"/>
        <w:rPr>
          <w:rFonts w:ascii="Arial" w:hAnsi="Arial" w:cs="Arial"/>
          <w:sz w:val="24"/>
          <w:szCs w:val="24"/>
        </w:rPr>
      </w:pPr>
      <w:r w:rsidRPr="00555AB8">
        <w:rPr>
          <w:rFonts w:ascii="Arial" w:hAnsi="Arial" w:cs="Arial"/>
          <w:sz w:val="24"/>
          <w:szCs w:val="24"/>
        </w:rPr>
        <w:t>As an investor, BYD has a high growth potential in the company</w:t>
      </w:r>
      <w:r w:rsidR="007B548E" w:rsidRPr="00555AB8">
        <w:rPr>
          <w:rFonts w:ascii="Arial" w:hAnsi="Arial" w:cs="Arial"/>
          <w:sz w:val="24"/>
          <w:szCs w:val="24"/>
        </w:rPr>
        <w:t>,</w:t>
      </w:r>
      <w:r w:rsidRPr="00555AB8">
        <w:rPr>
          <w:rFonts w:ascii="Arial" w:hAnsi="Arial" w:cs="Arial"/>
          <w:sz w:val="24"/>
          <w:szCs w:val="24"/>
        </w:rPr>
        <w:t xml:space="preserve"> as demonstrated by its investment ratios. The growth in share price and profitability had grown by a considerable margin</w:t>
      </w:r>
      <w:r w:rsidR="007B548E" w:rsidRPr="00555AB8">
        <w:rPr>
          <w:rFonts w:ascii="Arial" w:hAnsi="Arial" w:cs="Arial"/>
          <w:sz w:val="24"/>
          <w:szCs w:val="24"/>
        </w:rPr>
        <w:t>,</w:t>
      </w:r>
      <w:r w:rsidRPr="00555AB8">
        <w:rPr>
          <w:rFonts w:ascii="Arial" w:hAnsi="Arial" w:cs="Arial"/>
          <w:sz w:val="24"/>
          <w:szCs w:val="24"/>
        </w:rPr>
        <w:t xml:space="preserve"> with the Earnings per Share (EPS) rising by 0.49 in 2020</w:t>
      </w:r>
      <w:r w:rsidR="007B548E" w:rsidRPr="00555AB8">
        <w:rPr>
          <w:rFonts w:ascii="Arial" w:hAnsi="Arial" w:cs="Arial"/>
          <w:sz w:val="24"/>
          <w:szCs w:val="24"/>
        </w:rPr>
        <w:t>,</w:t>
      </w:r>
      <w:r w:rsidRPr="00555AB8">
        <w:rPr>
          <w:rFonts w:ascii="Arial" w:hAnsi="Arial" w:cs="Arial"/>
          <w:sz w:val="24"/>
          <w:szCs w:val="24"/>
        </w:rPr>
        <w:t xml:space="preserve"> up to 4.61 in 2024. This steep increase means that the company has been able to increase its earnings base. The </w:t>
      </w:r>
      <w:proofErr w:type="spellStart"/>
      <w:r w:rsidRPr="00555AB8">
        <w:rPr>
          <w:rFonts w:ascii="Arial" w:hAnsi="Arial" w:cs="Arial"/>
          <w:sz w:val="24"/>
          <w:szCs w:val="24"/>
        </w:rPr>
        <w:t>payout</w:t>
      </w:r>
      <w:proofErr w:type="spellEnd"/>
      <w:r w:rsidRPr="00555AB8">
        <w:rPr>
          <w:rFonts w:ascii="Arial" w:hAnsi="Arial" w:cs="Arial"/>
          <w:sz w:val="24"/>
          <w:szCs w:val="24"/>
        </w:rPr>
        <w:t xml:space="preserve"> ratio of dividends has also risen, with a 6.58 in 2020 and 21.22 in 2024, indicating that BYD is allocating more of its earnings to shareholders compared to the prior year</w:t>
      </w:r>
      <w:r w:rsidR="007B548E" w:rsidRPr="00555AB8">
        <w:rPr>
          <w:rFonts w:ascii="Arial" w:hAnsi="Arial" w:cs="Arial"/>
          <w:sz w:val="24"/>
          <w:szCs w:val="24"/>
        </w:rPr>
        <w:t>, without</w:t>
      </w:r>
      <w:r w:rsidRPr="00555AB8">
        <w:rPr>
          <w:rFonts w:ascii="Arial" w:hAnsi="Arial" w:cs="Arial"/>
          <w:sz w:val="24"/>
          <w:szCs w:val="24"/>
        </w:rPr>
        <w:t xml:space="preserve"> previously decreasing profit margins</w:t>
      </w:r>
      <w:r w:rsidR="006F0C1D" w:rsidRPr="00555AB8">
        <w:rPr>
          <w:rFonts w:ascii="Arial" w:hAnsi="Arial" w:cs="Arial"/>
          <w:sz w:val="24"/>
          <w:szCs w:val="24"/>
        </w:rPr>
        <w:t xml:space="preserve"> (Aldo, 2022)</w:t>
      </w:r>
      <w:r w:rsidRPr="00555AB8">
        <w:rPr>
          <w:rFonts w:ascii="Arial" w:hAnsi="Arial" w:cs="Arial"/>
          <w:sz w:val="24"/>
          <w:szCs w:val="24"/>
        </w:rPr>
        <w:t xml:space="preserve">. </w:t>
      </w:r>
    </w:p>
    <w:p w14:paraId="35EC8EDA" w14:textId="77777777" w:rsidR="00481BFE" w:rsidRPr="00555AB8" w:rsidRDefault="00481BFE" w:rsidP="00481BFE">
      <w:pPr>
        <w:spacing w:line="360" w:lineRule="auto"/>
        <w:jc w:val="both"/>
        <w:rPr>
          <w:rFonts w:ascii="Arial" w:hAnsi="Arial" w:cs="Arial"/>
          <w:b/>
          <w:bCs/>
          <w:i/>
          <w:iCs/>
          <w:sz w:val="24"/>
          <w:szCs w:val="24"/>
        </w:rPr>
      </w:pPr>
      <w:r w:rsidRPr="00555AB8">
        <w:rPr>
          <w:rFonts w:ascii="Arial" w:hAnsi="Arial" w:cs="Arial"/>
          <w:b/>
          <w:bCs/>
          <w:i/>
          <w:iCs/>
          <w:sz w:val="24"/>
          <w:szCs w:val="24"/>
        </w:rPr>
        <w:t>6. Cash Flow Ratios</w:t>
      </w:r>
    </w:p>
    <w:p w14:paraId="584B0276" w14:textId="77777777" w:rsidR="00292E61" w:rsidRDefault="001D2AD5" w:rsidP="001D2AD5">
      <w:pPr>
        <w:spacing w:line="360" w:lineRule="auto"/>
        <w:ind w:firstLine="720"/>
        <w:jc w:val="both"/>
        <w:rPr>
          <w:rFonts w:ascii="Arial" w:hAnsi="Arial" w:cs="Arial"/>
          <w:sz w:val="24"/>
          <w:szCs w:val="24"/>
        </w:rPr>
      </w:pPr>
      <w:r w:rsidRPr="001D2AD5">
        <w:rPr>
          <w:rFonts w:ascii="Arial" w:hAnsi="Arial" w:cs="Arial"/>
          <w:sz w:val="24"/>
          <w:szCs w:val="24"/>
        </w:rPr>
        <w:t xml:space="preserve">The </w:t>
      </w:r>
      <w:proofErr w:type="spellStart"/>
      <w:r w:rsidRPr="001D2AD5">
        <w:rPr>
          <w:rFonts w:ascii="Arial" w:hAnsi="Arial" w:cs="Arial"/>
          <w:sz w:val="24"/>
          <w:szCs w:val="24"/>
        </w:rPr>
        <w:t>CapEx</w:t>
      </w:r>
      <w:proofErr w:type="spellEnd"/>
      <w:r w:rsidRPr="001D2AD5">
        <w:rPr>
          <w:rFonts w:ascii="Arial" w:hAnsi="Arial" w:cs="Arial"/>
          <w:sz w:val="24"/>
          <w:szCs w:val="24"/>
        </w:rPr>
        <w:t xml:space="preserve"> ratio shows that there is an evident strategic change in the priorities of BYD over the next five years to invest. The ratio stands at 52.11% in 2020, but increases steadily to 82.07% in 2023, and is constant at 72.78% in 2024, meaning an ever-growing share of total investing cash flows is being spent on capital expenditure. This is a sign that an intentional shift is being taken towards asset-based growth and especially EV production capacity, battery technology, and vertical integration. The steep rise after 2021 indicates a strategic acceleration in line with the booming EVs all over the world</w:t>
      </w:r>
      <w:r>
        <w:rPr>
          <w:rFonts w:ascii="Arial" w:hAnsi="Arial" w:cs="Arial"/>
          <w:sz w:val="24"/>
          <w:szCs w:val="24"/>
        </w:rPr>
        <w:t xml:space="preserve"> </w:t>
      </w:r>
      <w:r w:rsidRPr="00555AB8">
        <w:rPr>
          <w:rFonts w:ascii="Arial" w:hAnsi="Arial" w:cs="Arial"/>
          <w:sz w:val="24"/>
          <w:szCs w:val="24"/>
        </w:rPr>
        <w:t>(</w:t>
      </w:r>
      <w:proofErr w:type="spellStart"/>
      <w:r w:rsidRPr="00555AB8">
        <w:rPr>
          <w:rFonts w:ascii="Arial" w:hAnsi="Arial" w:cs="Arial"/>
          <w:sz w:val="24"/>
          <w:szCs w:val="24"/>
        </w:rPr>
        <w:t>Zuliyana</w:t>
      </w:r>
      <w:proofErr w:type="spellEnd"/>
      <w:r w:rsidRPr="00555AB8">
        <w:rPr>
          <w:rFonts w:ascii="Arial" w:hAnsi="Arial" w:cs="Arial"/>
          <w:sz w:val="24"/>
          <w:szCs w:val="24"/>
        </w:rPr>
        <w:t xml:space="preserve">, </w:t>
      </w:r>
      <w:proofErr w:type="spellStart"/>
      <w:r w:rsidRPr="00555AB8">
        <w:rPr>
          <w:rFonts w:ascii="Arial" w:hAnsi="Arial" w:cs="Arial"/>
          <w:sz w:val="24"/>
          <w:szCs w:val="24"/>
        </w:rPr>
        <w:t>Karyatun</w:t>
      </w:r>
      <w:proofErr w:type="spellEnd"/>
      <w:r>
        <w:rPr>
          <w:rFonts w:ascii="Arial" w:hAnsi="Arial" w:cs="Arial"/>
          <w:sz w:val="24"/>
          <w:szCs w:val="24"/>
        </w:rPr>
        <w:t>,</w:t>
      </w:r>
      <w:r w:rsidRPr="00555AB8">
        <w:rPr>
          <w:rFonts w:ascii="Arial" w:hAnsi="Arial" w:cs="Arial"/>
          <w:sz w:val="24"/>
          <w:szCs w:val="24"/>
        </w:rPr>
        <w:t xml:space="preserve"> and </w:t>
      </w:r>
      <w:proofErr w:type="spellStart"/>
      <w:r w:rsidRPr="00555AB8">
        <w:rPr>
          <w:rFonts w:ascii="Arial" w:hAnsi="Arial" w:cs="Arial"/>
          <w:sz w:val="24"/>
          <w:szCs w:val="24"/>
        </w:rPr>
        <w:t>Digdowiseiso</w:t>
      </w:r>
      <w:proofErr w:type="spellEnd"/>
      <w:r w:rsidRPr="00555AB8">
        <w:rPr>
          <w:rFonts w:ascii="Arial" w:hAnsi="Arial" w:cs="Arial"/>
          <w:sz w:val="24"/>
          <w:szCs w:val="24"/>
        </w:rPr>
        <w:t>, 2023)</w:t>
      </w:r>
      <w:r w:rsidRPr="001D2AD5">
        <w:rPr>
          <w:rFonts w:ascii="Arial" w:hAnsi="Arial" w:cs="Arial"/>
          <w:sz w:val="24"/>
          <w:szCs w:val="24"/>
        </w:rPr>
        <w:t>.</w:t>
      </w:r>
    </w:p>
    <w:p w14:paraId="4A36A79B" w14:textId="77777777" w:rsidR="00292E61" w:rsidRPr="00292E61" w:rsidRDefault="00292E61" w:rsidP="005E05B9">
      <w:pPr>
        <w:pStyle w:val="Heading2"/>
        <w:spacing w:line="360" w:lineRule="auto"/>
        <w:jc w:val="both"/>
        <w:rPr>
          <w:rFonts w:ascii="Arial" w:hAnsi="Arial" w:cs="Arial"/>
          <w:b/>
          <w:bCs/>
          <w:i/>
          <w:iCs/>
          <w:sz w:val="24"/>
          <w:szCs w:val="24"/>
          <w:u w:val="single"/>
        </w:rPr>
      </w:pPr>
      <w:bookmarkStart w:id="7" w:name="_Toc227767952"/>
      <w:r w:rsidRPr="00292E61">
        <w:rPr>
          <w:rFonts w:ascii="Arial" w:hAnsi="Arial" w:cs="Arial"/>
          <w:b/>
          <w:bCs/>
          <w:i/>
          <w:iCs/>
          <w:sz w:val="24"/>
          <w:szCs w:val="24"/>
          <w:u w:val="single"/>
        </w:rPr>
        <w:t>Summary of Trends, Strengths, and Threats</w:t>
      </w:r>
      <w:bookmarkEnd w:id="7"/>
    </w:p>
    <w:p w14:paraId="0D5BB14E" w14:textId="3CD86FD6" w:rsidR="00BE6218" w:rsidRPr="00BE6218" w:rsidRDefault="001D2AD5" w:rsidP="00BE6218">
      <w:pPr>
        <w:spacing w:line="360" w:lineRule="auto"/>
        <w:jc w:val="both"/>
        <w:rPr>
          <w:rFonts w:ascii="Arial" w:hAnsi="Arial" w:cs="Arial"/>
          <w:sz w:val="24"/>
          <w:szCs w:val="24"/>
        </w:rPr>
      </w:pPr>
      <w:r w:rsidRPr="001D2AD5">
        <w:rPr>
          <w:rFonts w:ascii="Arial" w:hAnsi="Arial" w:cs="Arial"/>
          <w:sz w:val="24"/>
          <w:szCs w:val="24"/>
        </w:rPr>
        <w:t xml:space="preserve"> </w:t>
      </w:r>
      <w:r w:rsidR="00292E61">
        <w:rPr>
          <w:rFonts w:ascii="Arial" w:hAnsi="Arial" w:cs="Arial"/>
          <w:sz w:val="24"/>
          <w:szCs w:val="24"/>
        </w:rPr>
        <w:tab/>
      </w:r>
      <w:r w:rsidR="00BE6218" w:rsidRPr="00BE6218">
        <w:rPr>
          <w:rFonts w:ascii="Arial" w:hAnsi="Arial" w:cs="Arial"/>
          <w:sz w:val="24"/>
          <w:szCs w:val="24"/>
        </w:rPr>
        <w:t xml:space="preserve">The five-year financial trend shows that profitability and operational efficiency </w:t>
      </w:r>
      <w:r w:rsidR="000500C1">
        <w:rPr>
          <w:rFonts w:ascii="Arial" w:hAnsi="Arial" w:cs="Arial"/>
          <w:sz w:val="24"/>
          <w:szCs w:val="24"/>
        </w:rPr>
        <w:t>have</w:t>
      </w:r>
      <w:r w:rsidR="00BE6218" w:rsidRPr="00BE6218">
        <w:rPr>
          <w:rFonts w:ascii="Arial" w:hAnsi="Arial" w:cs="Arial"/>
          <w:sz w:val="24"/>
          <w:szCs w:val="24"/>
        </w:rPr>
        <w:t xml:space="preserve"> a strong upward trend, and it was supported by the intensifying rise in margin, better receivables management within the company</w:t>
      </w:r>
      <w:r w:rsidR="000500C1">
        <w:rPr>
          <w:rFonts w:ascii="Arial" w:hAnsi="Arial" w:cs="Arial"/>
          <w:sz w:val="24"/>
          <w:szCs w:val="24"/>
        </w:rPr>
        <w:t>,</w:t>
      </w:r>
      <w:r w:rsidR="00BE6218" w:rsidRPr="00BE6218">
        <w:rPr>
          <w:rFonts w:ascii="Arial" w:hAnsi="Arial" w:cs="Arial"/>
          <w:sz w:val="24"/>
          <w:szCs w:val="24"/>
        </w:rPr>
        <w:t xml:space="preserve"> and </w:t>
      </w:r>
      <w:r w:rsidR="000500C1">
        <w:rPr>
          <w:rFonts w:ascii="Arial" w:hAnsi="Arial" w:cs="Arial"/>
          <w:sz w:val="24"/>
          <w:szCs w:val="24"/>
        </w:rPr>
        <w:t xml:space="preserve">the </w:t>
      </w:r>
      <w:r w:rsidR="00BE6218" w:rsidRPr="00BE6218">
        <w:rPr>
          <w:rFonts w:ascii="Arial" w:hAnsi="Arial" w:cs="Arial"/>
          <w:sz w:val="24"/>
          <w:szCs w:val="24"/>
        </w:rPr>
        <w:t>degree of asset turnover. At the same time, strategic change towards capital-intensive growth is evident</w:t>
      </w:r>
      <w:r w:rsidR="000500C1">
        <w:rPr>
          <w:rFonts w:ascii="Arial" w:hAnsi="Arial" w:cs="Arial"/>
          <w:sz w:val="24"/>
          <w:szCs w:val="24"/>
        </w:rPr>
        <w:t>;</w:t>
      </w:r>
      <w:r w:rsidR="00BE6218" w:rsidRPr="00BE6218">
        <w:rPr>
          <w:rFonts w:ascii="Arial" w:hAnsi="Arial" w:cs="Arial"/>
          <w:sz w:val="24"/>
          <w:szCs w:val="24"/>
        </w:rPr>
        <w:t xml:space="preserve"> the </w:t>
      </w:r>
      <w:proofErr w:type="spellStart"/>
      <w:r w:rsidR="00BE6218" w:rsidRPr="00BE6218">
        <w:rPr>
          <w:rFonts w:ascii="Arial" w:hAnsi="Arial" w:cs="Arial"/>
          <w:sz w:val="24"/>
          <w:szCs w:val="24"/>
        </w:rPr>
        <w:t>CapEx</w:t>
      </w:r>
      <w:proofErr w:type="spellEnd"/>
      <w:r w:rsidR="00BE6218" w:rsidRPr="00BE6218">
        <w:rPr>
          <w:rFonts w:ascii="Arial" w:hAnsi="Arial" w:cs="Arial"/>
          <w:sz w:val="24"/>
          <w:szCs w:val="24"/>
        </w:rPr>
        <w:t xml:space="preserve"> ratio and growing asset base testify to this. </w:t>
      </w:r>
    </w:p>
    <w:p w14:paraId="11ADAA72" w14:textId="47181055" w:rsidR="00BE6218" w:rsidRPr="00BE6218" w:rsidRDefault="00BE6218" w:rsidP="00BE6218">
      <w:pPr>
        <w:spacing w:line="360" w:lineRule="auto"/>
        <w:jc w:val="both"/>
        <w:rPr>
          <w:rFonts w:ascii="Arial" w:hAnsi="Arial" w:cs="Arial"/>
          <w:sz w:val="24"/>
          <w:szCs w:val="24"/>
        </w:rPr>
      </w:pPr>
      <w:r w:rsidRPr="00BE6218">
        <w:rPr>
          <w:rFonts w:ascii="Arial" w:hAnsi="Arial" w:cs="Arial"/>
          <w:sz w:val="24"/>
          <w:szCs w:val="24"/>
        </w:rPr>
        <w:t xml:space="preserve">Its major strengths are that BYD has a vertically integrated model, robust growth in revenue, </w:t>
      </w:r>
      <w:r w:rsidR="000500C1">
        <w:rPr>
          <w:rFonts w:ascii="Arial" w:hAnsi="Arial" w:cs="Arial"/>
          <w:sz w:val="24"/>
          <w:szCs w:val="24"/>
        </w:rPr>
        <w:t xml:space="preserve">an </w:t>
      </w:r>
      <w:r w:rsidRPr="00BE6218">
        <w:rPr>
          <w:rFonts w:ascii="Arial" w:hAnsi="Arial" w:cs="Arial"/>
          <w:sz w:val="24"/>
          <w:szCs w:val="24"/>
        </w:rPr>
        <w:t>increase in return on equity, and high cash conversion efficiency. All these make the firm competitive in the world market in EV.</w:t>
      </w:r>
    </w:p>
    <w:p w14:paraId="0E6377E8" w14:textId="56E36568" w:rsidR="001D2AD5" w:rsidRPr="00555AB8" w:rsidRDefault="00BE6218" w:rsidP="00BE6218">
      <w:pPr>
        <w:spacing w:line="360" w:lineRule="auto"/>
        <w:jc w:val="both"/>
        <w:rPr>
          <w:rFonts w:ascii="Arial" w:hAnsi="Arial" w:cs="Arial"/>
          <w:sz w:val="24"/>
          <w:szCs w:val="24"/>
        </w:rPr>
      </w:pPr>
      <w:r w:rsidRPr="00BE6218">
        <w:rPr>
          <w:rFonts w:ascii="Arial" w:hAnsi="Arial" w:cs="Arial"/>
          <w:sz w:val="24"/>
          <w:szCs w:val="24"/>
        </w:rPr>
        <w:t xml:space="preserve">On the other hand, the weaknesses pose the risks of reduced </w:t>
      </w:r>
      <w:r w:rsidR="000500C1">
        <w:rPr>
          <w:rFonts w:ascii="Arial" w:hAnsi="Arial" w:cs="Arial"/>
          <w:sz w:val="24"/>
          <w:szCs w:val="24"/>
        </w:rPr>
        <w:t>short-term</w:t>
      </w:r>
      <w:r w:rsidRPr="00BE6218">
        <w:rPr>
          <w:rFonts w:ascii="Arial" w:hAnsi="Arial" w:cs="Arial"/>
          <w:sz w:val="24"/>
          <w:szCs w:val="24"/>
        </w:rPr>
        <w:t xml:space="preserve"> liquidity, gross leverage is high</w:t>
      </w:r>
      <w:r w:rsidR="000500C1">
        <w:rPr>
          <w:rFonts w:ascii="Arial" w:hAnsi="Arial" w:cs="Arial"/>
          <w:sz w:val="24"/>
          <w:szCs w:val="24"/>
        </w:rPr>
        <w:t>,</w:t>
      </w:r>
      <w:r w:rsidRPr="00BE6218">
        <w:rPr>
          <w:rFonts w:ascii="Arial" w:hAnsi="Arial" w:cs="Arial"/>
          <w:sz w:val="24"/>
          <w:szCs w:val="24"/>
        </w:rPr>
        <w:t xml:space="preserve"> and large amounts of capital expenditure are locked in commitments</w:t>
      </w:r>
      <w:r w:rsidR="000500C1">
        <w:rPr>
          <w:rFonts w:ascii="Arial" w:hAnsi="Arial" w:cs="Arial"/>
          <w:sz w:val="24"/>
          <w:szCs w:val="24"/>
        </w:rPr>
        <w:t>,</w:t>
      </w:r>
      <w:r w:rsidRPr="00BE6218">
        <w:rPr>
          <w:rFonts w:ascii="Arial" w:hAnsi="Arial" w:cs="Arial"/>
          <w:sz w:val="24"/>
          <w:szCs w:val="24"/>
        </w:rPr>
        <w:t xml:space="preserve"> which could put pressure on the cash flows. Also, the impact of input prices (e.g., lithium prices) and internationalisation risks may </w:t>
      </w:r>
      <w:r w:rsidR="000500C1">
        <w:rPr>
          <w:rFonts w:ascii="Arial" w:hAnsi="Arial" w:cs="Arial"/>
          <w:sz w:val="24"/>
          <w:szCs w:val="24"/>
        </w:rPr>
        <w:t>affect</w:t>
      </w:r>
      <w:r w:rsidRPr="00BE6218">
        <w:rPr>
          <w:rFonts w:ascii="Arial" w:hAnsi="Arial" w:cs="Arial"/>
          <w:sz w:val="24"/>
          <w:szCs w:val="24"/>
        </w:rPr>
        <w:t xml:space="preserve"> financial stability in the future unless managed.</w:t>
      </w:r>
    </w:p>
    <w:p w14:paraId="50B23EE5" w14:textId="103159A9" w:rsidR="007B548E" w:rsidRPr="00555AB8" w:rsidRDefault="00E5710A" w:rsidP="00794E1D">
      <w:pPr>
        <w:pStyle w:val="Heading1"/>
        <w:spacing w:line="360" w:lineRule="auto"/>
        <w:jc w:val="both"/>
        <w:rPr>
          <w:rFonts w:ascii="Arial" w:hAnsi="Arial" w:cs="Arial"/>
          <w:b/>
          <w:bCs/>
          <w:sz w:val="28"/>
          <w:szCs w:val="28"/>
        </w:rPr>
      </w:pPr>
      <w:bookmarkStart w:id="8" w:name="_Toc227767953"/>
      <w:r w:rsidRPr="00555AB8">
        <w:rPr>
          <w:rFonts w:ascii="Arial" w:hAnsi="Arial" w:cs="Arial"/>
          <w:b/>
          <w:bCs/>
          <w:sz w:val="28"/>
          <w:szCs w:val="28"/>
        </w:rPr>
        <w:t>WORKING CAPITAL MANAGEMENT ANALYSIS</w:t>
      </w:r>
      <w:bookmarkEnd w:id="8"/>
    </w:p>
    <w:p w14:paraId="29592B8E" w14:textId="255F8A9C" w:rsidR="00E5710A" w:rsidRPr="00555AB8" w:rsidRDefault="00C43A1E" w:rsidP="00794E1D">
      <w:pPr>
        <w:pStyle w:val="Heading2"/>
        <w:rPr>
          <w:rFonts w:ascii="Arial" w:hAnsi="Arial" w:cs="Arial"/>
          <w:b/>
          <w:bCs/>
          <w:i/>
          <w:iCs/>
          <w:sz w:val="24"/>
          <w:szCs w:val="24"/>
          <w:u w:val="single"/>
        </w:rPr>
      </w:pPr>
      <w:bookmarkStart w:id="9" w:name="_Toc227767954"/>
      <w:r w:rsidRPr="00555AB8">
        <w:rPr>
          <w:rFonts w:ascii="Arial" w:hAnsi="Arial" w:cs="Arial"/>
          <w:b/>
          <w:bCs/>
          <w:i/>
          <w:iCs/>
          <w:sz w:val="24"/>
          <w:szCs w:val="24"/>
          <w:u w:val="single"/>
        </w:rPr>
        <w:t>Overview of Working Capital Position (2020–2024)</w:t>
      </w:r>
      <w:bookmarkEnd w:id="9"/>
    </w:p>
    <w:p w14:paraId="02304F2B" w14:textId="4BBAE118" w:rsidR="00700106" w:rsidRPr="00555AB8" w:rsidRDefault="00C43A1E" w:rsidP="00700106">
      <w:pPr>
        <w:spacing w:line="360" w:lineRule="auto"/>
        <w:jc w:val="both"/>
        <w:rPr>
          <w:rFonts w:ascii="Arial" w:hAnsi="Arial" w:cs="Arial"/>
          <w:sz w:val="24"/>
          <w:szCs w:val="24"/>
        </w:rPr>
      </w:pPr>
      <w:r w:rsidRPr="00555AB8">
        <w:rPr>
          <w:rFonts w:ascii="Arial" w:hAnsi="Arial" w:cs="Arial"/>
          <w:sz w:val="24"/>
          <w:szCs w:val="24"/>
        </w:rPr>
        <w:tab/>
      </w:r>
      <w:r w:rsidR="00700106" w:rsidRPr="00555AB8">
        <w:rPr>
          <w:rFonts w:ascii="Arial" w:hAnsi="Arial" w:cs="Arial"/>
          <w:sz w:val="24"/>
          <w:szCs w:val="24"/>
        </w:rPr>
        <w:t xml:space="preserve">A review of financial reports released by BYD within the last </w:t>
      </w:r>
      <w:r w:rsidR="005B6B54" w:rsidRPr="00555AB8">
        <w:rPr>
          <w:rFonts w:ascii="Arial" w:hAnsi="Arial" w:cs="Arial"/>
          <w:sz w:val="24"/>
          <w:szCs w:val="24"/>
        </w:rPr>
        <w:t>five years</w:t>
      </w:r>
      <w:r w:rsidR="00700106" w:rsidRPr="00555AB8">
        <w:rPr>
          <w:rFonts w:ascii="Arial" w:hAnsi="Arial" w:cs="Arial"/>
          <w:sz w:val="24"/>
          <w:szCs w:val="24"/>
        </w:rPr>
        <w:t xml:space="preserve"> displays that a structural change in the working capital management is concrete. The company shifted the positive working capital of RMB 5.17 billion in 2020 to RMB -125.41, with the biggest change that took place in the period between 2022 and 2023</w:t>
      </w:r>
      <w:r w:rsidR="00C20812" w:rsidRPr="00555AB8">
        <w:rPr>
          <w:rFonts w:ascii="Arial" w:hAnsi="Arial" w:cs="Arial"/>
          <w:sz w:val="24"/>
          <w:szCs w:val="24"/>
        </w:rPr>
        <w:t xml:space="preserve"> (BYD Company Limited, 2023)</w:t>
      </w:r>
      <w:r w:rsidR="00700106" w:rsidRPr="00555AB8">
        <w:rPr>
          <w:rFonts w:ascii="Arial" w:hAnsi="Arial" w:cs="Arial"/>
          <w:sz w:val="24"/>
          <w:szCs w:val="24"/>
        </w:rPr>
        <w:t>. This trend shows that current liabilities have been increasing steadily faster than current assets, and this shows a progressive and more aggressive liquidity policy.</w:t>
      </w:r>
    </w:p>
    <w:p w14:paraId="0F69CA01" w14:textId="564730F1" w:rsidR="00C43A1E" w:rsidRPr="00555AB8" w:rsidRDefault="00700106" w:rsidP="00700106">
      <w:pPr>
        <w:spacing w:line="360" w:lineRule="auto"/>
        <w:jc w:val="both"/>
        <w:rPr>
          <w:rFonts w:ascii="Arial" w:hAnsi="Arial" w:cs="Arial"/>
          <w:sz w:val="24"/>
          <w:szCs w:val="24"/>
        </w:rPr>
      </w:pPr>
      <w:r w:rsidRPr="00555AB8">
        <w:rPr>
          <w:rFonts w:ascii="Arial" w:hAnsi="Arial" w:cs="Arial"/>
          <w:sz w:val="24"/>
          <w:szCs w:val="24"/>
        </w:rPr>
        <w:t xml:space="preserve">This trend, instead of indicating financial distress, is typical of high-growth manufacturing companies, which take advantage of the supplier financing and operational efficiency. BYD seems to have actively misreported the current assets that are lying idle and increased the size of </w:t>
      </w:r>
      <w:r w:rsidR="005B6B54" w:rsidRPr="00555AB8">
        <w:rPr>
          <w:rFonts w:ascii="Arial" w:hAnsi="Arial" w:cs="Arial"/>
          <w:sz w:val="24"/>
          <w:szCs w:val="24"/>
        </w:rPr>
        <w:t>short-term</w:t>
      </w:r>
      <w:r w:rsidRPr="00555AB8">
        <w:rPr>
          <w:rFonts w:ascii="Arial" w:hAnsi="Arial" w:cs="Arial"/>
          <w:sz w:val="24"/>
          <w:szCs w:val="24"/>
        </w:rPr>
        <w:t xml:space="preserve"> commitments like trade payable and contract liabilities. </w:t>
      </w:r>
    </w:p>
    <w:p w14:paraId="100C1BB0" w14:textId="6E2C2BC6" w:rsidR="00F6647C" w:rsidRPr="00445906" w:rsidRDefault="004133E3" w:rsidP="00445906">
      <w:pPr>
        <w:pStyle w:val="Heading2"/>
        <w:rPr>
          <w:rFonts w:ascii="Arial" w:hAnsi="Arial" w:cs="Arial"/>
          <w:b/>
          <w:bCs/>
          <w:i/>
          <w:iCs/>
          <w:sz w:val="24"/>
          <w:szCs w:val="24"/>
          <w:u w:val="single"/>
        </w:rPr>
      </w:pPr>
      <w:bookmarkStart w:id="10" w:name="_Toc227767955"/>
      <w:r w:rsidRPr="00555AB8">
        <w:rPr>
          <w:rFonts w:ascii="Arial" w:hAnsi="Arial" w:cs="Arial"/>
          <w:b/>
          <w:bCs/>
          <w:i/>
          <w:iCs/>
          <w:sz w:val="24"/>
          <w:szCs w:val="24"/>
          <w:u w:val="single"/>
        </w:rPr>
        <w:t>Assessment of the Cash Operating Cycle</w:t>
      </w:r>
      <w:bookmarkEnd w:id="10"/>
    </w:p>
    <w:p w14:paraId="551E2033" w14:textId="6A829E20" w:rsidR="00F6647C" w:rsidRDefault="00F6647C" w:rsidP="00F6647C">
      <w:pPr>
        <w:pStyle w:val="Caption"/>
        <w:keepNext/>
      </w:pPr>
      <w:bookmarkStart w:id="11" w:name="_Toc227767937"/>
      <w:r>
        <w:t xml:space="preserve">Table </w:t>
      </w:r>
      <w:r>
        <w:fldChar w:fldCharType="begin"/>
      </w:r>
      <w:r>
        <w:instrText xml:space="preserve"> SEQ Table \* ARABIC </w:instrText>
      </w:r>
      <w:r>
        <w:fldChar w:fldCharType="separate"/>
      </w:r>
      <w:r>
        <w:rPr>
          <w:noProof/>
        </w:rPr>
        <w:t>1</w:t>
      </w:r>
      <w:r>
        <w:rPr>
          <w:noProof/>
        </w:rPr>
        <w:fldChar w:fldCharType="end"/>
      </w:r>
      <w:r>
        <w:t>: CCC Days</w:t>
      </w:r>
      <w:bookmarkEnd w:id="11"/>
    </w:p>
    <w:tbl>
      <w:tblPr>
        <w:tblW w:w="7208" w:type="dxa"/>
        <w:tblLook w:val="04A0" w:firstRow="1" w:lastRow="0" w:firstColumn="1" w:lastColumn="0" w:noHBand="0" w:noVBand="1"/>
      </w:tblPr>
      <w:tblGrid>
        <w:gridCol w:w="1730"/>
        <w:gridCol w:w="2667"/>
        <w:gridCol w:w="2811"/>
      </w:tblGrid>
      <w:tr w:rsidR="00F6647C" w:rsidRPr="00F6647C" w14:paraId="513B3133" w14:textId="77777777" w:rsidTr="00F6647C">
        <w:trPr>
          <w:trHeight w:val="288"/>
        </w:trPr>
        <w:tc>
          <w:tcPr>
            <w:tcW w:w="1730" w:type="dxa"/>
            <w:tcBorders>
              <w:top w:val="single" w:sz="4" w:space="0" w:color="auto"/>
              <w:left w:val="single" w:sz="4" w:space="0" w:color="auto"/>
              <w:bottom w:val="single" w:sz="4" w:space="0" w:color="auto"/>
              <w:right w:val="single" w:sz="4" w:space="0" w:color="auto"/>
            </w:tcBorders>
            <w:vAlign w:val="center"/>
            <w:hideMark/>
          </w:tcPr>
          <w:p w14:paraId="3B8EE5EF" w14:textId="77777777" w:rsidR="00F6647C" w:rsidRPr="00F6647C" w:rsidRDefault="00F6647C" w:rsidP="00F6647C">
            <w:pPr>
              <w:spacing w:after="0" w:line="360" w:lineRule="auto"/>
              <w:jc w:val="center"/>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Year</w:t>
            </w:r>
          </w:p>
        </w:tc>
        <w:tc>
          <w:tcPr>
            <w:tcW w:w="2667" w:type="dxa"/>
            <w:tcBorders>
              <w:top w:val="single" w:sz="4" w:space="0" w:color="auto"/>
              <w:left w:val="nil"/>
              <w:bottom w:val="single" w:sz="4" w:space="0" w:color="auto"/>
              <w:right w:val="single" w:sz="4" w:space="0" w:color="auto"/>
            </w:tcBorders>
            <w:vAlign w:val="center"/>
            <w:hideMark/>
          </w:tcPr>
          <w:p w14:paraId="7417E819" w14:textId="77777777" w:rsidR="00F6647C" w:rsidRPr="00F6647C" w:rsidRDefault="00F6647C" w:rsidP="00F6647C">
            <w:pPr>
              <w:spacing w:after="0" w:line="360" w:lineRule="auto"/>
              <w:jc w:val="center"/>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CCC (Days)</w:t>
            </w:r>
          </w:p>
        </w:tc>
        <w:tc>
          <w:tcPr>
            <w:tcW w:w="2811" w:type="dxa"/>
            <w:tcBorders>
              <w:top w:val="single" w:sz="4" w:space="0" w:color="auto"/>
              <w:left w:val="nil"/>
              <w:bottom w:val="single" w:sz="4" w:space="0" w:color="auto"/>
              <w:right w:val="single" w:sz="4" w:space="0" w:color="auto"/>
            </w:tcBorders>
            <w:vAlign w:val="center"/>
            <w:hideMark/>
          </w:tcPr>
          <w:p w14:paraId="543004F6" w14:textId="77777777" w:rsidR="00F6647C" w:rsidRPr="00F6647C" w:rsidRDefault="00F6647C" w:rsidP="00F6647C">
            <w:pPr>
              <w:spacing w:after="0" w:line="360" w:lineRule="auto"/>
              <w:jc w:val="center"/>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Interpretation</w:t>
            </w:r>
          </w:p>
        </w:tc>
      </w:tr>
      <w:tr w:rsidR="00F6647C" w:rsidRPr="00F6647C" w14:paraId="4B68357D" w14:textId="77777777" w:rsidTr="00F6647C">
        <w:trPr>
          <w:trHeight w:val="834"/>
        </w:trPr>
        <w:tc>
          <w:tcPr>
            <w:tcW w:w="1730" w:type="dxa"/>
            <w:tcBorders>
              <w:top w:val="nil"/>
              <w:left w:val="single" w:sz="4" w:space="0" w:color="auto"/>
              <w:bottom w:val="single" w:sz="4" w:space="0" w:color="auto"/>
              <w:right w:val="single" w:sz="4" w:space="0" w:color="auto"/>
            </w:tcBorders>
            <w:vAlign w:val="center"/>
            <w:hideMark/>
          </w:tcPr>
          <w:p w14:paraId="66DB5794" w14:textId="77777777" w:rsidR="00F6647C" w:rsidRPr="00F6647C" w:rsidRDefault="00F6647C" w:rsidP="00F6647C">
            <w:pPr>
              <w:spacing w:after="0" w:line="360" w:lineRule="auto"/>
              <w:jc w:val="right"/>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2020</w:t>
            </w:r>
          </w:p>
        </w:tc>
        <w:tc>
          <w:tcPr>
            <w:tcW w:w="2667" w:type="dxa"/>
            <w:tcBorders>
              <w:top w:val="nil"/>
              <w:left w:val="nil"/>
              <w:bottom w:val="single" w:sz="4" w:space="0" w:color="auto"/>
              <w:right w:val="single" w:sz="4" w:space="0" w:color="auto"/>
            </w:tcBorders>
            <w:vAlign w:val="center"/>
            <w:hideMark/>
          </w:tcPr>
          <w:p w14:paraId="07BBB1BE"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+90 days</w:t>
            </w:r>
          </w:p>
        </w:tc>
        <w:tc>
          <w:tcPr>
            <w:tcW w:w="2811" w:type="dxa"/>
            <w:tcBorders>
              <w:top w:val="nil"/>
              <w:left w:val="nil"/>
              <w:bottom w:val="single" w:sz="4" w:space="0" w:color="auto"/>
              <w:right w:val="single" w:sz="4" w:space="0" w:color="auto"/>
            </w:tcBorders>
            <w:vAlign w:val="center"/>
            <w:hideMark/>
          </w:tcPr>
          <w:p w14:paraId="469E8BDB"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Slow cash cycle, capital tied up</w:t>
            </w:r>
          </w:p>
        </w:tc>
      </w:tr>
      <w:tr w:rsidR="00F6647C" w:rsidRPr="00F6647C" w14:paraId="7E2D5873" w14:textId="77777777" w:rsidTr="00F6647C">
        <w:trPr>
          <w:trHeight w:val="556"/>
        </w:trPr>
        <w:tc>
          <w:tcPr>
            <w:tcW w:w="1730" w:type="dxa"/>
            <w:tcBorders>
              <w:top w:val="nil"/>
              <w:left w:val="single" w:sz="4" w:space="0" w:color="auto"/>
              <w:bottom w:val="single" w:sz="4" w:space="0" w:color="auto"/>
              <w:right w:val="single" w:sz="4" w:space="0" w:color="auto"/>
            </w:tcBorders>
            <w:vAlign w:val="center"/>
            <w:hideMark/>
          </w:tcPr>
          <w:p w14:paraId="77D8C995" w14:textId="77777777" w:rsidR="00F6647C" w:rsidRPr="00F6647C" w:rsidRDefault="00F6647C" w:rsidP="00F6647C">
            <w:pPr>
              <w:spacing w:after="0" w:line="360" w:lineRule="auto"/>
              <w:jc w:val="right"/>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2021</w:t>
            </w:r>
          </w:p>
        </w:tc>
        <w:tc>
          <w:tcPr>
            <w:tcW w:w="2667" w:type="dxa"/>
            <w:tcBorders>
              <w:top w:val="nil"/>
              <w:left w:val="nil"/>
              <w:bottom w:val="single" w:sz="4" w:space="0" w:color="auto"/>
              <w:right w:val="single" w:sz="4" w:space="0" w:color="auto"/>
            </w:tcBorders>
            <w:vAlign w:val="center"/>
            <w:hideMark/>
          </w:tcPr>
          <w:p w14:paraId="52BA5CC7"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+38 days</w:t>
            </w:r>
          </w:p>
        </w:tc>
        <w:tc>
          <w:tcPr>
            <w:tcW w:w="2811" w:type="dxa"/>
            <w:tcBorders>
              <w:top w:val="nil"/>
              <w:left w:val="nil"/>
              <w:bottom w:val="single" w:sz="4" w:space="0" w:color="auto"/>
              <w:right w:val="single" w:sz="4" w:space="0" w:color="auto"/>
            </w:tcBorders>
            <w:vAlign w:val="center"/>
            <w:hideMark/>
          </w:tcPr>
          <w:p w14:paraId="52861DAD"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Improving efficiency</w:t>
            </w:r>
          </w:p>
        </w:tc>
      </w:tr>
      <w:tr w:rsidR="00F6647C" w:rsidRPr="00F6647C" w14:paraId="222B0573" w14:textId="77777777" w:rsidTr="00F6647C">
        <w:trPr>
          <w:trHeight w:val="556"/>
        </w:trPr>
        <w:tc>
          <w:tcPr>
            <w:tcW w:w="1730" w:type="dxa"/>
            <w:tcBorders>
              <w:top w:val="nil"/>
              <w:left w:val="single" w:sz="4" w:space="0" w:color="auto"/>
              <w:bottom w:val="single" w:sz="4" w:space="0" w:color="auto"/>
              <w:right w:val="single" w:sz="4" w:space="0" w:color="auto"/>
            </w:tcBorders>
            <w:vAlign w:val="center"/>
            <w:hideMark/>
          </w:tcPr>
          <w:p w14:paraId="2CA7357B" w14:textId="77777777" w:rsidR="00F6647C" w:rsidRPr="00F6647C" w:rsidRDefault="00F6647C" w:rsidP="00F6647C">
            <w:pPr>
              <w:spacing w:after="0" w:line="360" w:lineRule="auto"/>
              <w:jc w:val="right"/>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2022</w:t>
            </w:r>
          </w:p>
        </w:tc>
        <w:tc>
          <w:tcPr>
            <w:tcW w:w="2667" w:type="dxa"/>
            <w:tcBorders>
              <w:top w:val="nil"/>
              <w:left w:val="nil"/>
              <w:bottom w:val="single" w:sz="4" w:space="0" w:color="auto"/>
              <w:right w:val="single" w:sz="4" w:space="0" w:color="auto"/>
            </w:tcBorders>
            <w:vAlign w:val="center"/>
            <w:hideMark/>
          </w:tcPr>
          <w:p w14:paraId="25BB7359"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–1 day</w:t>
            </w:r>
          </w:p>
        </w:tc>
        <w:tc>
          <w:tcPr>
            <w:tcW w:w="2811" w:type="dxa"/>
            <w:tcBorders>
              <w:top w:val="nil"/>
              <w:left w:val="nil"/>
              <w:bottom w:val="single" w:sz="4" w:space="0" w:color="auto"/>
              <w:right w:val="single" w:sz="4" w:space="0" w:color="auto"/>
            </w:tcBorders>
            <w:vAlign w:val="center"/>
            <w:hideMark/>
          </w:tcPr>
          <w:p w14:paraId="2344D1A2"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Break-even cycle</w:t>
            </w:r>
          </w:p>
        </w:tc>
      </w:tr>
      <w:tr w:rsidR="00F6647C" w:rsidRPr="00F6647C" w14:paraId="2580289D" w14:textId="77777777" w:rsidTr="00F6647C">
        <w:trPr>
          <w:trHeight w:val="556"/>
        </w:trPr>
        <w:tc>
          <w:tcPr>
            <w:tcW w:w="1730" w:type="dxa"/>
            <w:tcBorders>
              <w:top w:val="nil"/>
              <w:left w:val="single" w:sz="4" w:space="0" w:color="auto"/>
              <w:bottom w:val="single" w:sz="4" w:space="0" w:color="auto"/>
              <w:right w:val="single" w:sz="4" w:space="0" w:color="auto"/>
            </w:tcBorders>
            <w:vAlign w:val="center"/>
            <w:hideMark/>
          </w:tcPr>
          <w:p w14:paraId="677CDF32" w14:textId="77777777" w:rsidR="00F6647C" w:rsidRPr="00F6647C" w:rsidRDefault="00F6647C" w:rsidP="00F6647C">
            <w:pPr>
              <w:spacing w:after="0" w:line="360" w:lineRule="auto"/>
              <w:jc w:val="right"/>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2023</w:t>
            </w:r>
          </w:p>
        </w:tc>
        <w:tc>
          <w:tcPr>
            <w:tcW w:w="2667" w:type="dxa"/>
            <w:tcBorders>
              <w:top w:val="nil"/>
              <w:left w:val="nil"/>
              <w:bottom w:val="single" w:sz="4" w:space="0" w:color="auto"/>
              <w:right w:val="single" w:sz="4" w:space="0" w:color="auto"/>
            </w:tcBorders>
            <w:vAlign w:val="center"/>
            <w:hideMark/>
          </w:tcPr>
          <w:p w14:paraId="3C8B79E0"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–24 days</w:t>
            </w:r>
          </w:p>
        </w:tc>
        <w:tc>
          <w:tcPr>
            <w:tcW w:w="2811" w:type="dxa"/>
            <w:tcBorders>
              <w:top w:val="nil"/>
              <w:left w:val="nil"/>
              <w:bottom w:val="single" w:sz="4" w:space="0" w:color="auto"/>
              <w:right w:val="single" w:sz="4" w:space="0" w:color="auto"/>
            </w:tcBorders>
            <w:vAlign w:val="center"/>
            <w:hideMark/>
          </w:tcPr>
          <w:p w14:paraId="4DCF51C1"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Negative CCC begins</w:t>
            </w:r>
          </w:p>
        </w:tc>
      </w:tr>
      <w:tr w:rsidR="00F6647C" w:rsidRPr="00F6647C" w14:paraId="7849FAFA" w14:textId="77777777" w:rsidTr="00F6647C">
        <w:trPr>
          <w:trHeight w:val="556"/>
        </w:trPr>
        <w:tc>
          <w:tcPr>
            <w:tcW w:w="1730" w:type="dxa"/>
            <w:tcBorders>
              <w:top w:val="nil"/>
              <w:left w:val="single" w:sz="4" w:space="0" w:color="auto"/>
              <w:bottom w:val="single" w:sz="4" w:space="0" w:color="auto"/>
              <w:right w:val="single" w:sz="4" w:space="0" w:color="auto"/>
            </w:tcBorders>
            <w:vAlign w:val="center"/>
            <w:hideMark/>
          </w:tcPr>
          <w:p w14:paraId="40A2DE29" w14:textId="77777777" w:rsidR="00F6647C" w:rsidRPr="00F6647C" w:rsidRDefault="00F6647C" w:rsidP="00F6647C">
            <w:pPr>
              <w:spacing w:after="0" w:line="360" w:lineRule="auto"/>
              <w:jc w:val="right"/>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2024</w:t>
            </w:r>
          </w:p>
        </w:tc>
        <w:tc>
          <w:tcPr>
            <w:tcW w:w="2667" w:type="dxa"/>
            <w:tcBorders>
              <w:top w:val="nil"/>
              <w:left w:val="nil"/>
              <w:bottom w:val="single" w:sz="4" w:space="0" w:color="auto"/>
              <w:right w:val="single" w:sz="4" w:space="0" w:color="auto"/>
            </w:tcBorders>
            <w:vAlign w:val="center"/>
            <w:hideMark/>
          </w:tcPr>
          <w:p w14:paraId="43319D8A"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–35 days</w:t>
            </w:r>
          </w:p>
        </w:tc>
        <w:tc>
          <w:tcPr>
            <w:tcW w:w="2811" w:type="dxa"/>
            <w:tcBorders>
              <w:top w:val="nil"/>
              <w:left w:val="nil"/>
              <w:bottom w:val="single" w:sz="4" w:space="0" w:color="auto"/>
              <w:right w:val="single" w:sz="4" w:space="0" w:color="auto"/>
            </w:tcBorders>
            <w:vAlign w:val="center"/>
            <w:hideMark/>
          </w:tcPr>
          <w:p w14:paraId="61759E62" w14:textId="77777777" w:rsidR="00F6647C" w:rsidRPr="00F6647C" w:rsidRDefault="00F6647C" w:rsidP="00F6647C">
            <w:pPr>
              <w:spacing w:after="0" w:line="360" w:lineRule="auto"/>
              <w:rPr>
                <w:rFonts w:ascii="Arial" w:eastAsia="Times New Roman" w:hAnsi="Arial" w:cs="Arial"/>
                <w:color w:val="000000"/>
                <w:kern w:val="0"/>
                <w:lang w:eastAsia="en-IN"/>
                <w14:ligatures w14:val="none"/>
              </w:rPr>
            </w:pPr>
            <w:r w:rsidRPr="00F6647C">
              <w:rPr>
                <w:rFonts w:ascii="Arial" w:eastAsia="Times New Roman" w:hAnsi="Arial" w:cs="Arial"/>
                <w:color w:val="000000"/>
                <w:kern w:val="0"/>
                <w:lang w:eastAsia="en-IN"/>
                <w14:ligatures w14:val="none"/>
              </w:rPr>
              <w:t>Strong supplier-financed model</w:t>
            </w:r>
          </w:p>
        </w:tc>
      </w:tr>
    </w:tbl>
    <w:p w14:paraId="421C2AFB" w14:textId="77777777" w:rsidR="00F6647C" w:rsidRDefault="00F6647C" w:rsidP="004A4C26">
      <w:pPr>
        <w:spacing w:line="360" w:lineRule="auto"/>
        <w:jc w:val="both"/>
        <w:rPr>
          <w:rFonts w:ascii="Arial" w:hAnsi="Arial" w:cs="Arial"/>
          <w:sz w:val="24"/>
          <w:szCs w:val="24"/>
        </w:rPr>
      </w:pPr>
    </w:p>
    <w:p w14:paraId="3A856D68" w14:textId="77777777" w:rsidR="00445906" w:rsidRPr="00445906" w:rsidRDefault="00445906" w:rsidP="00445906">
      <w:pPr>
        <w:spacing w:line="360" w:lineRule="auto"/>
        <w:jc w:val="both"/>
        <w:rPr>
          <w:rFonts w:ascii="Arial" w:hAnsi="Arial" w:cs="Arial"/>
          <w:sz w:val="24"/>
          <w:szCs w:val="24"/>
        </w:rPr>
      </w:pPr>
      <w:r>
        <w:rPr>
          <w:rFonts w:ascii="Arial" w:hAnsi="Arial" w:cs="Arial"/>
          <w:sz w:val="24"/>
          <w:szCs w:val="24"/>
        </w:rPr>
        <w:tab/>
      </w:r>
      <w:r w:rsidRPr="00445906">
        <w:rPr>
          <w:rFonts w:ascii="Arial" w:hAnsi="Arial" w:cs="Arial"/>
          <w:sz w:val="24"/>
          <w:szCs w:val="24"/>
        </w:rPr>
        <w:t xml:space="preserve">One of the most significant but very concise measures of the efficiency of working capital of BYD Company Limited in the 2020-2024 period is the cash conversion cycle (CCC). The company features definite and planned change in the working cycle, with the CCC decreasing by some -35 days in 2024, in comparison to +90 days in 2020. Such a </w:t>
      </w:r>
      <w:proofErr w:type="spellStart"/>
      <w:r w:rsidRPr="00445906">
        <w:rPr>
          <w:rFonts w:ascii="Arial" w:hAnsi="Arial" w:cs="Arial"/>
          <w:sz w:val="24"/>
          <w:szCs w:val="24"/>
        </w:rPr>
        <w:t>decremental</w:t>
      </w:r>
      <w:proofErr w:type="spellEnd"/>
      <w:r w:rsidRPr="00445906">
        <w:rPr>
          <w:rFonts w:ascii="Arial" w:hAnsi="Arial" w:cs="Arial"/>
          <w:sz w:val="24"/>
          <w:szCs w:val="24"/>
        </w:rPr>
        <w:t xml:space="preserve"> trend is indicative of the turning of a traditional, capital- and cash-absorbing model, in which cash is locked away in operation, to a very efficient, liquidity-promoting framework.</w:t>
      </w:r>
    </w:p>
    <w:p w14:paraId="2BC301BA" w14:textId="2D729355" w:rsidR="00445906" w:rsidRPr="00445906" w:rsidRDefault="00445906" w:rsidP="00445906">
      <w:pPr>
        <w:spacing w:line="360" w:lineRule="auto"/>
        <w:jc w:val="both"/>
        <w:rPr>
          <w:rFonts w:ascii="Arial" w:hAnsi="Arial" w:cs="Arial"/>
          <w:sz w:val="24"/>
          <w:szCs w:val="24"/>
        </w:rPr>
      </w:pPr>
      <w:r w:rsidRPr="00445906">
        <w:rPr>
          <w:rFonts w:ascii="Arial" w:hAnsi="Arial" w:cs="Arial"/>
          <w:sz w:val="24"/>
          <w:szCs w:val="24"/>
        </w:rPr>
        <w:t>In 2020</w:t>
      </w:r>
      <w:r w:rsidR="000500C1">
        <w:rPr>
          <w:rFonts w:ascii="Arial" w:hAnsi="Arial" w:cs="Arial"/>
          <w:sz w:val="24"/>
          <w:szCs w:val="24"/>
        </w:rPr>
        <w:t>,</w:t>
      </w:r>
      <w:r w:rsidRPr="00445906">
        <w:rPr>
          <w:rFonts w:ascii="Arial" w:hAnsi="Arial" w:cs="Arial"/>
          <w:sz w:val="24"/>
          <w:szCs w:val="24"/>
        </w:rPr>
        <w:t xml:space="preserve"> a CCC of 90 days suggests that BYD needed almost three months to turn its investment in operations into cash, which means that it experiences high working capital pressures. The improvement of the cycle on average to approximately 38 days by 2021 is an indication of early efficiency. The </w:t>
      </w:r>
      <w:r w:rsidR="00C53026">
        <w:rPr>
          <w:rFonts w:ascii="Arial" w:hAnsi="Arial" w:cs="Arial"/>
          <w:sz w:val="24"/>
          <w:szCs w:val="24"/>
        </w:rPr>
        <w:t>break-even</w:t>
      </w:r>
      <w:r w:rsidRPr="00445906">
        <w:rPr>
          <w:rFonts w:ascii="Arial" w:hAnsi="Arial" w:cs="Arial"/>
          <w:sz w:val="24"/>
          <w:szCs w:val="24"/>
        </w:rPr>
        <w:t xml:space="preserve"> point is in 2022 when the CCC is marginally negative (–1 day)</w:t>
      </w:r>
      <w:r w:rsidR="00C53026">
        <w:rPr>
          <w:rFonts w:ascii="Arial" w:hAnsi="Arial" w:cs="Arial"/>
          <w:sz w:val="24"/>
          <w:szCs w:val="24"/>
        </w:rPr>
        <w:t>,</w:t>
      </w:r>
      <w:r w:rsidRPr="00445906">
        <w:rPr>
          <w:rFonts w:ascii="Arial" w:hAnsi="Arial" w:cs="Arial"/>
          <w:sz w:val="24"/>
          <w:szCs w:val="24"/>
        </w:rPr>
        <w:t xml:space="preserve"> pointing out </w:t>
      </w:r>
      <w:r w:rsidR="00C53026">
        <w:rPr>
          <w:rFonts w:ascii="Arial" w:hAnsi="Arial" w:cs="Arial"/>
          <w:sz w:val="24"/>
          <w:szCs w:val="24"/>
        </w:rPr>
        <w:t xml:space="preserve">that </w:t>
      </w:r>
      <w:r w:rsidRPr="00445906">
        <w:rPr>
          <w:rFonts w:ascii="Arial" w:hAnsi="Arial" w:cs="Arial"/>
          <w:sz w:val="24"/>
          <w:szCs w:val="24"/>
        </w:rPr>
        <w:t>the operational cash inflows and outflows almost coincide with each other. This trend only increases in 2023 and 2024 to CCC of -24 and -35 days</w:t>
      </w:r>
      <w:r w:rsidR="00C53026">
        <w:rPr>
          <w:rFonts w:ascii="Arial" w:hAnsi="Arial" w:cs="Arial"/>
          <w:sz w:val="24"/>
          <w:szCs w:val="24"/>
        </w:rPr>
        <w:t>,</w:t>
      </w:r>
      <w:r w:rsidRPr="00445906">
        <w:rPr>
          <w:rFonts w:ascii="Arial" w:hAnsi="Arial" w:cs="Arial"/>
          <w:sz w:val="24"/>
          <w:szCs w:val="24"/>
        </w:rPr>
        <w:t xml:space="preserve"> respectively.</w:t>
      </w:r>
    </w:p>
    <w:p w14:paraId="73261954" w14:textId="0010A364" w:rsidR="00445906" w:rsidRPr="00445906" w:rsidRDefault="00445906" w:rsidP="00445906">
      <w:pPr>
        <w:spacing w:line="360" w:lineRule="auto"/>
        <w:jc w:val="both"/>
        <w:rPr>
          <w:rFonts w:ascii="Arial" w:hAnsi="Arial" w:cs="Arial"/>
          <w:sz w:val="24"/>
          <w:szCs w:val="24"/>
        </w:rPr>
      </w:pPr>
      <w:r w:rsidRPr="00445906">
        <w:rPr>
          <w:rFonts w:ascii="Arial" w:hAnsi="Arial" w:cs="Arial"/>
          <w:sz w:val="24"/>
          <w:szCs w:val="24"/>
        </w:rPr>
        <w:t xml:space="preserve">A negative CCC is one characteristic of good operational efficiency, as it suggests that customers get money </w:t>
      </w:r>
      <w:r w:rsidR="000500C1">
        <w:rPr>
          <w:rFonts w:ascii="Arial" w:hAnsi="Arial" w:cs="Arial"/>
          <w:sz w:val="24"/>
          <w:szCs w:val="24"/>
        </w:rPr>
        <w:t>from</w:t>
      </w:r>
      <w:r w:rsidRPr="00445906">
        <w:rPr>
          <w:rFonts w:ascii="Arial" w:hAnsi="Arial" w:cs="Arial"/>
          <w:sz w:val="24"/>
          <w:szCs w:val="24"/>
        </w:rPr>
        <w:t xml:space="preserve"> the company before suppliers are paid. This can greatly boost liquidity, lessen the necessity to finance it with external resources, and aid aggressive growth policies. But even though the CCC has </w:t>
      </w:r>
      <w:r w:rsidR="00C53026">
        <w:rPr>
          <w:rFonts w:ascii="Arial" w:hAnsi="Arial" w:cs="Arial"/>
          <w:sz w:val="24"/>
          <w:szCs w:val="24"/>
        </w:rPr>
        <w:t>been</w:t>
      </w:r>
      <w:r w:rsidRPr="00445906">
        <w:rPr>
          <w:rFonts w:ascii="Arial" w:hAnsi="Arial" w:cs="Arial"/>
          <w:sz w:val="24"/>
          <w:szCs w:val="24"/>
        </w:rPr>
        <w:t xml:space="preserve"> declining</w:t>
      </w:r>
      <w:r w:rsidR="00C53026">
        <w:rPr>
          <w:rFonts w:ascii="Arial" w:hAnsi="Arial" w:cs="Arial"/>
          <w:sz w:val="24"/>
          <w:szCs w:val="24"/>
        </w:rPr>
        <w:t>,</w:t>
      </w:r>
      <w:r w:rsidRPr="00445906">
        <w:rPr>
          <w:rFonts w:ascii="Arial" w:hAnsi="Arial" w:cs="Arial"/>
          <w:sz w:val="24"/>
          <w:szCs w:val="24"/>
        </w:rPr>
        <w:t xml:space="preserve"> reflecting better cash management, it brings about structural dependency on supplier credit.</w:t>
      </w:r>
    </w:p>
    <w:p w14:paraId="7DD607AF" w14:textId="55CEAD4C" w:rsidR="00C871D0" w:rsidRPr="00555AB8" w:rsidRDefault="001A53B8" w:rsidP="00794E1D">
      <w:pPr>
        <w:pStyle w:val="Heading2"/>
        <w:rPr>
          <w:rFonts w:ascii="Arial" w:hAnsi="Arial" w:cs="Arial"/>
          <w:b/>
          <w:bCs/>
          <w:i/>
          <w:iCs/>
          <w:sz w:val="24"/>
          <w:szCs w:val="24"/>
          <w:u w:val="single"/>
        </w:rPr>
      </w:pPr>
      <w:bookmarkStart w:id="12" w:name="_Toc227767956"/>
      <w:r w:rsidRPr="00555AB8">
        <w:rPr>
          <w:rFonts w:ascii="Arial" w:hAnsi="Arial" w:cs="Arial"/>
          <w:b/>
          <w:bCs/>
          <w:i/>
          <w:iCs/>
          <w:sz w:val="24"/>
          <w:szCs w:val="24"/>
          <w:u w:val="single"/>
        </w:rPr>
        <w:t>Working Capital Reforms and Liquidity Enhancement Strategies</w:t>
      </w:r>
      <w:bookmarkEnd w:id="12"/>
    </w:p>
    <w:p w14:paraId="0FF76336" w14:textId="420F344C" w:rsidR="000500C1" w:rsidRPr="000500C1" w:rsidRDefault="000500C1" w:rsidP="000500C1">
      <w:pPr>
        <w:spacing w:line="360" w:lineRule="auto"/>
        <w:jc w:val="both"/>
        <w:rPr>
          <w:rFonts w:ascii="Arial" w:hAnsi="Arial" w:cs="Arial"/>
          <w:sz w:val="24"/>
          <w:szCs w:val="24"/>
        </w:rPr>
      </w:pPr>
      <w:r>
        <w:rPr>
          <w:rFonts w:ascii="Arial" w:hAnsi="Arial" w:cs="Arial"/>
          <w:sz w:val="24"/>
          <w:szCs w:val="24"/>
        </w:rPr>
        <w:tab/>
      </w:r>
      <w:r w:rsidRPr="000500C1">
        <w:rPr>
          <w:rFonts w:ascii="Arial" w:hAnsi="Arial" w:cs="Arial"/>
          <w:sz w:val="24"/>
          <w:szCs w:val="24"/>
        </w:rPr>
        <w:t>To enhance liquidity resilience and retain high growth, BYD Company Limited should implement specific, firm-specific working capital reforms, instead of generic efficiency. Since BYD has a vertically integrated organization, especially in terms of its locally produced battery (Blade Battery) and semiconductor, the company has strong control of the upstream supply chain. This presents a special chance to introduce coordinated production planning between the battery and component assemblies and vehicle assemblies. Offering real-time data about production by synchronizing the internal supply cycles makes it possible to reduce inter-division inventory reserves and reduce the amount of capital that is locked up in work-in-progress inventory instead of simply utilizing the conventional just-in-time (JIT) methods.</w:t>
      </w:r>
    </w:p>
    <w:p w14:paraId="593A66CB" w14:textId="27AC724F" w:rsidR="00EE3396" w:rsidRPr="00555AB8" w:rsidRDefault="000500C1" w:rsidP="000500C1">
      <w:pPr>
        <w:spacing w:line="360" w:lineRule="auto"/>
        <w:jc w:val="both"/>
        <w:rPr>
          <w:rFonts w:ascii="Arial" w:hAnsi="Arial" w:cs="Arial"/>
          <w:sz w:val="24"/>
          <w:szCs w:val="24"/>
        </w:rPr>
      </w:pPr>
      <w:r w:rsidRPr="000500C1">
        <w:rPr>
          <w:rFonts w:ascii="Arial" w:hAnsi="Arial" w:cs="Arial"/>
          <w:sz w:val="24"/>
          <w:szCs w:val="24"/>
        </w:rPr>
        <w:t>Further, the fast global growth of BYD in Europe, Latin America</w:t>
      </w:r>
      <w:r w:rsidR="00FA6F5D">
        <w:rPr>
          <w:rFonts w:ascii="Arial" w:hAnsi="Arial" w:cs="Arial"/>
          <w:sz w:val="24"/>
          <w:szCs w:val="24"/>
        </w:rPr>
        <w:t>,</w:t>
      </w:r>
      <w:r w:rsidRPr="000500C1">
        <w:rPr>
          <w:rFonts w:ascii="Arial" w:hAnsi="Arial" w:cs="Arial"/>
          <w:sz w:val="24"/>
          <w:szCs w:val="24"/>
        </w:rPr>
        <w:t xml:space="preserve"> and Southeast Asia also brings variability in the receivable’s cycles, as some jurisdictions have different dealer networks and different regulations</w:t>
      </w:r>
      <w:r>
        <w:rPr>
          <w:rFonts w:ascii="Arial" w:hAnsi="Arial" w:cs="Arial"/>
          <w:sz w:val="24"/>
          <w:szCs w:val="24"/>
        </w:rPr>
        <w:t xml:space="preserve"> </w:t>
      </w:r>
      <w:r w:rsidRPr="00555AB8">
        <w:rPr>
          <w:rFonts w:ascii="Arial" w:hAnsi="Arial" w:cs="Arial"/>
          <w:sz w:val="24"/>
          <w:szCs w:val="24"/>
        </w:rPr>
        <w:t>(Wang, He</w:t>
      </w:r>
      <w:r>
        <w:rPr>
          <w:rFonts w:ascii="Arial" w:hAnsi="Arial" w:cs="Arial"/>
          <w:sz w:val="24"/>
          <w:szCs w:val="24"/>
        </w:rPr>
        <w:t>,</w:t>
      </w:r>
      <w:r w:rsidRPr="00555AB8">
        <w:rPr>
          <w:rFonts w:ascii="Arial" w:hAnsi="Arial" w:cs="Arial"/>
          <w:sz w:val="24"/>
          <w:szCs w:val="24"/>
        </w:rPr>
        <w:t xml:space="preserve"> and Yang, </w:t>
      </w:r>
      <w:proofErr w:type="spellStart"/>
      <w:r w:rsidRPr="00555AB8">
        <w:rPr>
          <w:rFonts w:ascii="Arial" w:hAnsi="Arial" w:cs="Arial"/>
          <w:sz w:val="24"/>
          <w:szCs w:val="24"/>
        </w:rPr>
        <w:t>n.d.</w:t>
      </w:r>
      <w:proofErr w:type="spellEnd"/>
      <w:r w:rsidRPr="00555AB8">
        <w:rPr>
          <w:rFonts w:ascii="Arial" w:hAnsi="Arial" w:cs="Arial"/>
          <w:sz w:val="24"/>
          <w:szCs w:val="24"/>
        </w:rPr>
        <w:t>)</w:t>
      </w:r>
      <w:r w:rsidRPr="000500C1">
        <w:rPr>
          <w:rFonts w:ascii="Arial" w:hAnsi="Arial" w:cs="Arial"/>
          <w:sz w:val="24"/>
          <w:szCs w:val="24"/>
        </w:rPr>
        <w:t>. To counter this, the firm ought to implement area-specific online receivables systems, which incorporate an automated invoicing framework, credit ratings, and dynamic discount models. This would lead to faster collection and also be competitive in various markets.</w:t>
      </w:r>
    </w:p>
    <w:p w14:paraId="65D4A61D" w14:textId="398F6D73" w:rsidR="00A95DAA" w:rsidRPr="00555AB8" w:rsidRDefault="00A95DAA" w:rsidP="00794E1D">
      <w:pPr>
        <w:pStyle w:val="Heading2"/>
        <w:rPr>
          <w:rFonts w:ascii="Arial" w:hAnsi="Arial" w:cs="Arial"/>
          <w:b/>
          <w:bCs/>
          <w:i/>
          <w:iCs/>
          <w:sz w:val="24"/>
          <w:szCs w:val="24"/>
          <w:u w:val="single"/>
        </w:rPr>
      </w:pPr>
      <w:bookmarkStart w:id="13" w:name="_Toc227767957"/>
      <w:r w:rsidRPr="00555AB8">
        <w:rPr>
          <w:rFonts w:ascii="Arial" w:hAnsi="Arial" w:cs="Arial"/>
          <w:b/>
          <w:bCs/>
          <w:i/>
          <w:iCs/>
          <w:sz w:val="24"/>
          <w:szCs w:val="24"/>
          <w:u w:val="single"/>
        </w:rPr>
        <w:t>Short-Term vs Long-Term Financing: Strategic Implications</w:t>
      </w:r>
      <w:bookmarkEnd w:id="13"/>
    </w:p>
    <w:p w14:paraId="3E5821BA" w14:textId="2AAB9F01" w:rsidR="00B10BAE" w:rsidRPr="00B10BAE" w:rsidRDefault="00A95DAA" w:rsidP="00B10BAE">
      <w:pPr>
        <w:spacing w:line="360" w:lineRule="auto"/>
        <w:jc w:val="both"/>
        <w:rPr>
          <w:rFonts w:ascii="Arial" w:hAnsi="Arial" w:cs="Arial"/>
          <w:sz w:val="24"/>
          <w:szCs w:val="24"/>
        </w:rPr>
      </w:pPr>
      <w:r w:rsidRPr="00555AB8">
        <w:rPr>
          <w:rFonts w:ascii="Arial" w:hAnsi="Arial" w:cs="Arial"/>
          <w:sz w:val="24"/>
          <w:szCs w:val="24"/>
        </w:rPr>
        <w:tab/>
      </w:r>
      <w:r w:rsidR="00B10BAE" w:rsidRPr="00B10BAE">
        <w:rPr>
          <w:rFonts w:ascii="Arial" w:hAnsi="Arial" w:cs="Arial"/>
          <w:sz w:val="24"/>
          <w:szCs w:val="24"/>
        </w:rPr>
        <w:t>Capital structure of BYD Company Limited shows an evident change in the strategic direction of domination of short-term financing in 202023.</w:t>
      </w:r>
    </w:p>
    <w:p w14:paraId="5612BA28" w14:textId="048B000B" w:rsidR="00B10BAE" w:rsidRPr="00B10BAE" w:rsidRDefault="00B10BAE" w:rsidP="00B10BAE">
      <w:pPr>
        <w:spacing w:line="360" w:lineRule="auto"/>
        <w:jc w:val="both"/>
        <w:rPr>
          <w:rFonts w:ascii="Arial" w:hAnsi="Arial" w:cs="Arial"/>
          <w:sz w:val="24"/>
          <w:szCs w:val="24"/>
        </w:rPr>
      </w:pPr>
      <w:r w:rsidRPr="00B10BAE">
        <w:rPr>
          <w:rFonts w:ascii="Arial" w:hAnsi="Arial" w:cs="Arial"/>
          <w:sz w:val="24"/>
          <w:szCs w:val="24"/>
        </w:rPr>
        <w:t xml:space="preserve">There were short-term </w:t>
      </w:r>
      <w:r>
        <w:rPr>
          <w:rFonts w:ascii="Arial" w:hAnsi="Arial" w:cs="Arial"/>
          <w:sz w:val="24"/>
          <w:szCs w:val="24"/>
        </w:rPr>
        <w:t>interest-bearing</w:t>
      </w:r>
      <w:r w:rsidRPr="00B10BAE">
        <w:rPr>
          <w:rFonts w:ascii="Arial" w:hAnsi="Arial" w:cs="Arial"/>
          <w:sz w:val="24"/>
          <w:szCs w:val="24"/>
        </w:rPr>
        <w:t xml:space="preserve"> borrowings of RMB 22.94 billion as of 2021 and </w:t>
      </w:r>
      <w:r>
        <w:rPr>
          <w:rFonts w:ascii="Arial" w:hAnsi="Arial" w:cs="Arial"/>
          <w:sz w:val="24"/>
          <w:szCs w:val="24"/>
        </w:rPr>
        <w:t>long-term</w:t>
      </w:r>
      <w:r w:rsidRPr="00B10BAE">
        <w:rPr>
          <w:rFonts w:ascii="Arial" w:hAnsi="Arial" w:cs="Arial"/>
          <w:sz w:val="24"/>
          <w:szCs w:val="24"/>
        </w:rPr>
        <w:t xml:space="preserve"> borrowings of RMB 10.79 billion, which respectively represent already skewed </w:t>
      </w:r>
      <w:r>
        <w:rPr>
          <w:rFonts w:ascii="Arial" w:hAnsi="Arial" w:cs="Arial"/>
          <w:sz w:val="24"/>
          <w:szCs w:val="24"/>
        </w:rPr>
        <w:t>short-term</w:t>
      </w:r>
      <w:r w:rsidRPr="00B10BAE">
        <w:rPr>
          <w:rFonts w:ascii="Arial" w:hAnsi="Arial" w:cs="Arial"/>
          <w:sz w:val="24"/>
          <w:szCs w:val="24"/>
        </w:rPr>
        <w:t xml:space="preserve"> intermediaries. This trend is more accentuated in 2023, when the short-term borrowings soared to RMB 18.32 billion (as compared with RMB 5.15 billion in 2022), but long-term borrowings grew </w:t>
      </w:r>
      <w:r>
        <w:rPr>
          <w:rFonts w:ascii="Arial" w:hAnsi="Arial" w:cs="Arial"/>
          <w:sz w:val="24"/>
          <w:szCs w:val="24"/>
        </w:rPr>
        <w:t>to</w:t>
      </w:r>
      <w:r w:rsidRPr="00B10BAE">
        <w:rPr>
          <w:rFonts w:ascii="Arial" w:hAnsi="Arial" w:cs="Arial"/>
          <w:sz w:val="24"/>
          <w:szCs w:val="24"/>
        </w:rPr>
        <w:t xml:space="preserve"> a lesser extent to RMB 11.98 billion.</w:t>
      </w:r>
    </w:p>
    <w:p w14:paraId="277C655A" w14:textId="61F8A1CF" w:rsidR="00B10BAE" w:rsidRPr="00B10BAE" w:rsidRDefault="00B10BAE" w:rsidP="00B10BAE">
      <w:pPr>
        <w:spacing w:line="360" w:lineRule="auto"/>
        <w:jc w:val="both"/>
        <w:rPr>
          <w:rFonts w:ascii="Arial" w:hAnsi="Arial" w:cs="Arial"/>
          <w:sz w:val="24"/>
          <w:szCs w:val="24"/>
        </w:rPr>
      </w:pPr>
      <w:r w:rsidRPr="00B10BAE">
        <w:rPr>
          <w:rFonts w:ascii="Arial" w:hAnsi="Arial" w:cs="Arial"/>
          <w:sz w:val="24"/>
          <w:szCs w:val="24"/>
        </w:rPr>
        <w:t xml:space="preserve">This deviation underscores the dependency of BYD on flexible, less expensive short-term debts that are supplemented by an extensive non-interest-bearing obligations like trade payables (RMB 194.4 billion in 2023). The plan is consistent with the negative cash conversion cycle that enables the company to finance its operations using the supplier credit instead of long-term </w:t>
      </w:r>
      <w:r>
        <w:rPr>
          <w:rFonts w:ascii="Arial" w:hAnsi="Arial" w:cs="Arial"/>
          <w:sz w:val="24"/>
          <w:szCs w:val="24"/>
        </w:rPr>
        <w:t>financing</w:t>
      </w:r>
      <w:r w:rsidRPr="00B10BAE">
        <w:rPr>
          <w:rFonts w:ascii="Arial" w:hAnsi="Arial" w:cs="Arial"/>
          <w:sz w:val="24"/>
          <w:szCs w:val="24"/>
        </w:rPr>
        <w:t>.</w:t>
      </w:r>
    </w:p>
    <w:p w14:paraId="6A48F8D9" w14:textId="2C76104B" w:rsidR="00B10BAE" w:rsidRPr="00B10BAE" w:rsidRDefault="00B10BAE" w:rsidP="00B10BAE">
      <w:pPr>
        <w:spacing w:line="360" w:lineRule="auto"/>
        <w:jc w:val="both"/>
        <w:rPr>
          <w:rFonts w:ascii="Arial" w:hAnsi="Arial" w:cs="Arial"/>
          <w:sz w:val="24"/>
          <w:szCs w:val="24"/>
        </w:rPr>
      </w:pPr>
      <w:r w:rsidRPr="00B10BAE">
        <w:rPr>
          <w:rFonts w:ascii="Arial" w:hAnsi="Arial" w:cs="Arial"/>
          <w:sz w:val="24"/>
          <w:szCs w:val="24"/>
        </w:rPr>
        <w:t>Nonetheless, this structure presents refinancing and liquidity risk, with short-term obligations to be rolled over. Regarding financial theory, this somewhat contravenes the matching principle</w:t>
      </w:r>
      <w:r>
        <w:rPr>
          <w:rFonts w:ascii="Arial" w:hAnsi="Arial" w:cs="Arial"/>
          <w:sz w:val="24"/>
          <w:szCs w:val="24"/>
        </w:rPr>
        <w:t>,</w:t>
      </w:r>
      <w:r w:rsidRPr="00B10BAE">
        <w:rPr>
          <w:rFonts w:ascii="Arial" w:hAnsi="Arial" w:cs="Arial"/>
          <w:sz w:val="24"/>
          <w:szCs w:val="24"/>
        </w:rPr>
        <w:t xml:space="preserve"> which implies that the long-term assets (e.g., fixed assets of RMB 230.9 billion in 2023) must be financed by long-term funds</w:t>
      </w:r>
      <w:r>
        <w:rPr>
          <w:rFonts w:ascii="Arial" w:hAnsi="Arial" w:cs="Arial"/>
          <w:sz w:val="24"/>
          <w:szCs w:val="24"/>
        </w:rPr>
        <w:t xml:space="preserve"> </w:t>
      </w:r>
      <w:r w:rsidR="00877B4D" w:rsidRPr="00877B4D">
        <w:rPr>
          <w:rFonts w:ascii="Arial" w:hAnsi="Arial" w:cs="Arial"/>
          <w:sz w:val="24"/>
          <w:szCs w:val="24"/>
        </w:rPr>
        <w:t>(Zeng, 2024)</w:t>
      </w:r>
      <w:r w:rsidRPr="00B10BAE">
        <w:rPr>
          <w:rFonts w:ascii="Arial" w:hAnsi="Arial" w:cs="Arial"/>
          <w:sz w:val="24"/>
          <w:szCs w:val="24"/>
        </w:rPr>
        <w:t>.</w:t>
      </w:r>
    </w:p>
    <w:p w14:paraId="57A88B9B" w14:textId="0C7F7DCB" w:rsidR="00B10BAE" w:rsidRPr="00555AB8" w:rsidRDefault="00B10BAE" w:rsidP="00B10BAE">
      <w:pPr>
        <w:spacing w:line="360" w:lineRule="auto"/>
        <w:jc w:val="both"/>
        <w:rPr>
          <w:rFonts w:ascii="Arial" w:hAnsi="Arial" w:cs="Arial"/>
          <w:sz w:val="24"/>
          <w:szCs w:val="24"/>
        </w:rPr>
      </w:pPr>
      <w:r w:rsidRPr="00B10BAE">
        <w:rPr>
          <w:rFonts w:ascii="Arial" w:hAnsi="Arial" w:cs="Arial"/>
          <w:sz w:val="24"/>
          <w:szCs w:val="24"/>
        </w:rPr>
        <w:t>On the whole, although the strategy used by BYD encourages quick development and cost-effectiveness, a slow rebalancing towards long-term funding would help to boost the financial stability.</w:t>
      </w:r>
    </w:p>
    <w:p w14:paraId="316E763F" w14:textId="2A880ECB" w:rsidR="001576C4" w:rsidRPr="00555AB8" w:rsidRDefault="001576C4" w:rsidP="00794E1D">
      <w:pPr>
        <w:pStyle w:val="Heading1"/>
        <w:spacing w:line="360" w:lineRule="auto"/>
        <w:jc w:val="both"/>
        <w:rPr>
          <w:rFonts w:ascii="Arial" w:hAnsi="Arial" w:cs="Arial"/>
          <w:b/>
          <w:bCs/>
          <w:sz w:val="28"/>
          <w:szCs w:val="28"/>
        </w:rPr>
      </w:pPr>
      <w:bookmarkStart w:id="14" w:name="_Toc227767958"/>
      <w:r w:rsidRPr="00555AB8">
        <w:rPr>
          <w:rFonts w:ascii="Arial" w:hAnsi="Arial" w:cs="Arial"/>
          <w:b/>
          <w:bCs/>
          <w:sz w:val="28"/>
          <w:szCs w:val="28"/>
        </w:rPr>
        <w:t>STRATEGIC FINANCIAL RESTRUCTURING PLAN</w:t>
      </w:r>
      <w:bookmarkEnd w:id="14"/>
      <w:r w:rsidRPr="00555AB8">
        <w:rPr>
          <w:rFonts w:ascii="Arial" w:hAnsi="Arial" w:cs="Arial"/>
          <w:b/>
          <w:bCs/>
          <w:sz w:val="28"/>
          <w:szCs w:val="28"/>
        </w:rPr>
        <w:t xml:space="preserve"> </w:t>
      </w:r>
    </w:p>
    <w:p w14:paraId="2D179420" w14:textId="2F2615DE" w:rsidR="001576C4" w:rsidRPr="00555AB8" w:rsidRDefault="001576C4" w:rsidP="001576C4">
      <w:pPr>
        <w:spacing w:line="360" w:lineRule="auto"/>
        <w:jc w:val="both"/>
        <w:rPr>
          <w:rFonts w:ascii="Arial" w:hAnsi="Arial" w:cs="Arial"/>
          <w:sz w:val="24"/>
          <w:szCs w:val="24"/>
        </w:rPr>
      </w:pPr>
      <w:r w:rsidRPr="00555AB8">
        <w:rPr>
          <w:rFonts w:ascii="Arial" w:hAnsi="Arial" w:cs="Arial"/>
          <w:sz w:val="24"/>
          <w:szCs w:val="24"/>
        </w:rPr>
        <w:tab/>
      </w:r>
      <w:r w:rsidR="003F026A" w:rsidRPr="00555AB8">
        <w:rPr>
          <w:rFonts w:ascii="Arial" w:hAnsi="Arial" w:cs="Arial"/>
          <w:sz w:val="24"/>
          <w:szCs w:val="24"/>
        </w:rPr>
        <w:t xml:space="preserve">The accelerating growth of BYD in 2020-2024 has been marked by the rising liabilities, negative working capital, and the growing complexity of the operations. Although it is indicative of </w:t>
      </w:r>
      <w:r w:rsidR="00993C69" w:rsidRPr="00555AB8">
        <w:rPr>
          <w:rFonts w:ascii="Arial" w:hAnsi="Arial" w:cs="Arial"/>
          <w:sz w:val="24"/>
          <w:szCs w:val="24"/>
        </w:rPr>
        <w:t xml:space="preserve">a </w:t>
      </w:r>
      <w:r w:rsidR="003F026A" w:rsidRPr="00555AB8">
        <w:rPr>
          <w:rFonts w:ascii="Arial" w:hAnsi="Arial" w:cs="Arial"/>
          <w:sz w:val="24"/>
          <w:szCs w:val="24"/>
        </w:rPr>
        <w:t xml:space="preserve">high-growth trajectory, it also puts the firm </w:t>
      </w:r>
      <w:r w:rsidR="00993C69" w:rsidRPr="00555AB8">
        <w:rPr>
          <w:rFonts w:ascii="Arial" w:hAnsi="Arial" w:cs="Arial"/>
          <w:sz w:val="24"/>
          <w:szCs w:val="24"/>
        </w:rPr>
        <w:t>at</w:t>
      </w:r>
      <w:r w:rsidR="003F026A" w:rsidRPr="00555AB8">
        <w:rPr>
          <w:rFonts w:ascii="Arial" w:hAnsi="Arial" w:cs="Arial"/>
          <w:sz w:val="24"/>
          <w:szCs w:val="24"/>
        </w:rPr>
        <w:t xml:space="preserve"> liquidity risk, </w:t>
      </w:r>
      <w:r w:rsidR="00993C69" w:rsidRPr="00555AB8">
        <w:rPr>
          <w:rFonts w:ascii="Arial" w:hAnsi="Arial" w:cs="Arial"/>
          <w:sz w:val="24"/>
          <w:szCs w:val="24"/>
        </w:rPr>
        <w:t>dependent</w:t>
      </w:r>
      <w:r w:rsidR="003F026A" w:rsidRPr="00555AB8">
        <w:rPr>
          <w:rFonts w:ascii="Arial" w:hAnsi="Arial" w:cs="Arial"/>
          <w:sz w:val="24"/>
          <w:szCs w:val="24"/>
        </w:rPr>
        <w:t xml:space="preserve"> on the supplier and imbalance of capital structure</w:t>
      </w:r>
      <w:r w:rsidR="00147246" w:rsidRPr="00555AB8">
        <w:rPr>
          <w:rFonts w:ascii="Arial" w:hAnsi="Arial" w:cs="Arial"/>
          <w:sz w:val="24"/>
          <w:szCs w:val="24"/>
        </w:rPr>
        <w:t xml:space="preserve"> (Mme et al., 2023)</w:t>
      </w:r>
      <w:r w:rsidR="003F026A" w:rsidRPr="00555AB8">
        <w:rPr>
          <w:rFonts w:ascii="Arial" w:hAnsi="Arial" w:cs="Arial"/>
          <w:sz w:val="24"/>
          <w:szCs w:val="24"/>
        </w:rPr>
        <w:t>. It does require a strategic reorganization of finances, not only to rectify failure, but to maximize capital efficiency, and increase resilience and long-term shareholder value. The suggested restructuring will incorporate a combination of divestiture, equity strengthening, strategic alliances, and change their financial policy to meet the reality of global operation.</w:t>
      </w:r>
    </w:p>
    <w:p w14:paraId="21A3CE12" w14:textId="711DC4B5" w:rsidR="003F026A" w:rsidRPr="00555AB8" w:rsidRDefault="0014039E" w:rsidP="00794E1D">
      <w:pPr>
        <w:pStyle w:val="Heading2"/>
        <w:rPr>
          <w:rFonts w:ascii="Arial" w:hAnsi="Arial" w:cs="Arial"/>
          <w:b/>
          <w:bCs/>
          <w:i/>
          <w:iCs/>
          <w:sz w:val="24"/>
          <w:szCs w:val="24"/>
          <w:u w:val="single"/>
        </w:rPr>
      </w:pPr>
      <w:bookmarkStart w:id="15" w:name="_Toc227767959"/>
      <w:r w:rsidRPr="00555AB8">
        <w:rPr>
          <w:rFonts w:ascii="Arial" w:hAnsi="Arial" w:cs="Arial"/>
          <w:b/>
          <w:bCs/>
          <w:i/>
          <w:iCs/>
          <w:sz w:val="24"/>
          <w:szCs w:val="24"/>
          <w:u w:val="single"/>
        </w:rPr>
        <w:t>Financial Restructuring Options</w:t>
      </w:r>
      <w:bookmarkEnd w:id="15"/>
    </w:p>
    <w:p w14:paraId="6AA02DF2" w14:textId="6AC5BA7D" w:rsidR="0057762B" w:rsidRPr="001D40F5" w:rsidRDefault="0028679F" w:rsidP="001D40F5">
      <w:pPr>
        <w:pStyle w:val="ListParagraph"/>
        <w:numPr>
          <w:ilvl w:val="0"/>
          <w:numId w:val="4"/>
        </w:numPr>
        <w:spacing w:line="360" w:lineRule="auto"/>
        <w:jc w:val="both"/>
        <w:rPr>
          <w:rFonts w:ascii="Arial" w:hAnsi="Arial" w:cs="Arial"/>
          <w:sz w:val="24"/>
          <w:szCs w:val="24"/>
        </w:rPr>
      </w:pPr>
      <w:r w:rsidRPr="00555AB8">
        <w:rPr>
          <w:rFonts w:ascii="Arial" w:hAnsi="Arial" w:cs="Arial"/>
          <w:sz w:val="24"/>
          <w:szCs w:val="24"/>
        </w:rPr>
        <w:t>Divestiture of Non-Core Assets</w:t>
      </w:r>
      <w:r w:rsidR="00A618D8" w:rsidRPr="00555AB8">
        <w:rPr>
          <w:rFonts w:ascii="Arial" w:hAnsi="Arial" w:cs="Arial"/>
          <w:sz w:val="24"/>
          <w:szCs w:val="24"/>
        </w:rPr>
        <w:t xml:space="preserve">: </w:t>
      </w:r>
      <w:r w:rsidR="0057762B" w:rsidRPr="00555AB8">
        <w:rPr>
          <w:rFonts w:ascii="Arial" w:hAnsi="Arial" w:cs="Arial"/>
          <w:sz w:val="24"/>
          <w:szCs w:val="24"/>
        </w:rPr>
        <w:t xml:space="preserve">One of the major restructuring mechanisms is through </w:t>
      </w:r>
      <w:r w:rsidR="00993C69" w:rsidRPr="00555AB8">
        <w:rPr>
          <w:rFonts w:ascii="Arial" w:hAnsi="Arial" w:cs="Arial"/>
          <w:sz w:val="24"/>
          <w:szCs w:val="24"/>
        </w:rPr>
        <w:t xml:space="preserve">the </w:t>
      </w:r>
      <w:r w:rsidR="0057762B" w:rsidRPr="00555AB8">
        <w:rPr>
          <w:rFonts w:ascii="Arial" w:hAnsi="Arial" w:cs="Arial"/>
          <w:sz w:val="24"/>
          <w:szCs w:val="24"/>
        </w:rPr>
        <w:t xml:space="preserve">selective divestiture of non-core or non-performing assets. Diversification of </w:t>
      </w:r>
      <w:r w:rsidR="00993C69" w:rsidRPr="00555AB8">
        <w:rPr>
          <w:rFonts w:ascii="Arial" w:hAnsi="Arial" w:cs="Arial"/>
          <w:sz w:val="24"/>
          <w:szCs w:val="24"/>
        </w:rPr>
        <w:t>asset</w:t>
      </w:r>
      <w:r w:rsidR="0057762B" w:rsidRPr="00555AB8">
        <w:rPr>
          <w:rFonts w:ascii="Arial" w:hAnsi="Arial" w:cs="Arial"/>
          <w:sz w:val="24"/>
          <w:szCs w:val="24"/>
        </w:rPr>
        <w:t xml:space="preserve"> base, such as investment properties and peripheral business lines, can potentially be a factor that dilutes capital efficiency and managerial focus at BYD. The sale of such assets will enable the company to access liquidity and shift capital </w:t>
      </w:r>
      <w:r w:rsidR="00993C69" w:rsidRPr="00555AB8">
        <w:rPr>
          <w:rFonts w:ascii="Arial" w:hAnsi="Arial" w:cs="Arial"/>
          <w:sz w:val="24"/>
          <w:szCs w:val="24"/>
        </w:rPr>
        <w:t>into</w:t>
      </w:r>
      <w:r w:rsidR="0057762B" w:rsidRPr="00555AB8">
        <w:rPr>
          <w:rFonts w:ascii="Arial" w:hAnsi="Arial" w:cs="Arial"/>
          <w:sz w:val="24"/>
          <w:szCs w:val="24"/>
        </w:rPr>
        <w:t xml:space="preserve"> future-growth areas like EV production, battery technology, and renewable energy offerings.</w:t>
      </w:r>
      <w:r w:rsidR="001D40F5">
        <w:rPr>
          <w:rFonts w:ascii="Arial" w:hAnsi="Arial" w:cs="Arial"/>
          <w:sz w:val="24"/>
          <w:szCs w:val="24"/>
        </w:rPr>
        <w:t xml:space="preserve"> </w:t>
      </w:r>
      <w:r w:rsidR="0057762B" w:rsidRPr="001D40F5">
        <w:rPr>
          <w:rFonts w:ascii="Arial" w:hAnsi="Arial" w:cs="Arial"/>
          <w:sz w:val="24"/>
          <w:szCs w:val="24"/>
        </w:rPr>
        <w:t xml:space="preserve">Strategically, sell-offs enhance a better ratio of assets and operational complexity. </w:t>
      </w:r>
      <w:r w:rsidR="00D43133" w:rsidRPr="00D43133">
        <w:rPr>
          <w:rFonts w:ascii="Arial" w:hAnsi="Arial" w:cs="Arial"/>
          <w:sz w:val="24"/>
          <w:szCs w:val="24"/>
        </w:rPr>
        <w:t xml:space="preserve">Disposing of BYD Electronic in part is a viable alternative. A sale of 10-15 percent of the stake, as a </w:t>
      </w:r>
      <w:r w:rsidR="00FA6F5D">
        <w:rPr>
          <w:rFonts w:ascii="Arial" w:hAnsi="Arial" w:cs="Arial"/>
          <w:sz w:val="24"/>
          <w:szCs w:val="24"/>
        </w:rPr>
        <w:t>separately sold</w:t>
      </w:r>
      <w:r w:rsidR="00D43133" w:rsidRPr="00D43133">
        <w:rPr>
          <w:rFonts w:ascii="Arial" w:hAnsi="Arial" w:cs="Arial"/>
          <w:sz w:val="24"/>
          <w:szCs w:val="24"/>
        </w:rPr>
        <w:t xml:space="preserve"> subsidiary</w:t>
      </w:r>
      <w:r w:rsidR="00FA6F5D">
        <w:rPr>
          <w:rFonts w:ascii="Arial" w:hAnsi="Arial" w:cs="Arial"/>
          <w:sz w:val="24"/>
          <w:szCs w:val="24"/>
        </w:rPr>
        <w:t>,</w:t>
      </w:r>
      <w:r w:rsidR="00D43133" w:rsidRPr="00D43133">
        <w:rPr>
          <w:rFonts w:ascii="Arial" w:hAnsi="Arial" w:cs="Arial"/>
          <w:sz w:val="24"/>
          <w:szCs w:val="24"/>
        </w:rPr>
        <w:t xml:space="preserve"> would help raise conservatively RMB 15- 25 billion to enhance liquidity and reduce dependence on short-term debts. This would directly reduce pressure on </w:t>
      </w:r>
      <w:r w:rsidR="00FA6F5D">
        <w:rPr>
          <w:rFonts w:ascii="Arial" w:hAnsi="Arial" w:cs="Arial"/>
          <w:sz w:val="24"/>
          <w:szCs w:val="24"/>
        </w:rPr>
        <w:t xml:space="preserve">the </w:t>
      </w:r>
      <w:r w:rsidR="00D43133" w:rsidRPr="00D43133">
        <w:rPr>
          <w:rFonts w:ascii="Arial" w:hAnsi="Arial" w:cs="Arial"/>
          <w:sz w:val="24"/>
          <w:szCs w:val="24"/>
        </w:rPr>
        <w:t>current ratio and would finance capital expenditure without augmenting leverage.</w:t>
      </w:r>
    </w:p>
    <w:p w14:paraId="3AE1FC04" w14:textId="56DBCC11" w:rsidR="00D43133" w:rsidRPr="00D43133" w:rsidRDefault="00F429A9" w:rsidP="00D43133">
      <w:pPr>
        <w:pStyle w:val="ListParagraph"/>
        <w:numPr>
          <w:ilvl w:val="0"/>
          <w:numId w:val="4"/>
        </w:numPr>
        <w:spacing w:line="360" w:lineRule="auto"/>
        <w:jc w:val="both"/>
        <w:rPr>
          <w:rFonts w:ascii="Arial" w:hAnsi="Arial" w:cs="Arial"/>
          <w:sz w:val="24"/>
          <w:szCs w:val="24"/>
        </w:rPr>
      </w:pPr>
      <w:r w:rsidRPr="00555AB8">
        <w:rPr>
          <w:rFonts w:ascii="Arial" w:hAnsi="Arial" w:cs="Arial"/>
          <w:sz w:val="24"/>
          <w:szCs w:val="24"/>
        </w:rPr>
        <w:t>Equity Injection and Capital Raising</w:t>
      </w:r>
      <w:r w:rsidR="00A618D8" w:rsidRPr="00555AB8">
        <w:rPr>
          <w:rFonts w:ascii="Arial" w:hAnsi="Arial" w:cs="Arial"/>
          <w:sz w:val="24"/>
          <w:szCs w:val="24"/>
        </w:rPr>
        <w:t xml:space="preserve">: </w:t>
      </w:r>
      <w:r w:rsidR="00F93793" w:rsidRPr="00555AB8">
        <w:rPr>
          <w:rFonts w:ascii="Arial" w:hAnsi="Arial" w:cs="Arial"/>
          <w:sz w:val="24"/>
          <w:szCs w:val="24"/>
        </w:rPr>
        <w:t>Equity financing will be an imperative restructuring instrument given that BYD is relying more on short-term liabilities and its increasing leverage. It can be in the form of rights issues, private placements</w:t>
      </w:r>
      <w:r w:rsidR="00993C69" w:rsidRPr="00555AB8">
        <w:rPr>
          <w:rFonts w:ascii="Arial" w:hAnsi="Arial" w:cs="Arial"/>
          <w:sz w:val="24"/>
          <w:szCs w:val="24"/>
        </w:rPr>
        <w:t>,</w:t>
      </w:r>
      <w:r w:rsidR="00F93793" w:rsidRPr="00555AB8">
        <w:rPr>
          <w:rFonts w:ascii="Arial" w:hAnsi="Arial" w:cs="Arial"/>
          <w:sz w:val="24"/>
          <w:szCs w:val="24"/>
        </w:rPr>
        <w:t xml:space="preserve"> or strategic equity plans with the institutional investors. By inflating the capital base, easing the financial risk</w:t>
      </w:r>
      <w:r w:rsidR="00993C69" w:rsidRPr="00555AB8">
        <w:rPr>
          <w:rFonts w:ascii="Arial" w:hAnsi="Arial" w:cs="Arial"/>
          <w:sz w:val="24"/>
          <w:szCs w:val="24"/>
        </w:rPr>
        <w:t>,</w:t>
      </w:r>
      <w:r w:rsidR="00F93793" w:rsidRPr="00555AB8">
        <w:rPr>
          <w:rFonts w:ascii="Arial" w:hAnsi="Arial" w:cs="Arial"/>
          <w:sz w:val="24"/>
          <w:szCs w:val="24"/>
        </w:rPr>
        <w:t xml:space="preserve"> and enhancing important indicators like the debt-to-equity ratio, an equity injection would enhance the business</w:t>
      </w:r>
      <w:r w:rsidR="00742E69" w:rsidRPr="00555AB8">
        <w:rPr>
          <w:rFonts w:ascii="Arial" w:hAnsi="Arial" w:cs="Arial"/>
          <w:sz w:val="24"/>
          <w:szCs w:val="24"/>
        </w:rPr>
        <w:t xml:space="preserve"> (</w:t>
      </w:r>
      <w:proofErr w:type="spellStart"/>
      <w:r w:rsidR="00742E69" w:rsidRPr="00555AB8">
        <w:rPr>
          <w:rFonts w:ascii="Arial" w:hAnsi="Arial" w:cs="Arial"/>
          <w:sz w:val="24"/>
          <w:szCs w:val="24"/>
        </w:rPr>
        <w:t>Xiong</w:t>
      </w:r>
      <w:proofErr w:type="spellEnd"/>
      <w:r w:rsidR="00742E69" w:rsidRPr="00555AB8">
        <w:rPr>
          <w:rFonts w:ascii="Arial" w:hAnsi="Arial" w:cs="Arial"/>
          <w:sz w:val="24"/>
          <w:szCs w:val="24"/>
        </w:rPr>
        <w:t>, Liu</w:t>
      </w:r>
      <w:r w:rsidR="00AD25E3">
        <w:rPr>
          <w:rFonts w:ascii="Arial" w:hAnsi="Arial" w:cs="Arial"/>
          <w:sz w:val="24"/>
          <w:szCs w:val="24"/>
        </w:rPr>
        <w:t>,</w:t>
      </w:r>
      <w:r w:rsidR="00742E69" w:rsidRPr="00555AB8">
        <w:rPr>
          <w:rFonts w:ascii="Arial" w:hAnsi="Arial" w:cs="Arial"/>
          <w:sz w:val="24"/>
          <w:szCs w:val="24"/>
        </w:rPr>
        <w:t xml:space="preserve"> and Wang, 2022)</w:t>
      </w:r>
      <w:r w:rsidR="00F93793" w:rsidRPr="00555AB8">
        <w:rPr>
          <w:rFonts w:ascii="Arial" w:hAnsi="Arial" w:cs="Arial"/>
          <w:sz w:val="24"/>
          <w:szCs w:val="24"/>
        </w:rPr>
        <w:t xml:space="preserve">. Despite the fact that equity issuance may result in dilution of the existing </w:t>
      </w:r>
      <w:r w:rsidR="00993C69" w:rsidRPr="00555AB8">
        <w:rPr>
          <w:rFonts w:ascii="Arial" w:hAnsi="Arial" w:cs="Arial"/>
          <w:sz w:val="24"/>
          <w:szCs w:val="24"/>
        </w:rPr>
        <w:t>shareholders'</w:t>
      </w:r>
      <w:r w:rsidR="00F93793" w:rsidRPr="00555AB8">
        <w:rPr>
          <w:rFonts w:ascii="Arial" w:hAnsi="Arial" w:cs="Arial"/>
          <w:sz w:val="24"/>
          <w:szCs w:val="24"/>
        </w:rPr>
        <w:t xml:space="preserve"> ownership, it increases long-term value by reducing the cost of capital and enhancing financial stability. </w:t>
      </w:r>
      <w:r w:rsidR="00D43133" w:rsidRPr="00D43133">
        <w:rPr>
          <w:rFonts w:ascii="Arial" w:hAnsi="Arial" w:cs="Arial"/>
          <w:sz w:val="24"/>
          <w:szCs w:val="24"/>
        </w:rPr>
        <w:t xml:space="preserve">Second, a moderate amount of equity (~RMB 30 billion) would significantly consolidate the balance sheet. This would decrease the debt-to-equity ratio, assuming 2023 equity of around RMB 150 billion, </w:t>
      </w:r>
      <w:r w:rsidR="00FA6F5D">
        <w:rPr>
          <w:rFonts w:ascii="Arial" w:hAnsi="Arial" w:cs="Arial"/>
          <w:sz w:val="24"/>
          <w:szCs w:val="24"/>
        </w:rPr>
        <w:t>to</w:t>
      </w:r>
      <w:r w:rsidR="00D43133" w:rsidRPr="00D43133">
        <w:rPr>
          <w:rFonts w:ascii="Arial" w:hAnsi="Arial" w:cs="Arial"/>
          <w:sz w:val="24"/>
          <w:szCs w:val="24"/>
        </w:rPr>
        <w:t xml:space="preserve"> about 2.5, which would enhance solvency but not degrade financial flexibility. This is especially crucial in light of the capital-intensive global expansion that BYD has.</w:t>
      </w:r>
    </w:p>
    <w:p w14:paraId="4EF8ACB3" w14:textId="483FE1C2" w:rsidR="00950DEF" w:rsidRPr="00744A93" w:rsidRDefault="00950DEF" w:rsidP="00744A93">
      <w:pPr>
        <w:pStyle w:val="ListParagraph"/>
        <w:numPr>
          <w:ilvl w:val="0"/>
          <w:numId w:val="4"/>
        </w:numPr>
        <w:spacing w:line="360" w:lineRule="auto"/>
        <w:jc w:val="both"/>
        <w:rPr>
          <w:rFonts w:ascii="Arial" w:hAnsi="Arial" w:cs="Arial"/>
          <w:sz w:val="24"/>
          <w:szCs w:val="24"/>
        </w:rPr>
      </w:pPr>
      <w:r w:rsidRPr="00555AB8">
        <w:rPr>
          <w:rFonts w:ascii="Arial" w:hAnsi="Arial" w:cs="Arial"/>
          <w:sz w:val="24"/>
          <w:szCs w:val="24"/>
        </w:rPr>
        <w:t>Strategic Alliances and Mergers</w:t>
      </w:r>
      <w:r w:rsidR="00A618D8" w:rsidRPr="00555AB8">
        <w:rPr>
          <w:rFonts w:ascii="Arial" w:hAnsi="Arial" w:cs="Arial"/>
          <w:sz w:val="24"/>
          <w:szCs w:val="24"/>
        </w:rPr>
        <w:t xml:space="preserve">: </w:t>
      </w:r>
      <w:r w:rsidR="00F93793" w:rsidRPr="00555AB8">
        <w:rPr>
          <w:rFonts w:ascii="Arial" w:hAnsi="Arial" w:cs="Arial"/>
          <w:sz w:val="24"/>
          <w:szCs w:val="24"/>
        </w:rPr>
        <w:t xml:space="preserve">Strategic alliances and joint ventures </w:t>
      </w:r>
      <w:r w:rsidR="00993C69" w:rsidRPr="00555AB8">
        <w:rPr>
          <w:rFonts w:ascii="Arial" w:hAnsi="Arial" w:cs="Arial"/>
          <w:sz w:val="24"/>
          <w:szCs w:val="24"/>
        </w:rPr>
        <w:t>are</w:t>
      </w:r>
      <w:r w:rsidR="00F93793" w:rsidRPr="00555AB8">
        <w:rPr>
          <w:rFonts w:ascii="Arial" w:hAnsi="Arial" w:cs="Arial"/>
          <w:sz w:val="24"/>
          <w:szCs w:val="24"/>
        </w:rPr>
        <w:t xml:space="preserve"> another way that BYD can exploit in the global expansion without having to engage in </w:t>
      </w:r>
      <w:r w:rsidR="00993C69" w:rsidRPr="00555AB8">
        <w:rPr>
          <w:rFonts w:ascii="Arial" w:hAnsi="Arial" w:cs="Arial"/>
          <w:sz w:val="24"/>
          <w:szCs w:val="24"/>
        </w:rPr>
        <w:t>capital-intensive</w:t>
      </w:r>
      <w:r w:rsidR="00F93793" w:rsidRPr="00555AB8">
        <w:rPr>
          <w:rFonts w:ascii="Arial" w:hAnsi="Arial" w:cs="Arial"/>
          <w:sz w:val="24"/>
          <w:szCs w:val="24"/>
        </w:rPr>
        <w:t xml:space="preserve"> acquisitions. Partnerships with multinational car engineering companies, technology</w:t>
      </w:r>
      <w:r w:rsidR="00993C69" w:rsidRPr="00555AB8">
        <w:rPr>
          <w:rFonts w:ascii="Arial" w:hAnsi="Arial" w:cs="Arial"/>
          <w:sz w:val="24"/>
          <w:szCs w:val="24"/>
        </w:rPr>
        <w:t>,</w:t>
      </w:r>
      <w:r w:rsidR="00F93793" w:rsidRPr="00555AB8">
        <w:rPr>
          <w:rFonts w:ascii="Arial" w:hAnsi="Arial" w:cs="Arial"/>
          <w:sz w:val="24"/>
          <w:szCs w:val="24"/>
        </w:rPr>
        <w:t xml:space="preserve"> or battery suppliers can open new markets, technologies, and channels. These joint ventures help in sharing risks, and the financial liability of making huge investments is lessened. </w:t>
      </w:r>
      <w:r w:rsidR="00D43133" w:rsidRPr="00D43133">
        <w:rPr>
          <w:rFonts w:ascii="Arial" w:hAnsi="Arial" w:cs="Arial"/>
          <w:sz w:val="24"/>
          <w:szCs w:val="24"/>
        </w:rPr>
        <w:t xml:space="preserve">Third, BYD needs to increase its joint-validation strategy through relationships like </w:t>
      </w:r>
      <w:proofErr w:type="spellStart"/>
      <w:r w:rsidR="00D43133" w:rsidRPr="00D43133">
        <w:rPr>
          <w:rFonts w:ascii="Arial" w:hAnsi="Arial" w:cs="Arial"/>
          <w:sz w:val="24"/>
          <w:szCs w:val="24"/>
        </w:rPr>
        <w:t>Denza</w:t>
      </w:r>
      <w:proofErr w:type="spellEnd"/>
      <w:r w:rsidR="00D43133" w:rsidRPr="00D43133">
        <w:rPr>
          <w:rFonts w:ascii="Arial" w:hAnsi="Arial" w:cs="Arial"/>
          <w:sz w:val="24"/>
          <w:szCs w:val="24"/>
        </w:rPr>
        <w:t xml:space="preserve"> (which was historically associated </w:t>
      </w:r>
      <w:r w:rsidR="00FA6F5D">
        <w:rPr>
          <w:rFonts w:ascii="Arial" w:hAnsi="Arial" w:cs="Arial"/>
          <w:sz w:val="24"/>
          <w:szCs w:val="24"/>
        </w:rPr>
        <w:t>with</w:t>
      </w:r>
      <w:r w:rsidR="00D43133" w:rsidRPr="00D43133">
        <w:rPr>
          <w:rFonts w:ascii="Arial" w:hAnsi="Arial" w:cs="Arial"/>
          <w:sz w:val="24"/>
          <w:szCs w:val="24"/>
        </w:rPr>
        <w:t xml:space="preserve"> Mercedes-Benz Group). It is possible to apply Future JVs to manufacturing international (especially, Szeged EV building) and distribute the risks, integrate with the local market, and </w:t>
      </w:r>
      <w:r w:rsidR="00FA6F5D">
        <w:rPr>
          <w:rFonts w:ascii="Arial" w:hAnsi="Arial" w:cs="Arial"/>
          <w:sz w:val="24"/>
          <w:szCs w:val="24"/>
        </w:rPr>
        <w:t>reduce</w:t>
      </w:r>
      <w:r w:rsidR="00D43133" w:rsidRPr="00D43133">
        <w:rPr>
          <w:rFonts w:ascii="Arial" w:hAnsi="Arial" w:cs="Arial"/>
          <w:sz w:val="24"/>
          <w:szCs w:val="24"/>
        </w:rPr>
        <w:t xml:space="preserve"> the capital outlay.</w:t>
      </w:r>
    </w:p>
    <w:p w14:paraId="4D289313" w14:textId="42DE27D2" w:rsidR="00F93793" w:rsidRPr="00555AB8" w:rsidRDefault="002A6D27" w:rsidP="00794E1D">
      <w:pPr>
        <w:pStyle w:val="Heading2"/>
        <w:rPr>
          <w:rFonts w:ascii="Arial" w:hAnsi="Arial" w:cs="Arial"/>
          <w:b/>
          <w:bCs/>
          <w:i/>
          <w:iCs/>
          <w:sz w:val="24"/>
          <w:szCs w:val="24"/>
          <w:u w:val="single"/>
        </w:rPr>
      </w:pPr>
      <w:bookmarkStart w:id="16" w:name="_Toc227767960"/>
      <w:r w:rsidRPr="00555AB8">
        <w:rPr>
          <w:rFonts w:ascii="Arial" w:hAnsi="Arial" w:cs="Arial"/>
          <w:b/>
          <w:bCs/>
          <w:i/>
          <w:iCs/>
          <w:sz w:val="24"/>
          <w:szCs w:val="24"/>
          <w:u w:val="single"/>
        </w:rPr>
        <w:t>Impact on Shareholder Value, Debt Structure, and Operational Flexibility</w:t>
      </w:r>
      <w:bookmarkEnd w:id="16"/>
    </w:p>
    <w:p w14:paraId="4DCE0D22" w14:textId="5016F37A" w:rsidR="002A6D27" w:rsidRPr="00555AB8" w:rsidRDefault="00914EAD" w:rsidP="006D681C">
      <w:pPr>
        <w:pStyle w:val="ListParagraph"/>
        <w:numPr>
          <w:ilvl w:val="0"/>
          <w:numId w:val="3"/>
        </w:numPr>
        <w:spacing w:line="360" w:lineRule="auto"/>
        <w:jc w:val="both"/>
        <w:rPr>
          <w:rFonts w:ascii="Arial" w:hAnsi="Arial" w:cs="Arial"/>
          <w:sz w:val="24"/>
          <w:szCs w:val="24"/>
        </w:rPr>
      </w:pPr>
      <w:r w:rsidRPr="00555AB8">
        <w:rPr>
          <w:rFonts w:ascii="Arial" w:hAnsi="Arial" w:cs="Arial"/>
          <w:sz w:val="24"/>
          <w:szCs w:val="24"/>
        </w:rPr>
        <w:t>Shareholder Value Enhancement</w:t>
      </w:r>
      <w:r w:rsidR="00A618D8" w:rsidRPr="00555AB8">
        <w:rPr>
          <w:rFonts w:ascii="Arial" w:hAnsi="Arial" w:cs="Arial"/>
          <w:sz w:val="24"/>
          <w:szCs w:val="24"/>
        </w:rPr>
        <w:t xml:space="preserve">: </w:t>
      </w:r>
      <w:r w:rsidRPr="00555AB8">
        <w:rPr>
          <w:rFonts w:ascii="Arial" w:hAnsi="Arial" w:cs="Arial"/>
          <w:sz w:val="24"/>
          <w:szCs w:val="24"/>
        </w:rPr>
        <w:t xml:space="preserve">The suggested restructuring plans will have the desired effect of increasing the shareholder value by boosting its financial performance and decreasing its </w:t>
      </w:r>
      <w:r w:rsidR="006B7627">
        <w:rPr>
          <w:rFonts w:ascii="Arial" w:hAnsi="Arial" w:cs="Arial"/>
          <w:sz w:val="24"/>
          <w:szCs w:val="24"/>
        </w:rPr>
        <w:t>risk exposure</w:t>
      </w:r>
      <w:r w:rsidRPr="00555AB8">
        <w:rPr>
          <w:rFonts w:ascii="Arial" w:hAnsi="Arial" w:cs="Arial"/>
          <w:sz w:val="24"/>
          <w:szCs w:val="24"/>
        </w:rPr>
        <w:t>. Divestitures make companies more efficient as they get rid of low-paying properties, whereas equity injections make them better balanced on the balance sheet and less leveraged. Strategic alliances also help a company grow its revenues by not incurring additional financial liabilities on a large scale</w:t>
      </w:r>
      <w:r w:rsidR="006D681C" w:rsidRPr="00555AB8">
        <w:rPr>
          <w:rFonts w:ascii="Arial" w:hAnsi="Arial" w:cs="Arial"/>
          <w:sz w:val="24"/>
          <w:szCs w:val="24"/>
        </w:rPr>
        <w:t xml:space="preserve"> (Wang, 2024)</w:t>
      </w:r>
      <w:r w:rsidRPr="00555AB8">
        <w:rPr>
          <w:rFonts w:ascii="Arial" w:hAnsi="Arial" w:cs="Arial"/>
          <w:sz w:val="24"/>
          <w:szCs w:val="24"/>
        </w:rPr>
        <w:t xml:space="preserve">. These measures will increase earnings stability and </w:t>
      </w:r>
      <w:r w:rsidR="00993C69" w:rsidRPr="00555AB8">
        <w:rPr>
          <w:rFonts w:ascii="Arial" w:hAnsi="Arial" w:cs="Arial"/>
          <w:sz w:val="24"/>
          <w:szCs w:val="24"/>
        </w:rPr>
        <w:t>better return</w:t>
      </w:r>
      <w:r w:rsidRPr="00555AB8">
        <w:rPr>
          <w:rFonts w:ascii="Arial" w:hAnsi="Arial" w:cs="Arial"/>
          <w:sz w:val="24"/>
          <w:szCs w:val="24"/>
        </w:rPr>
        <w:t xml:space="preserve"> on equity as well as market valuation in the long term. Nevertheless, the immediate pitfalls, like the effects of dilution and restructuring expenses</w:t>
      </w:r>
      <w:r w:rsidR="00993C69" w:rsidRPr="00555AB8">
        <w:rPr>
          <w:rFonts w:ascii="Arial" w:hAnsi="Arial" w:cs="Arial"/>
          <w:sz w:val="24"/>
          <w:szCs w:val="24"/>
        </w:rPr>
        <w:t>,</w:t>
      </w:r>
      <w:r w:rsidRPr="00555AB8">
        <w:rPr>
          <w:rFonts w:ascii="Arial" w:hAnsi="Arial" w:cs="Arial"/>
          <w:sz w:val="24"/>
          <w:szCs w:val="24"/>
        </w:rPr>
        <w:t xml:space="preserve"> would have to be kept down to help keep the investor confidence intact. Open communication and regular financial results are essential in making sure that restructuring efforts are seen as adding value, and not risking.</w:t>
      </w:r>
    </w:p>
    <w:p w14:paraId="24B69BF5" w14:textId="17338A9D" w:rsidR="00914EAD" w:rsidRPr="00555AB8" w:rsidRDefault="00380CD2" w:rsidP="00A618D8">
      <w:pPr>
        <w:pStyle w:val="ListParagraph"/>
        <w:numPr>
          <w:ilvl w:val="0"/>
          <w:numId w:val="3"/>
        </w:numPr>
        <w:spacing w:line="360" w:lineRule="auto"/>
        <w:jc w:val="both"/>
        <w:rPr>
          <w:rFonts w:ascii="Arial" w:hAnsi="Arial" w:cs="Arial"/>
          <w:sz w:val="24"/>
          <w:szCs w:val="24"/>
        </w:rPr>
      </w:pPr>
      <w:r w:rsidRPr="00555AB8">
        <w:rPr>
          <w:rFonts w:ascii="Arial" w:hAnsi="Arial" w:cs="Arial"/>
          <w:sz w:val="24"/>
          <w:szCs w:val="24"/>
        </w:rPr>
        <w:t>Debt Structure Optimization</w:t>
      </w:r>
      <w:r w:rsidR="00A618D8" w:rsidRPr="00555AB8">
        <w:rPr>
          <w:rFonts w:ascii="Arial" w:hAnsi="Arial" w:cs="Arial"/>
          <w:sz w:val="24"/>
          <w:szCs w:val="24"/>
        </w:rPr>
        <w:t xml:space="preserve">: </w:t>
      </w:r>
      <w:r w:rsidRPr="00555AB8">
        <w:rPr>
          <w:rFonts w:ascii="Arial" w:hAnsi="Arial" w:cs="Arial"/>
          <w:sz w:val="24"/>
          <w:szCs w:val="24"/>
        </w:rPr>
        <w:t xml:space="preserve">The financial structure of BYD is an existing heavy dependence on short-term financial obligations such as trade payables and contract liabilities. Although this strategy helps to maintain operational efficiency, the firm will be vulnerable to liquidity and refinancing risks. The important aim of restructuring is to remodel the debt structure towards more </w:t>
      </w:r>
      <w:r w:rsidR="00993C69" w:rsidRPr="00555AB8">
        <w:rPr>
          <w:rFonts w:ascii="Arial" w:hAnsi="Arial" w:cs="Arial"/>
          <w:sz w:val="24"/>
          <w:szCs w:val="24"/>
        </w:rPr>
        <w:t>long-term</w:t>
      </w:r>
      <w:r w:rsidRPr="00555AB8">
        <w:rPr>
          <w:rFonts w:ascii="Arial" w:hAnsi="Arial" w:cs="Arial"/>
          <w:sz w:val="24"/>
          <w:szCs w:val="24"/>
        </w:rPr>
        <w:t xml:space="preserve"> financing. Corporate bonds and lease financing, which are long-term debt instruments, are more compatible with capital-intensive investments of the firm. Extension of the maturity profile of its liabilities will help BYD to lessen the financial pressure in the short term and enhance the stability of cash flows. </w:t>
      </w:r>
    </w:p>
    <w:p w14:paraId="423E4DEE" w14:textId="7042190C" w:rsidR="004917E9" w:rsidRPr="00555AB8" w:rsidRDefault="00454613" w:rsidP="004C07D2">
      <w:pPr>
        <w:pStyle w:val="ListParagraph"/>
        <w:numPr>
          <w:ilvl w:val="0"/>
          <w:numId w:val="3"/>
        </w:numPr>
        <w:spacing w:line="360" w:lineRule="auto"/>
        <w:jc w:val="both"/>
        <w:rPr>
          <w:rFonts w:ascii="Arial" w:hAnsi="Arial" w:cs="Arial"/>
          <w:sz w:val="24"/>
          <w:szCs w:val="24"/>
        </w:rPr>
      </w:pPr>
      <w:r w:rsidRPr="00555AB8">
        <w:rPr>
          <w:rFonts w:ascii="Arial" w:hAnsi="Arial" w:cs="Arial"/>
          <w:sz w:val="24"/>
          <w:szCs w:val="24"/>
        </w:rPr>
        <w:t>Strategic Agility, Operational Flexibility</w:t>
      </w:r>
      <w:r w:rsidR="00A618D8" w:rsidRPr="00555AB8">
        <w:rPr>
          <w:rFonts w:ascii="Arial" w:hAnsi="Arial" w:cs="Arial"/>
          <w:sz w:val="24"/>
          <w:szCs w:val="24"/>
        </w:rPr>
        <w:t xml:space="preserve">: </w:t>
      </w:r>
      <w:r w:rsidRPr="00555AB8">
        <w:rPr>
          <w:rFonts w:ascii="Arial" w:hAnsi="Arial" w:cs="Arial"/>
          <w:sz w:val="24"/>
          <w:szCs w:val="24"/>
        </w:rPr>
        <w:t xml:space="preserve">Restructuring finances considerably increases the flexibility of operations, as it advances liquidity and minimizes financial limitations. Divestitures make the </w:t>
      </w:r>
      <w:r w:rsidR="00993C69" w:rsidRPr="00555AB8">
        <w:rPr>
          <w:rFonts w:ascii="Arial" w:hAnsi="Arial" w:cs="Arial"/>
          <w:sz w:val="24"/>
          <w:szCs w:val="24"/>
        </w:rPr>
        <w:t>organizational</w:t>
      </w:r>
      <w:r w:rsidRPr="00555AB8">
        <w:rPr>
          <w:rFonts w:ascii="Arial" w:hAnsi="Arial" w:cs="Arial"/>
          <w:sz w:val="24"/>
          <w:szCs w:val="24"/>
        </w:rPr>
        <w:t xml:space="preserve"> structure easier and </w:t>
      </w:r>
      <w:r w:rsidR="00993C69" w:rsidRPr="00555AB8">
        <w:rPr>
          <w:rFonts w:ascii="Arial" w:hAnsi="Arial" w:cs="Arial"/>
          <w:sz w:val="24"/>
          <w:szCs w:val="24"/>
        </w:rPr>
        <w:t xml:space="preserve">more </w:t>
      </w:r>
      <w:r w:rsidRPr="00555AB8">
        <w:rPr>
          <w:rFonts w:ascii="Arial" w:hAnsi="Arial" w:cs="Arial"/>
          <w:sz w:val="24"/>
          <w:szCs w:val="24"/>
        </w:rPr>
        <w:t xml:space="preserve">efficient in </w:t>
      </w:r>
      <w:r w:rsidR="00993C69" w:rsidRPr="00555AB8">
        <w:rPr>
          <w:rFonts w:ascii="Arial" w:hAnsi="Arial" w:cs="Arial"/>
          <w:sz w:val="24"/>
          <w:szCs w:val="24"/>
        </w:rPr>
        <w:t>decision-making</w:t>
      </w:r>
      <w:r w:rsidRPr="00555AB8">
        <w:rPr>
          <w:rFonts w:ascii="Arial" w:hAnsi="Arial" w:cs="Arial"/>
          <w:sz w:val="24"/>
          <w:szCs w:val="24"/>
        </w:rPr>
        <w:t xml:space="preserve"> and allocation of resources</w:t>
      </w:r>
      <w:r w:rsidR="004C07D2" w:rsidRPr="00555AB8">
        <w:rPr>
          <w:rFonts w:ascii="Arial" w:hAnsi="Arial" w:cs="Arial"/>
          <w:sz w:val="24"/>
          <w:szCs w:val="24"/>
        </w:rPr>
        <w:t xml:space="preserve"> (Lai, </w:t>
      </w:r>
      <w:proofErr w:type="spellStart"/>
      <w:r w:rsidR="004C07D2" w:rsidRPr="00555AB8">
        <w:rPr>
          <w:rFonts w:ascii="Arial" w:hAnsi="Arial" w:cs="Arial"/>
          <w:sz w:val="24"/>
          <w:szCs w:val="24"/>
        </w:rPr>
        <w:t>Ritchken</w:t>
      </w:r>
      <w:proofErr w:type="spellEnd"/>
      <w:r w:rsidR="006B7627">
        <w:rPr>
          <w:rFonts w:ascii="Arial" w:hAnsi="Arial" w:cs="Arial"/>
          <w:sz w:val="24"/>
          <w:szCs w:val="24"/>
        </w:rPr>
        <w:t>,</w:t>
      </w:r>
      <w:r w:rsidR="004C07D2" w:rsidRPr="00555AB8">
        <w:rPr>
          <w:rFonts w:ascii="Arial" w:hAnsi="Arial" w:cs="Arial"/>
          <w:sz w:val="24"/>
          <w:szCs w:val="24"/>
        </w:rPr>
        <w:t xml:space="preserve"> and Wu, 2023)</w:t>
      </w:r>
      <w:r w:rsidRPr="00555AB8">
        <w:rPr>
          <w:rFonts w:ascii="Arial" w:hAnsi="Arial" w:cs="Arial"/>
          <w:sz w:val="24"/>
          <w:szCs w:val="24"/>
        </w:rPr>
        <w:t xml:space="preserve">. Strategic alliances bring about scalability and flexibility to ensure that BYD responds appropriately to emerging market changes and technology. Nevertheless, the overuse of external partnerships can restrict strategic control and create the problem of coordination. </w:t>
      </w:r>
    </w:p>
    <w:p w14:paraId="528CF773" w14:textId="6B406DDD" w:rsidR="009F34F7" w:rsidRPr="00555AB8" w:rsidRDefault="009F34F7" w:rsidP="00794E1D">
      <w:pPr>
        <w:pStyle w:val="Heading2"/>
        <w:rPr>
          <w:rFonts w:ascii="Arial" w:hAnsi="Arial" w:cs="Arial"/>
          <w:b/>
          <w:bCs/>
          <w:i/>
          <w:iCs/>
          <w:sz w:val="24"/>
          <w:szCs w:val="24"/>
          <w:u w:val="single"/>
        </w:rPr>
      </w:pPr>
      <w:bookmarkStart w:id="17" w:name="_Toc227767961"/>
      <w:r w:rsidRPr="00555AB8">
        <w:rPr>
          <w:rFonts w:ascii="Arial" w:hAnsi="Arial" w:cs="Arial"/>
          <w:b/>
          <w:bCs/>
          <w:i/>
          <w:iCs/>
          <w:sz w:val="24"/>
          <w:szCs w:val="24"/>
          <w:u w:val="single"/>
        </w:rPr>
        <w:t>International Financial Considerations</w:t>
      </w:r>
      <w:bookmarkEnd w:id="17"/>
    </w:p>
    <w:p w14:paraId="3AA9EEA6" w14:textId="6D94F219" w:rsidR="009F34F7" w:rsidRPr="00555AB8" w:rsidRDefault="009F34F7" w:rsidP="004917E9">
      <w:pPr>
        <w:pStyle w:val="ListParagraph"/>
        <w:numPr>
          <w:ilvl w:val="0"/>
          <w:numId w:val="2"/>
        </w:numPr>
        <w:spacing w:line="360" w:lineRule="auto"/>
        <w:jc w:val="both"/>
        <w:rPr>
          <w:rFonts w:ascii="Arial" w:hAnsi="Arial" w:cs="Arial"/>
          <w:sz w:val="24"/>
          <w:szCs w:val="24"/>
        </w:rPr>
      </w:pPr>
      <w:r w:rsidRPr="00555AB8">
        <w:rPr>
          <w:rFonts w:ascii="Arial" w:hAnsi="Arial" w:cs="Arial"/>
          <w:sz w:val="24"/>
          <w:szCs w:val="24"/>
        </w:rPr>
        <w:t>Currency Risk Management</w:t>
      </w:r>
      <w:r w:rsidR="004917E9" w:rsidRPr="00555AB8">
        <w:rPr>
          <w:rFonts w:ascii="Arial" w:hAnsi="Arial" w:cs="Arial"/>
          <w:sz w:val="24"/>
          <w:szCs w:val="24"/>
        </w:rPr>
        <w:t xml:space="preserve">: </w:t>
      </w:r>
      <w:r w:rsidRPr="00555AB8">
        <w:rPr>
          <w:rFonts w:ascii="Arial" w:hAnsi="Arial" w:cs="Arial"/>
          <w:sz w:val="24"/>
          <w:szCs w:val="24"/>
        </w:rPr>
        <w:t xml:space="preserve">As BYD goes international, it is being exposed to </w:t>
      </w:r>
      <w:r w:rsidR="00993C69" w:rsidRPr="00555AB8">
        <w:rPr>
          <w:rFonts w:ascii="Arial" w:hAnsi="Arial" w:cs="Arial"/>
          <w:sz w:val="24"/>
          <w:szCs w:val="24"/>
        </w:rPr>
        <w:t>a</w:t>
      </w:r>
      <w:r w:rsidRPr="00555AB8">
        <w:rPr>
          <w:rFonts w:ascii="Arial" w:hAnsi="Arial" w:cs="Arial"/>
          <w:sz w:val="24"/>
          <w:szCs w:val="24"/>
        </w:rPr>
        <w:t xml:space="preserve"> growing amount of </w:t>
      </w:r>
      <w:r w:rsidR="00993C69" w:rsidRPr="00555AB8">
        <w:rPr>
          <w:rFonts w:ascii="Arial" w:hAnsi="Arial" w:cs="Arial"/>
          <w:sz w:val="24"/>
          <w:szCs w:val="24"/>
        </w:rPr>
        <w:t>foreign exchange</w:t>
      </w:r>
      <w:r w:rsidRPr="00555AB8">
        <w:rPr>
          <w:rFonts w:ascii="Arial" w:hAnsi="Arial" w:cs="Arial"/>
          <w:sz w:val="24"/>
          <w:szCs w:val="24"/>
        </w:rPr>
        <w:t xml:space="preserve"> risk. Exchange rate fluctuations can have an impact on revenue or costs and profitability, especially at the point where the operations are multi-currency. As a method to avert these threats, BYD ought to adopt detailed hedging measures such as forward </w:t>
      </w:r>
      <w:r w:rsidR="00993C69" w:rsidRPr="00555AB8">
        <w:rPr>
          <w:rFonts w:ascii="Arial" w:hAnsi="Arial" w:cs="Arial"/>
          <w:sz w:val="24"/>
          <w:szCs w:val="24"/>
        </w:rPr>
        <w:t>contracts</w:t>
      </w:r>
      <w:r w:rsidRPr="00555AB8">
        <w:rPr>
          <w:rFonts w:ascii="Arial" w:hAnsi="Arial" w:cs="Arial"/>
          <w:sz w:val="24"/>
          <w:szCs w:val="24"/>
        </w:rPr>
        <w:t>, options</w:t>
      </w:r>
      <w:r w:rsidR="00993C69" w:rsidRPr="00555AB8">
        <w:rPr>
          <w:rFonts w:ascii="Arial" w:hAnsi="Arial" w:cs="Arial"/>
          <w:sz w:val="24"/>
          <w:szCs w:val="24"/>
        </w:rPr>
        <w:t>,</w:t>
      </w:r>
      <w:r w:rsidRPr="00555AB8">
        <w:rPr>
          <w:rFonts w:ascii="Arial" w:hAnsi="Arial" w:cs="Arial"/>
          <w:sz w:val="24"/>
          <w:szCs w:val="24"/>
        </w:rPr>
        <w:t xml:space="preserve"> and natural hedging in </w:t>
      </w:r>
      <w:r w:rsidR="00993C69" w:rsidRPr="00555AB8">
        <w:rPr>
          <w:rFonts w:ascii="Arial" w:hAnsi="Arial" w:cs="Arial"/>
          <w:sz w:val="24"/>
          <w:szCs w:val="24"/>
        </w:rPr>
        <w:t xml:space="preserve">the </w:t>
      </w:r>
      <w:r w:rsidRPr="00555AB8">
        <w:rPr>
          <w:rFonts w:ascii="Arial" w:hAnsi="Arial" w:cs="Arial"/>
          <w:sz w:val="24"/>
          <w:szCs w:val="24"/>
        </w:rPr>
        <w:t xml:space="preserve">form of local production and sourcing. The management of currency risks helps in the provision of stability in finances and </w:t>
      </w:r>
      <w:r w:rsidR="00993C69" w:rsidRPr="00555AB8">
        <w:rPr>
          <w:rFonts w:ascii="Arial" w:hAnsi="Arial" w:cs="Arial"/>
          <w:sz w:val="24"/>
          <w:szCs w:val="24"/>
        </w:rPr>
        <w:t xml:space="preserve">the </w:t>
      </w:r>
      <w:r w:rsidRPr="00555AB8">
        <w:rPr>
          <w:rFonts w:ascii="Arial" w:hAnsi="Arial" w:cs="Arial"/>
          <w:sz w:val="24"/>
          <w:szCs w:val="24"/>
        </w:rPr>
        <w:t>safeguarding of profits in fluctuating markets all over the world.</w:t>
      </w:r>
    </w:p>
    <w:p w14:paraId="2D593C76" w14:textId="1130FA5E" w:rsidR="009F34F7" w:rsidRPr="00555AB8" w:rsidRDefault="009F34F7" w:rsidP="00F4196A">
      <w:pPr>
        <w:pStyle w:val="ListParagraph"/>
        <w:numPr>
          <w:ilvl w:val="0"/>
          <w:numId w:val="2"/>
        </w:numPr>
        <w:spacing w:line="360" w:lineRule="auto"/>
        <w:jc w:val="both"/>
        <w:rPr>
          <w:rFonts w:ascii="Arial" w:hAnsi="Arial" w:cs="Arial"/>
          <w:sz w:val="24"/>
          <w:szCs w:val="24"/>
        </w:rPr>
      </w:pPr>
      <w:r w:rsidRPr="00555AB8">
        <w:rPr>
          <w:rFonts w:ascii="Arial" w:hAnsi="Arial" w:cs="Arial"/>
          <w:sz w:val="24"/>
          <w:szCs w:val="24"/>
        </w:rPr>
        <w:t>Taxes and regulatory compliance</w:t>
      </w:r>
      <w:r w:rsidR="004917E9" w:rsidRPr="00555AB8">
        <w:rPr>
          <w:rFonts w:ascii="Arial" w:hAnsi="Arial" w:cs="Arial"/>
          <w:sz w:val="24"/>
          <w:szCs w:val="24"/>
        </w:rPr>
        <w:t xml:space="preserve">: </w:t>
      </w:r>
      <w:r w:rsidRPr="00555AB8">
        <w:rPr>
          <w:rFonts w:ascii="Arial" w:hAnsi="Arial" w:cs="Arial"/>
          <w:sz w:val="24"/>
          <w:szCs w:val="24"/>
        </w:rPr>
        <w:t>The company has to operate in various jurisdictions</w:t>
      </w:r>
      <w:r w:rsidR="00993C69" w:rsidRPr="00555AB8">
        <w:rPr>
          <w:rFonts w:ascii="Arial" w:hAnsi="Arial" w:cs="Arial"/>
          <w:sz w:val="24"/>
          <w:szCs w:val="24"/>
        </w:rPr>
        <w:t>,</w:t>
      </w:r>
      <w:r w:rsidRPr="00555AB8">
        <w:rPr>
          <w:rFonts w:ascii="Arial" w:hAnsi="Arial" w:cs="Arial"/>
          <w:sz w:val="24"/>
          <w:szCs w:val="24"/>
        </w:rPr>
        <w:t xml:space="preserve"> and as such, it is </w:t>
      </w:r>
      <w:r w:rsidR="00993C69" w:rsidRPr="00555AB8">
        <w:rPr>
          <w:rFonts w:ascii="Arial" w:hAnsi="Arial" w:cs="Arial"/>
          <w:sz w:val="24"/>
          <w:szCs w:val="24"/>
        </w:rPr>
        <w:t>subject</w:t>
      </w:r>
      <w:r w:rsidRPr="00555AB8">
        <w:rPr>
          <w:rFonts w:ascii="Arial" w:hAnsi="Arial" w:cs="Arial"/>
          <w:sz w:val="24"/>
          <w:szCs w:val="24"/>
        </w:rPr>
        <w:t xml:space="preserve"> to various tax systems and regulations. The tax efficiency can be maximized with strategic restructuring (through joint </w:t>
      </w:r>
      <w:r w:rsidR="00993C69" w:rsidRPr="00555AB8">
        <w:rPr>
          <w:rFonts w:ascii="Arial" w:hAnsi="Arial" w:cs="Arial"/>
          <w:sz w:val="24"/>
          <w:szCs w:val="24"/>
        </w:rPr>
        <w:t>ventures</w:t>
      </w:r>
      <w:r w:rsidRPr="00555AB8">
        <w:rPr>
          <w:rFonts w:ascii="Arial" w:hAnsi="Arial" w:cs="Arial"/>
          <w:sz w:val="24"/>
          <w:szCs w:val="24"/>
        </w:rPr>
        <w:t xml:space="preserve"> and overseas subsidiaries), whereby the good tax policies are exploited to reduce the incidence of taxation and </w:t>
      </w:r>
      <w:r w:rsidR="00993C69" w:rsidRPr="00555AB8">
        <w:rPr>
          <w:rFonts w:ascii="Arial" w:hAnsi="Arial" w:cs="Arial"/>
          <w:sz w:val="24"/>
          <w:szCs w:val="24"/>
        </w:rPr>
        <w:t>the incidence</w:t>
      </w:r>
      <w:r w:rsidRPr="00555AB8">
        <w:rPr>
          <w:rFonts w:ascii="Arial" w:hAnsi="Arial" w:cs="Arial"/>
          <w:sz w:val="24"/>
          <w:szCs w:val="24"/>
        </w:rPr>
        <w:t xml:space="preserve"> of paying tax twice. Nevertheless, aggressive planning on </w:t>
      </w:r>
      <w:r w:rsidR="00993C69" w:rsidRPr="00555AB8">
        <w:rPr>
          <w:rFonts w:ascii="Arial" w:hAnsi="Arial" w:cs="Arial"/>
          <w:sz w:val="24"/>
          <w:szCs w:val="24"/>
        </w:rPr>
        <w:t>taxes</w:t>
      </w:r>
      <w:r w:rsidRPr="00555AB8">
        <w:rPr>
          <w:rFonts w:ascii="Arial" w:hAnsi="Arial" w:cs="Arial"/>
          <w:sz w:val="24"/>
          <w:szCs w:val="24"/>
        </w:rPr>
        <w:t xml:space="preserve"> should be subject to moderation when considering the ethical </w:t>
      </w:r>
      <w:r w:rsidR="00993C69" w:rsidRPr="00555AB8">
        <w:rPr>
          <w:rFonts w:ascii="Arial" w:hAnsi="Arial" w:cs="Arial"/>
          <w:sz w:val="24"/>
          <w:szCs w:val="24"/>
        </w:rPr>
        <w:t>concerns</w:t>
      </w:r>
      <w:r w:rsidRPr="00555AB8">
        <w:rPr>
          <w:rFonts w:ascii="Arial" w:hAnsi="Arial" w:cs="Arial"/>
          <w:sz w:val="24"/>
          <w:szCs w:val="24"/>
        </w:rPr>
        <w:t xml:space="preserve"> and legal adherence</w:t>
      </w:r>
      <w:r w:rsidR="00F4196A" w:rsidRPr="00555AB8">
        <w:rPr>
          <w:rFonts w:ascii="Arial" w:hAnsi="Arial" w:cs="Arial"/>
          <w:sz w:val="24"/>
          <w:szCs w:val="24"/>
        </w:rPr>
        <w:t xml:space="preserve"> (Wood, 2022)</w:t>
      </w:r>
      <w:r w:rsidRPr="00555AB8">
        <w:rPr>
          <w:rFonts w:ascii="Arial" w:hAnsi="Arial" w:cs="Arial"/>
          <w:sz w:val="24"/>
          <w:szCs w:val="24"/>
        </w:rPr>
        <w:t>. To ensure that there are no legal risks and reputation losses, clear reporting and following the global tax criteria are required.</w:t>
      </w:r>
    </w:p>
    <w:p w14:paraId="2647C2AB" w14:textId="1E6A0ED6" w:rsidR="009F34F7" w:rsidRPr="00555AB8" w:rsidRDefault="009F34F7" w:rsidP="004917E9">
      <w:pPr>
        <w:pStyle w:val="ListParagraph"/>
        <w:numPr>
          <w:ilvl w:val="0"/>
          <w:numId w:val="2"/>
        </w:numPr>
        <w:spacing w:line="360" w:lineRule="auto"/>
        <w:jc w:val="both"/>
        <w:rPr>
          <w:rFonts w:ascii="Arial" w:hAnsi="Arial" w:cs="Arial"/>
          <w:sz w:val="24"/>
          <w:szCs w:val="24"/>
        </w:rPr>
      </w:pPr>
      <w:r w:rsidRPr="00555AB8">
        <w:rPr>
          <w:rFonts w:ascii="Arial" w:hAnsi="Arial" w:cs="Arial"/>
          <w:sz w:val="24"/>
          <w:szCs w:val="24"/>
        </w:rPr>
        <w:t>Inflation and Pressures on Costs</w:t>
      </w:r>
      <w:r w:rsidR="004917E9" w:rsidRPr="00555AB8">
        <w:rPr>
          <w:rFonts w:ascii="Arial" w:hAnsi="Arial" w:cs="Arial"/>
          <w:sz w:val="24"/>
          <w:szCs w:val="24"/>
        </w:rPr>
        <w:t xml:space="preserve">: </w:t>
      </w:r>
      <w:r w:rsidRPr="00555AB8">
        <w:rPr>
          <w:rFonts w:ascii="Arial" w:hAnsi="Arial" w:cs="Arial"/>
          <w:sz w:val="24"/>
          <w:szCs w:val="24"/>
        </w:rPr>
        <w:t>The inflation rate in the world</w:t>
      </w:r>
      <w:r w:rsidR="00993C69" w:rsidRPr="00555AB8">
        <w:rPr>
          <w:rFonts w:ascii="Arial" w:hAnsi="Arial" w:cs="Arial"/>
          <w:sz w:val="24"/>
          <w:szCs w:val="24"/>
        </w:rPr>
        <w:t>,</w:t>
      </w:r>
      <w:r w:rsidRPr="00555AB8">
        <w:rPr>
          <w:rFonts w:ascii="Arial" w:hAnsi="Arial" w:cs="Arial"/>
          <w:sz w:val="24"/>
          <w:szCs w:val="24"/>
        </w:rPr>
        <w:t xml:space="preserve"> especially in raw materials like Lithium and semiconductors</w:t>
      </w:r>
      <w:r w:rsidR="00993C69" w:rsidRPr="00555AB8">
        <w:rPr>
          <w:rFonts w:ascii="Arial" w:hAnsi="Arial" w:cs="Arial"/>
          <w:sz w:val="24"/>
          <w:szCs w:val="24"/>
        </w:rPr>
        <w:t>,</w:t>
      </w:r>
      <w:r w:rsidRPr="00555AB8">
        <w:rPr>
          <w:rFonts w:ascii="Arial" w:hAnsi="Arial" w:cs="Arial"/>
          <w:sz w:val="24"/>
          <w:szCs w:val="24"/>
        </w:rPr>
        <w:t xml:space="preserve"> is a great challenge to BYD. Financial restoring makes it easier to absorb higher </w:t>
      </w:r>
      <w:r w:rsidR="00993C69" w:rsidRPr="00555AB8">
        <w:rPr>
          <w:rFonts w:ascii="Arial" w:hAnsi="Arial" w:cs="Arial"/>
          <w:sz w:val="24"/>
          <w:szCs w:val="24"/>
        </w:rPr>
        <w:t>costs</w:t>
      </w:r>
      <w:r w:rsidRPr="00555AB8">
        <w:rPr>
          <w:rFonts w:ascii="Arial" w:hAnsi="Arial" w:cs="Arial"/>
          <w:sz w:val="24"/>
          <w:szCs w:val="24"/>
        </w:rPr>
        <w:t xml:space="preserve"> as it will have a reinforced capital base and will allow the firm to run its operations more effectively. Inflationary pressures can also be reduced by using long-term supply contracts and vertically integrated strategies that will make sure that the costs are stable.</w:t>
      </w:r>
    </w:p>
    <w:p w14:paraId="2A03D9A9" w14:textId="5E0A8766" w:rsidR="009F34F7" w:rsidRPr="00555AB8" w:rsidRDefault="009F34F7" w:rsidP="00794E1D">
      <w:pPr>
        <w:pStyle w:val="Heading2"/>
        <w:rPr>
          <w:rFonts w:ascii="Arial" w:hAnsi="Arial" w:cs="Arial"/>
          <w:b/>
          <w:bCs/>
          <w:i/>
          <w:iCs/>
          <w:sz w:val="24"/>
          <w:szCs w:val="24"/>
          <w:u w:val="single"/>
        </w:rPr>
      </w:pPr>
      <w:bookmarkStart w:id="18" w:name="_Toc227767962"/>
      <w:r w:rsidRPr="00555AB8">
        <w:rPr>
          <w:rFonts w:ascii="Arial" w:hAnsi="Arial" w:cs="Arial"/>
          <w:b/>
          <w:bCs/>
          <w:i/>
          <w:iCs/>
          <w:sz w:val="24"/>
          <w:szCs w:val="24"/>
          <w:u w:val="single"/>
        </w:rPr>
        <w:t>Corporate Social Responsibility (CSR) and ethical issues.</w:t>
      </w:r>
      <w:bookmarkEnd w:id="18"/>
    </w:p>
    <w:p w14:paraId="405FFC32" w14:textId="3F929FBE" w:rsidR="009F34F7" w:rsidRPr="00555AB8" w:rsidRDefault="009F34F7" w:rsidP="00BF0291">
      <w:pPr>
        <w:spacing w:line="360" w:lineRule="auto"/>
        <w:ind w:firstLine="720"/>
        <w:jc w:val="both"/>
        <w:rPr>
          <w:rFonts w:ascii="Arial" w:hAnsi="Arial" w:cs="Arial"/>
          <w:sz w:val="24"/>
          <w:szCs w:val="24"/>
        </w:rPr>
      </w:pPr>
      <w:r w:rsidRPr="00555AB8">
        <w:rPr>
          <w:rFonts w:ascii="Arial" w:hAnsi="Arial" w:cs="Arial"/>
          <w:sz w:val="24"/>
          <w:szCs w:val="24"/>
        </w:rPr>
        <w:t xml:space="preserve">Restructuring Financing should be in line with extended ethical and social </w:t>
      </w:r>
      <w:r w:rsidR="00993C69" w:rsidRPr="00555AB8">
        <w:rPr>
          <w:rFonts w:ascii="Arial" w:hAnsi="Arial" w:cs="Arial"/>
          <w:sz w:val="24"/>
          <w:szCs w:val="24"/>
        </w:rPr>
        <w:t>accountability</w:t>
      </w:r>
      <w:r w:rsidRPr="00555AB8">
        <w:rPr>
          <w:rFonts w:ascii="Arial" w:hAnsi="Arial" w:cs="Arial"/>
          <w:sz w:val="24"/>
          <w:szCs w:val="24"/>
        </w:rPr>
        <w:t>. BYD</w:t>
      </w:r>
      <w:r w:rsidR="00993C69" w:rsidRPr="00555AB8">
        <w:rPr>
          <w:rFonts w:ascii="Arial" w:hAnsi="Arial" w:cs="Arial"/>
          <w:sz w:val="24"/>
          <w:szCs w:val="24"/>
        </w:rPr>
        <w:t>,</w:t>
      </w:r>
      <w:r w:rsidRPr="00555AB8">
        <w:rPr>
          <w:rFonts w:ascii="Arial" w:hAnsi="Arial" w:cs="Arial"/>
          <w:sz w:val="24"/>
          <w:szCs w:val="24"/>
        </w:rPr>
        <w:t xml:space="preserve"> being a sustainable mobility leader</w:t>
      </w:r>
      <w:r w:rsidR="00993C69" w:rsidRPr="00555AB8">
        <w:rPr>
          <w:rFonts w:ascii="Arial" w:hAnsi="Arial" w:cs="Arial"/>
          <w:sz w:val="24"/>
          <w:szCs w:val="24"/>
        </w:rPr>
        <w:t>,</w:t>
      </w:r>
      <w:r w:rsidRPr="00555AB8">
        <w:rPr>
          <w:rFonts w:ascii="Arial" w:hAnsi="Arial" w:cs="Arial"/>
          <w:sz w:val="24"/>
          <w:szCs w:val="24"/>
        </w:rPr>
        <w:t xml:space="preserve"> has a significant responsibility in ensuring </w:t>
      </w:r>
      <w:r w:rsidR="00993C69" w:rsidRPr="00555AB8">
        <w:rPr>
          <w:rFonts w:ascii="Arial" w:hAnsi="Arial" w:cs="Arial"/>
          <w:sz w:val="24"/>
          <w:szCs w:val="24"/>
        </w:rPr>
        <w:t xml:space="preserve">a </w:t>
      </w:r>
      <w:r w:rsidRPr="00555AB8">
        <w:rPr>
          <w:rFonts w:ascii="Arial" w:hAnsi="Arial" w:cs="Arial"/>
          <w:sz w:val="24"/>
          <w:szCs w:val="24"/>
        </w:rPr>
        <w:t>sustainable environment and good business. The welfare of the employees, community</w:t>
      </w:r>
      <w:r w:rsidR="00993C69" w:rsidRPr="00555AB8">
        <w:rPr>
          <w:rFonts w:ascii="Arial" w:hAnsi="Arial" w:cs="Arial"/>
          <w:sz w:val="24"/>
          <w:szCs w:val="24"/>
        </w:rPr>
        <w:t>,</w:t>
      </w:r>
      <w:r w:rsidRPr="00555AB8">
        <w:rPr>
          <w:rFonts w:ascii="Arial" w:hAnsi="Arial" w:cs="Arial"/>
          <w:sz w:val="24"/>
          <w:szCs w:val="24"/>
        </w:rPr>
        <w:t xml:space="preserve"> and environmental concerns should not come at the expense of divestitures and cost optimization efforts. Moreover, stakeholder inclusivity and transparency must be the priority of equity financing and international growth</w:t>
      </w:r>
      <w:r w:rsidR="00BF0291" w:rsidRPr="00555AB8">
        <w:rPr>
          <w:rFonts w:ascii="Arial" w:hAnsi="Arial" w:cs="Arial"/>
          <w:sz w:val="24"/>
          <w:szCs w:val="24"/>
        </w:rPr>
        <w:t xml:space="preserve"> (Wang and Zhang, 2025)</w:t>
      </w:r>
      <w:r w:rsidRPr="00555AB8">
        <w:rPr>
          <w:rFonts w:ascii="Arial" w:hAnsi="Arial" w:cs="Arial"/>
          <w:sz w:val="24"/>
          <w:szCs w:val="24"/>
        </w:rPr>
        <w:t xml:space="preserve">. The compliance with the principles of environmental, social, and governance (ESG) promotes the corporate reputation and </w:t>
      </w:r>
      <w:r w:rsidR="00993C69" w:rsidRPr="00555AB8">
        <w:rPr>
          <w:rFonts w:ascii="Arial" w:hAnsi="Arial" w:cs="Arial"/>
          <w:sz w:val="24"/>
          <w:szCs w:val="24"/>
        </w:rPr>
        <w:t xml:space="preserve">the </w:t>
      </w:r>
      <w:r w:rsidRPr="00555AB8">
        <w:rPr>
          <w:rFonts w:ascii="Arial" w:hAnsi="Arial" w:cs="Arial"/>
          <w:sz w:val="24"/>
          <w:szCs w:val="24"/>
        </w:rPr>
        <w:t>main relationships between companies and long-term stakeholders. Sustainable value creation is hence ethical financial management.</w:t>
      </w:r>
    </w:p>
    <w:p w14:paraId="64676005" w14:textId="7CC1A5A2" w:rsidR="00454613" w:rsidRPr="00555AB8" w:rsidRDefault="00773E17" w:rsidP="00794E1D">
      <w:pPr>
        <w:pStyle w:val="Heading1"/>
        <w:spacing w:line="360" w:lineRule="auto"/>
        <w:jc w:val="both"/>
        <w:rPr>
          <w:rFonts w:ascii="Arial" w:hAnsi="Arial" w:cs="Arial"/>
          <w:b/>
          <w:bCs/>
          <w:sz w:val="28"/>
          <w:szCs w:val="28"/>
        </w:rPr>
      </w:pPr>
      <w:bookmarkStart w:id="19" w:name="_Toc227767963"/>
      <w:r w:rsidRPr="00555AB8">
        <w:rPr>
          <w:rFonts w:ascii="Arial" w:hAnsi="Arial" w:cs="Arial"/>
          <w:b/>
          <w:bCs/>
          <w:sz w:val="28"/>
          <w:szCs w:val="28"/>
        </w:rPr>
        <w:t xml:space="preserve">INVESTMENT APPRAISAL AND CAPITAL </w:t>
      </w:r>
      <w:r w:rsidR="005D1BE2" w:rsidRPr="00555AB8">
        <w:rPr>
          <w:rFonts w:ascii="Arial" w:hAnsi="Arial" w:cs="Arial"/>
          <w:b/>
          <w:bCs/>
          <w:sz w:val="28"/>
          <w:szCs w:val="28"/>
        </w:rPr>
        <w:t>BUDGETING</w:t>
      </w:r>
      <w:bookmarkEnd w:id="19"/>
      <w:r w:rsidRPr="00555AB8">
        <w:rPr>
          <w:rFonts w:ascii="Arial" w:hAnsi="Arial" w:cs="Arial"/>
          <w:b/>
          <w:bCs/>
          <w:sz w:val="28"/>
          <w:szCs w:val="28"/>
        </w:rPr>
        <w:t xml:space="preserve"> </w:t>
      </w:r>
    </w:p>
    <w:p w14:paraId="4A574831" w14:textId="1B35431A" w:rsidR="00316081" w:rsidRPr="00555AB8" w:rsidRDefault="005D1BE2" w:rsidP="00316081">
      <w:pPr>
        <w:spacing w:line="360" w:lineRule="auto"/>
        <w:jc w:val="both"/>
        <w:rPr>
          <w:rFonts w:ascii="Arial" w:hAnsi="Arial" w:cs="Arial"/>
          <w:sz w:val="24"/>
          <w:szCs w:val="24"/>
        </w:rPr>
      </w:pPr>
      <w:r w:rsidRPr="00555AB8">
        <w:rPr>
          <w:rFonts w:ascii="Arial" w:hAnsi="Arial" w:cs="Arial"/>
          <w:b/>
          <w:bCs/>
          <w:sz w:val="24"/>
          <w:szCs w:val="24"/>
        </w:rPr>
        <w:tab/>
      </w:r>
      <w:r w:rsidRPr="00555AB8">
        <w:rPr>
          <w:rFonts w:ascii="Arial" w:hAnsi="Arial" w:cs="Arial"/>
          <w:sz w:val="24"/>
          <w:szCs w:val="24"/>
        </w:rPr>
        <w:t>The investment appraisal is one of the basic elements of corporate financial management</w:t>
      </w:r>
      <w:r w:rsidR="00993C69" w:rsidRPr="00555AB8">
        <w:rPr>
          <w:rFonts w:ascii="Arial" w:hAnsi="Arial" w:cs="Arial"/>
          <w:sz w:val="24"/>
          <w:szCs w:val="24"/>
        </w:rPr>
        <w:t>,</w:t>
      </w:r>
      <w:r w:rsidRPr="00555AB8">
        <w:rPr>
          <w:rFonts w:ascii="Arial" w:hAnsi="Arial" w:cs="Arial"/>
          <w:sz w:val="24"/>
          <w:szCs w:val="24"/>
        </w:rPr>
        <w:t xml:space="preserve"> and this facilitates the company to effect the allocation of scarce capital so as to maximise the wealth </w:t>
      </w:r>
      <w:r w:rsidR="00993C69" w:rsidRPr="00555AB8">
        <w:rPr>
          <w:rFonts w:ascii="Arial" w:hAnsi="Arial" w:cs="Arial"/>
          <w:sz w:val="24"/>
          <w:szCs w:val="24"/>
        </w:rPr>
        <w:t>of</w:t>
      </w:r>
      <w:r w:rsidRPr="00555AB8">
        <w:rPr>
          <w:rFonts w:ascii="Arial" w:hAnsi="Arial" w:cs="Arial"/>
          <w:sz w:val="24"/>
          <w:szCs w:val="24"/>
        </w:rPr>
        <w:t xml:space="preserve"> shareholders</w:t>
      </w:r>
      <w:r w:rsidR="00F16415" w:rsidRPr="00555AB8">
        <w:rPr>
          <w:rFonts w:ascii="Arial" w:hAnsi="Arial" w:cs="Arial"/>
          <w:sz w:val="24"/>
          <w:szCs w:val="24"/>
        </w:rPr>
        <w:t xml:space="preserve"> (Wang and Wang, 2025)</w:t>
      </w:r>
      <w:r w:rsidRPr="00555AB8">
        <w:rPr>
          <w:rFonts w:ascii="Arial" w:hAnsi="Arial" w:cs="Arial"/>
          <w:sz w:val="24"/>
          <w:szCs w:val="24"/>
        </w:rPr>
        <w:t>. Three mutually exclusive projects (A, B</w:t>
      </w:r>
      <w:r w:rsidR="00993C69" w:rsidRPr="00555AB8">
        <w:rPr>
          <w:rFonts w:ascii="Arial" w:hAnsi="Arial" w:cs="Arial"/>
          <w:sz w:val="24"/>
          <w:szCs w:val="24"/>
        </w:rPr>
        <w:t>,</w:t>
      </w:r>
      <w:r w:rsidRPr="00555AB8">
        <w:rPr>
          <w:rFonts w:ascii="Arial" w:hAnsi="Arial" w:cs="Arial"/>
          <w:sz w:val="24"/>
          <w:szCs w:val="24"/>
        </w:rPr>
        <w:t xml:space="preserve"> and C), all of which demand an initial investment of £50 million) are considered in terms of a scheme of capital budgeting methods, which are the Net Present Value (NPV), Payback Period (PBP), Accounting Rate of Return (ARR), and Internal Rate of Return (IRR). The cost of capital and risk-adjusted required return of the firm is 10 percent</w:t>
      </w:r>
      <w:r w:rsidR="00993C69" w:rsidRPr="00555AB8">
        <w:rPr>
          <w:rFonts w:ascii="Arial" w:hAnsi="Arial" w:cs="Arial"/>
          <w:sz w:val="24"/>
          <w:szCs w:val="24"/>
        </w:rPr>
        <w:t>,</w:t>
      </w:r>
      <w:r w:rsidRPr="00555AB8">
        <w:rPr>
          <w:rFonts w:ascii="Arial" w:hAnsi="Arial" w:cs="Arial"/>
          <w:sz w:val="24"/>
          <w:szCs w:val="24"/>
        </w:rPr>
        <w:t xml:space="preserve"> and as such</w:t>
      </w:r>
      <w:r w:rsidR="00993C69" w:rsidRPr="00555AB8">
        <w:rPr>
          <w:rFonts w:ascii="Arial" w:hAnsi="Arial" w:cs="Arial"/>
          <w:sz w:val="24"/>
          <w:szCs w:val="24"/>
        </w:rPr>
        <w:t>,</w:t>
      </w:r>
      <w:r w:rsidRPr="00555AB8">
        <w:rPr>
          <w:rFonts w:ascii="Arial" w:hAnsi="Arial" w:cs="Arial"/>
          <w:sz w:val="24"/>
          <w:szCs w:val="24"/>
        </w:rPr>
        <w:t xml:space="preserve"> a discount rate of 10 percent has been used. The analysis incorporates quantitative criteria of financial performance and qualitative tactical aspects on how to make the most suitable investment choice.</w:t>
      </w:r>
    </w:p>
    <w:p w14:paraId="34C58AD8" w14:textId="32B41849" w:rsidR="005D1BE2" w:rsidRPr="00555AB8" w:rsidRDefault="005D1BE2" w:rsidP="00794E1D">
      <w:pPr>
        <w:pStyle w:val="Heading2"/>
        <w:rPr>
          <w:rFonts w:ascii="Arial" w:hAnsi="Arial" w:cs="Arial"/>
          <w:b/>
          <w:bCs/>
          <w:i/>
          <w:iCs/>
          <w:sz w:val="24"/>
          <w:szCs w:val="24"/>
          <w:u w:val="single"/>
        </w:rPr>
      </w:pPr>
      <w:bookmarkStart w:id="20" w:name="_Toc227767964"/>
      <w:r w:rsidRPr="00555AB8">
        <w:rPr>
          <w:rFonts w:ascii="Arial" w:hAnsi="Arial" w:cs="Arial"/>
          <w:b/>
          <w:bCs/>
          <w:i/>
          <w:iCs/>
          <w:sz w:val="24"/>
          <w:szCs w:val="24"/>
          <w:u w:val="single"/>
        </w:rPr>
        <w:t>Net Present Value (NPV) Analysis</w:t>
      </w:r>
      <w:bookmarkEnd w:id="20"/>
    </w:p>
    <w:p w14:paraId="7C871B8F" w14:textId="5805AC98" w:rsidR="00DC212A" w:rsidRPr="00555AB8" w:rsidRDefault="005D1BE2" w:rsidP="00DC212A">
      <w:pPr>
        <w:spacing w:line="360" w:lineRule="auto"/>
        <w:jc w:val="both"/>
        <w:rPr>
          <w:rFonts w:ascii="Arial" w:hAnsi="Arial" w:cs="Arial"/>
          <w:sz w:val="24"/>
          <w:szCs w:val="24"/>
        </w:rPr>
      </w:pPr>
      <w:r w:rsidRPr="00555AB8">
        <w:rPr>
          <w:rFonts w:ascii="Arial" w:hAnsi="Arial" w:cs="Arial"/>
          <w:sz w:val="24"/>
          <w:szCs w:val="24"/>
        </w:rPr>
        <w:tab/>
      </w:r>
      <w:r w:rsidR="00DC212A" w:rsidRPr="00555AB8">
        <w:rPr>
          <w:rFonts w:ascii="Arial" w:hAnsi="Arial" w:cs="Arial"/>
          <w:sz w:val="24"/>
          <w:szCs w:val="24"/>
        </w:rPr>
        <w:t>The NPV is by far considered to be the most theoretically sound approach to investment appraisal method, in that it is the direct metric of the contribution of a project to the wealth of the shareholders since it has developed a method of discounting future cash flows to their present value. Using the given discount factors at the rate of 10, the sum of the present values of inflows of Project A is 41.31 million</w:t>
      </w:r>
      <w:r w:rsidR="00993C69" w:rsidRPr="00555AB8">
        <w:rPr>
          <w:rFonts w:ascii="Arial" w:hAnsi="Arial" w:cs="Arial"/>
          <w:sz w:val="24"/>
          <w:szCs w:val="24"/>
        </w:rPr>
        <w:t>,</w:t>
      </w:r>
      <w:r w:rsidR="00DC212A" w:rsidRPr="00555AB8">
        <w:rPr>
          <w:rFonts w:ascii="Arial" w:hAnsi="Arial" w:cs="Arial"/>
          <w:sz w:val="24"/>
          <w:szCs w:val="24"/>
        </w:rPr>
        <w:t xml:space="preserve"> leading to </w:t>
      </w:r>
      <w:r w:rsidR="00993C69" w:rsidRPr="00555AB8">
        <w:rPr>
          <w:rFonts w:ascii="Arial" w:hAnsi="Arial" w:cs="Arial"/>
          <w:sz w:val="24"/>
          <w:szCs w:val="24"/>
        </w:rPr>
        <w:t xml:space="preserve">an </w:t>
      </w:r>
      <w:r w:rsidR="00DC212A" w:rsidRPr="00555AB8">
        <w:rPr>
          <w:rFonts w:ascii="Arial" w:hAnsi="Arial" w:cs="Arial"/>
          <w:sz w:val="24"/>
          <w:szCs w:val="24"/>
        </w:rPr>
        <w:t xml:space="preserve">NPV of -8.68 million. Similarly, Project B generates a present value of £41.69 million, leading to an NPV of –£8.31 million. Project C has relatively </w:t>
      </w:r>
      <w:r w:rsidR="00993C69" w:rsidRPr="00555AB8">
        <w:rPr>
          <w:rFonts w:ascii="Arial" w:hAnsi="Arial" w:cs="Arial"/>
          <w:sz w:val="24"/>
          <w:szCs w:val="24"/>
        </w:rPr>
        <w:t>above-average</w:t>
      </w:r>
      <w:r w:rsidR="00DC212A" w:rsidRPr="00555AB8">
        <w:rPr>
          <w:rFonts w:ascii="Arial" w:hAnsi="Arial" w:cs="Arial"/>
          <w:sz w:val="24"/>
          <w:szCs w:val="24"/>
        </w:rPr>
        <w:t xml:space="preserve"> performance, with a total discounted inflows of -48.01 million and an NPV of -1.99 million</w:t>
      </w:r>
      <w:r w:rsidR="00BD6666" w:rsidRPr="00555AB8">
        <w:rPr>
          <w:rFonts w:ascii="Arial" w:hAnsi="Arial" w:cs="Arial"/>
          <w:sz w:val="24"/>
          <w:szCs w:val="24"/>
        </w:rPr>
        <w:t xml:space="preserve"> (</w:t>
      </w:r>
      <w:proofErr w:type="spellStart"/>
      <w:r w:rsidR="00BD6666" w:rsidRPr="00555AB8">
        <w:rPr>
          <w:rFonts w:ascii="Arial" w:hAnsi="Arial" w:cs="Arial"/>
          <w:sz w:val="24"/>
          <w:szCs w:val="24"/>
        </w:rPr>
        <w:t>Shou</w:t>
      </w:r>
      <w:proofErr w:type="spellEnd"/>
      <w:r w:rsidR="00BD6666" w:rsidRPr="00555AB8">
        <w:rPr>
          <w:rFonts w:ascii="Arial" w:hAnsi="Arial" w:cs="Arial"/>
          <w:sz w:val="24"/>
          <w:szCs w:val="24"/>
        </w:rPr>
        <w:t>, 2022)</w:t>
      </w:r>
      <w:r w:rsidR="00DC212A" w:rsidRPr="00555AB8">
        <w:rPr>
          <w:rFonts w:ascii="Arial" w:hAnsi="Arial" w:cs="Arial"/>
          <w:sz w:val="24"/>
          <w:szCs w:val="24"/>
        </w:rPr>
        <w:t>.</w:t>
      </w:r>
    </w:p>
    <w:p w14:paraId="663946BE" w14:textId="5573082A" w:rsidR="00DC212A" w:rsidRPr="00555AB8" w:rsidRDefault="00DC212A" w:rsidP="00DC212A">
      <w:pPr>
        <w:spacing w:line="360" w:lineRule="auto"/>
        <w:jc w:val="both"/>
        <w:rPr>
          <w:rFonts w:ascii="Arial" w:hAnsi="Arial" w:cs="Arial"/>
          <w:sz w:val="24"/>
          <w:szCs w:val="24"/>
        </w:rPr>
      </w:pPr>
      <w:r w:rsidRPr="00555AB8">
        <w:rPr>
          <w:rFonts w:ascii="Arial" w:hAnsi="Arial" w:cs="Arial"/>
          <w:sz w:val="24"/>
          <w:szCs w:val="24"/>
        </w:rPr>
        <w:t>The overall negative NPV of all projects implies that not one of the investments will yield the desired firm rate of return of 10 per cent, and thus, the destruction of shareholder value according to stringent financial standards. Nevertheless, when compared to each other, it can be seen that the least value-destructive project is Project C, then Project B, and then Project A. This is a critical ranking because in practice capital budget decisions are frequently made to choose the most favourable among alternatives instead of an optimum, especially in industries of strategic importance</w:t>
      </w:r>
      <w:r w:rsidR="00993C69" w:rsidRPr="00555AB8">
        <w:rPr>
          <w:rFonts w:ascii="Arial" w:hAnsi="Arial" w:cs="Arial"/>
          <w:sz w:val="24"/>
          <w:szCs w:val="24"/>
        </w:rPr>
        <w:t>,</w:t>
      </w:r>
      <w:r w:rsidRPr="00555AB8">
        <w:rPr>
          <w:rFonts w:ascii="Arial" w:hAnsi="Arial" w:cs="Arial"/>
          <w:sz w:val="24"/>
          <w:szCs w:val="24"/>
        </w:rPr>
        <w:t xml:space="preserve"> such as industries with longer life of investments.</w:t>
      </w:r>
    </w:p>
    <w:p w14:paraId="3385EEEE" w14:textId="38BC4964" w:rsidR="005D1BE2" w:rsidRPr="00555AB8" w:rsidRDefault="00DC212A" w:rsidP="00DC212A">
      <w:pPr>
        <w:spacing w:line="360" w:lineRule="auto"/>
        <w:jc w:val="both"/>
        <w:rPr>
          <w:rFonts w:ascii="Arial" w:hAnsi="Arial" w:cs="Arial"/>
          <w:sz w:val="24"/>
          <w:szCs w:val="24"/>
        </w:rPr>
      </w:pPr>
      <w:r w:rsidRPr="00555AB8">
        <w:rPr>
          <w:rFonts w:ascii="Arial" w:hAnsi="Arial" w:cs="Arial"/>
          <w:sz w:val="24"/>
          <w:szCs w:val="24"/>
        </w:rPr>
        <w:t>More than that, the NPV findings indicate that investment outcomes are sensitive to the cash flow timing. The reason project C has a higher NPV is that cash inflows are substantial in Years 3 and 4</w:t>
      </w:r>
      <w:r w:rsidR="00993C69" w:rsidRPr="00555AB8">
        <w:rPr>
          <w:rFonts w:ascii="Arial" w:hAnsi="Arial" w:cs="Arial"/>
          <w:sz w:val="24"/>
          <w:szCs w:val="24"/>
        </w:rPr>
        <w:t>,</w:t>
      </w:r>
      <w:r w:rsidRPr="00555AB8">
        <w:rPr>
          <w:rFonts w:ascii="Arial" w:hAnsi="Arial" w:cs="Arial"/>
          <w:sz w:val="24"/>
          <w:szCs w:val="24"/>
        </w:rPr>
        <w:t xml:space="preserve"> which</w:t>
      </w:r>
      <w:r w:rsidR="00993C69" w:rsidRPr="00555AB8">
        <w:rPr>
          <w:rFonts w:ascii="Arial" w:hAnsi="Arial" w:cs="Arial"/>
          <w:sz w:val="24"/>
          <w:szCs w:val="24"/>
        </w:rPr>
        <w:t>,</w:t>
      </w:r>
      <w:r w:rsidRPr="00555AB8">
        <w:rPr>
          <w:rFonts w:ascii="Arial" w:hAnsi="Arial" w:cs="Arial"/>
          <w:sz w:val="24"/>
          <w:szCs w:val="24"/>
        </w:rPr>
        <w:t xml:space="preserve"> even when discounted</w:t>
      </w:r>
      <w:r w:rsidR="00993C69" w:rsidRPr="00555AB8">
        <w:rPr>
          <w:rFonts w:ascii="Arial" w:hAnsi="Arial" w:cs="Arial"/>
          <w:sz w:val="24"/>
          <w:szCs w:val="24"/>
        </w:rPr>
        <w:t>,</w:t>
      </w:r>
      <w:r w:rsidRPr="00555AB8">
        <w:rPr>
          <w:rFonts w:ascii="Arial" w:hAnsi="Arial" w:cs="Arial"/>
          <w:sz w:val="24"/>
          <w:szCs w:val="24"/>
        </w:rPr>
        <w:t xml:space="preserve"> still have much value. This highlights the significance of the size of cash flow in conjunction </w:t>
      </w:r>
      <w:r w:rsidR="00993C69" w:rsidRPr="00555AB8">
        <w:rPr>
          <w:rFonts w:ascii="Arial" w:hAnsi="Arial" w:cs="Arial"/>
          <w:sz w:val="24"/>
          <w:szCs w:val="24"/>
        </w:rPr>
        <w:t>with</w:t>
      </w:r>
      <w:r w:rsidRPr="00555AB8">
        <w:rPr>
          <w:rFonts w:ascii="Arial" w:hAnsi="Arial" w:cs="Arial"/>
          <w:sz w:val="24"/>
          <w:szCs w:val="24"/>
        </w:rPr>
        <w:t xml:space="preserve"> its timing.</w:t>
      </w:r>
    </w:p>
    <w:p w14:paraId="2F87A509" w14:textId="20459E7D" w:rsidR="00DC212A" w:rsidRPr="00555AB8" w:rsidRDefault="00703918" w:rsidP="00794E1D">
      <w:pPr>
        <w:pStyle w:val="Heading2"/>
        <w:rPr>
          <w:rFonts w:ascii="Arial" w:hAnsi="Arial" w:cs="Arial"/>
          <w:b/>
          <w:bCs/>
          <w:i/>
          <w:iCs/>
          <w:sz w:val="24"/>
          <w:szCs w:val="24"/>
          <w:u w:val="single"/>
        </w:rPr>
      </w:pPr>
      <w:bookmarkStart w:id="21" w:name="_Toc227767965"/>
      <w:r w:rsidRPr="00555AB8">
        <w:rPr>
          <w:rFonts w:ascii="Arial" w:hAnsi="Arial" w:cs="Arial"/>
          <w:b/>
          <w:bCs/>
          <w:i/>
          <w:iCs/>
          <w:sz w:val="24"/>
          <w:szCs w:val="24"/>
          <w:u w:val="single"/>
        </w:rPr>
        <w:t>Payback Period Analysis</w:t>
      </w:r>
      <w:bookmarkEnd w:id="21"/>
    </w:p>
    <w:p w14:paraId="16E02F05" w14:textId="71C69000" w:rsidR="00D81D31" w:rsidRPr="00555AB8" w:rsidRDefault="00703918" w:rsidP="00D81D31">
      <w:pPr>
        <w:spacing w:line="360" w:lineRule="auto"/>
        <w:jc w:val="both"/>
        <w:rPr>
          <w:rFonts w:ascii="Arial" w:hAnsi="Arial" w:cs="Arial"/>
          <w:sz w:val="24"/>
          <w:szCs w:val="24"/>
        </w:rPr>
      </w:pPr>
      <w:r w:rsidRPr="00555AB8">
        <w:rPr>
          <w:rFonts w:ascii="Arial" w:hAnsi="Arial" w:cs="Arial"/>
          <w:sz w:val="24"/>
          <w:szCs w:val="24"/>
        </w:rPr>
        <w:tab/>
      </w:r>
      <w:r w:rsidR="00D81D31" w:rsidRPr="00555AB8">
        <w:rPr>
          <w:rFonts w:ascii="Arial" w:hAnsi="Arial" w:cs="Arial"/>
          <w:sz w:val="24"/>
          <w:szCs w:val="24"/>
        </w:rPr>
        <w:t>Payback Period (PBP) is used to estimate the time necessary to recoup the initial investment based on the undiscounted cash flows</w:t>
      </w:r>
      <w:r w:rsidR="00993C69" w:rsidRPr="00555AB8">
        <w:rPr>
          <w:rFonts w:ascii="Arial" w:hAnsi="Arial" w:cs="Arial"/>
          <w:sz w:val="24"/>
          <w:szCs w:val="24"/>
        </w:rPr>
        <w:t>;</w:t>
      </w:r>
      <w:r w:rsidR="00D81D31" w:rsidRPr="00555AB8">
        <w:rPr>
          <w:rFonts w:ascii="Arial" w:hAnsi="Arial" w:cs="Arial"/>
          <w:sz w:val="24"/>
          <w:szCs w:val="24"/>
        </w:rPr>
        <w:t xml:space="preserve"> thus, it is a liquidity and risk assessment tool. Project A has a payback period of 4.5 years</w:t>
      </w:r>
      <w:r w:rsidR="00993C69" w:rsidRPr="00555AB8">
        <w:rPr>
          <w:rFonts w:ascii="Arial" w:hAnsi="Arial" w:cs="Arial"/>
          <w:sz w:val="24"/>
          <w:szCs w:val="24"/>
        </w:rPr>
        <w:t>,</w:t>
      </w:r>
      <w:r w:rsidR="00D81D31" w:rsidRPr="00555AB8">
        <w:rPr>
          <w:rFonts w:ascii="Arial" w:hAnsi="Arial" w:cs="Arial"/>
          <w:sz w:val="24"/>
          <w:szCs w:val="24"/>
        </w:rPr>
        <w:t xml:space="preserve"> and in Project B</w:t>
      </w:r>
      <w:r w:rsidR="00993C69" w:rsidRPr="00555AB8">
        <w:rPr>
          <w:rFonts w:ascii="Arial" w:hAnsi="Arial" w:cs="Arial"/>
          <w:sz w:val="24"/>
          <w:szCs w:val="24"/>
        </w:rPr>
        <w:t>,</w:t>
      </w:r>
      <w:r w:rsidR="00D81D31" w:rsidRPr="00555AB8">
        <w:rPr>
          <w:rFonts w:ascii="Arial" w:hAnsi="Arial" w:cs="Arial"/>
          <w:sz w:val="24"/>
          <w:szCs w:val="24"/>
        </w:rPr>
        <w:t xml:space="preserve"> the payback period takes around 4.55 years. Project C, on the other hand, has an important payback period of 3.6 years.</w:t>
      </w:r>
    </w:p>
    <w:p w14:paraId="31789C3F" w14:textId="0B9D0054" w:rsidR="00D81D31" w:rsidRPr="00555AB8" w:rsidRDefault="00D81D31" w:rsidP="00D81D31">
      <w:pPr>
        <w:spacing w:line="360" w:lineRule="auto"/>
        <w:jc w:val="both"/>
        <w:rPr>
          <w:rFonts w:ascii="Arial" w:hAnsi="Arial" w:cs="Arial"/>
          <w:sz w:val="24"/>
          <w:szCs w:val="24"/>
        </w:rPr>
      </w:pPr>
      <w:r w:rsidRPr="00555AB8">
        <w:rPr>
          <w:rFonts w:ascii="Arial" w:hAnsi="Arial" w:cs="Arial"/>
          <w:sz w:val="24"/>
          <w:szCs w:val="24"/>
        </w:rPr>
        <w:t>In terms of financial management, a shorter payback period is better because it lowers the levels of uncertainty exposure and increases liquidity levels. This factor indicates that Project C has a better risk profile</w:t>
      </w:r>
      <w:r w:rsidR="00993C69" w:rsidRPr="00555AB8">
        <w:rPr>
          <w:rFonts w:ascii="Arial" w:hAnsi="Arial" w:cs="Arial"/>
          <w:sz w:val="24"/>
          <w:szCs w:val="24"/>
        </w:rPr>
        <w:t>,</w:t>
      </w:r>
      <w:r w:rsidRPr="00555AB8">
        <w:rPr>
          <w:rFonts w:ascii="Arial" w:hAnsi="Arial" w:cs="Arial"/>
          <w:sz w:val="24"/>
          <w:szCs w:val="24"/>
        </w:rPr>
        <w:t xml:space="preserve"> especially with unstable economic conditions</w:t>
      </w:r>
      <w:r w:rsidR="00993C69" w:rsidRPr="00555AB8">
        <w:rPr>
          <w:rFonts w:ascii="Arial" w:hAnsi="Arial" w:cs="Arial"/>
          <w:sz w:val="24"/>
          <w:szCs w:val="24"/>
        </w:rPr>
        <w:t>,</w:t>
      </w:r>
      <w:r w:rsidRPr="00555AB8">
        <w:rPr>
          <w:rFonts w:ascii="Arial" w:hAnsi="Arial" w:cs="Arial"/>
          <w:sz w:val="24"/>
          <w:szCs w:val="24"/>
        </w:rPr>
        <w:t xml:space="preserve"> due to its performance. Quick recuperation of capital also enables firms to reinvest capital into other opportunities</w:t>
      </w:r>
      <w:r w:rsidR="00993C69" w:rsidRPr="00555AB8">
        <w:rPr>
          <w:rFonts w:ascii="Arial" w:hAnsi="Arial" w:cs="Arial"/>
          <w:sz w:val="24"/>
          <w:szCs w:val="24"/>
        </w:rPr>
        <w:t>,</w:t>
      </w:r>
      <w:r w:rsidRPr="00555AB8">
        <w:rPr>
          <w:rFonts w:ascii="Arial" w:hAnsi="Arial" w:cs="Arial"/>
          <w:sz w:val="24"/>
          <w:szCs w:val="24"/>
        </w:rPr>
        <w:t xml:space="preserve"> thus enhancing financial flexibility</w:t>
      </w:r>
      <w:r w:rsidR="00CA0E3C" w:rsidRPr="00555AB8">
        <w:rPr>
          <w:rFonts w:ascii="Arial" w:hAnsi="Arial" w:cs="Arial"/>
          <w:sz w:val="24"/>
          <w:szCs w:val="24"/>
        </w:rPr>
        <w:t xml:space="preserve"> (Dai et al., 2022)</w:t>
      </w:r>
      <w:r w:rsidRPr="00555AB8">
        <w:rPr>
          <w:rFonts w:ascii="Arial" w:hAnsi="Arial" w:cs="Arial"/>
          <w:sz w:val="24"/>
          <w:szCs w:val="24"/>
        </w:rPr>
        <w:t>.</w:t>
      </w:r>
    </w:p>
    <w:p w14:paraId="57ECD444" w14:textId="0373F3D5" w:rsidR="00703918" w:rsidRPr="00555AB8" w:rsidRDefault="00D81D31" w:rsidP="00D81D31">
      <w:pPr>
        <w:spacing w:line="360" w:lineRule="auto"/>
        <w:jc w:val="both"/>
        <w:rPr>
          <w:rFonts w:ascii="Arial" w:hAnsi="Arial" w:cs="Arial"/>
          <w:sz w:val="24"/>
          <w:szCs w:val="24"/>
        </w:rPr>
      </w:pPr>
      <w:r w:rsidRPr="00555AB8">
        <w:rPr>
          <w:rFonts w:ascii="Arial" w:hAnsi="Arial" w:cs="Arial"/>
          <w:sz w:val="24"/>
          <w:szCs w:val="24"/>
        </w:rPr>
        <w:t>The payback method</w:t>
      </w:r>
      <w:r w:rsidR="00993C69" w:rsidRPr="00555AB8">
        <w:rPr>
          <w:rFonts w:ascii="Arial" w:hAnsi="Arial" w:cs="Arial"/>
          <w:sz w:val="24"/>
          <w:szCs w:val="24"/>
        </w:rPr>
        <w:t>,</w:t>
      </w:r>
      <w:r w:rsidRPr="00555AB8">
        <w:rPr>
          <w:rFonts w:ascii="Arial" w:hAnsi="Arial" w:cs="Arial"/>
          <w:sz w:val="24"/>
          <w:szCs w:val="24"/>
        </w:rPr>
        <w:t xml:space="preserve"> however</w:t>
      </w:r>
      <w:r w:rsidR="00993C69" w:rsidRPr="00555AB8">
        <w:rPr>
          <w:rFonts w:ascii="Arial" w:hAnsi="Arial" w:cs="Arial"/>
          <w:sz w:val="24"/>
          <w:szCs w:val="24"/>
        </w:rPr>
        <w:t>,</w:t>
      </w:r>
      <w:r w:rsidRPr="00555AB8">
        <w:rPr>
          <w:rFonts w:ascii="Arial" w:hAnsi="Arial" w:cs="Arial"/>
          <w:sz w:val="24"/>
          <w:szCs w:val="24"/>
        </w:rPr>
        <w:t xml:space="preserve"> has significant weaknesses. It does not take the time value of money into consideration and does not take into account the cash flows that are not within the payback period, which may result </w:t>
      </w:r>
      <w:r w:rsidR="00993C69" w:rsidRPr="00555AB8">
        <w:rPr>
          <w:rFonts w:ascii="Arial" w:hAnsi="Arial" w:cs="Arial"/>
          <w:sz w:val="24"/>
          <w:szCs w:val="24"/>
        </w:rPr>
        <w:t>in</w:t>
      </w:r>
      <w:r w:rsidRPr="00555AB8">
        <w:rPr>
          <w:rFonts w:ascii="Arial" w:hAnsi="Arial" w:cs="Arial"/>
          <w:sz w:val="24"/>
          <w:szCs w:val="24"/>
        </w:rPr>
        <w:t xml:space="preserve"> making suboptimal decisions. </w:t>
      </w:r>
    </w:p>
    <w:p w14:paraId="709B3E9F" w14:textId="3D73EF2E" w:rsidR="00D81D31" w:rsidRPr="00555AB8" w:rsidRDefault="00DD6DB5" w:rsidP="00794E1D">
      <w:pPr>
        <w:pStyle w:val="Heading2"/>
        <w:rPr>
          <w:rFonts w:ascii="Arial" w:hAnsi="Arial" w:cs="Arial"/>
          <w:b/>
          <w:bCs/>
          <w:i/>
          <w:iCs/>
          <w:sz w:val="24"/>
          <w:szCs w:val="24"/>
          <w:u w:val="single"/>
        </w:rPr>
      </w:pPr>
      <w:bookmarkStart w:id="22" w:name="_Toc227767966"/>
      <w:r w:rsidRPr="00555AB8">
        <w:rPr>
          <w:rFonts w:ascii="Arial" w:hAnsi="Arial" w:cs="Arial"/>
          <w:b/>
          <w:bCs/>
          <w:i/>
          <w:iCs/>
          <w:sz w:val="24"/>
          <w:szCs w:val="24"/>
          <w:u w:val="single"/>
        </w:rPr>
        <w:t>Accounting Rate of Return (ARR) Analysis</w:t>
      </w:r>
      <w:bookmarkEnd w:id="22"/>
    </w:p>
    <w:p w14:paraId="02F78401" w14:textId="55CCDCF7" w:rsidR="005E4126" w:rsidRPr="00555AB8" w:rsidRDefault="00DD6DB5" w:rsidP="005E4126">
      <w:pPr>
        <w:spacing w:line="360" w:lineRule="auto"/>
        <w:jc w:val="both"/>
        <w:rPr>
          <w:rFonts w:ascii="Arial" w:hAnsi="Arial" w:cs="Arial"/>
          <w:sz w:val="24"/>
          <w:szCs w:val="24"/>
        </w:rPr>
      </w:pPr>
      <w:r w:rsidRPr="00555AB8">
        <w:rPr>
          <w:rFonts w:ascii="Arial" w:hAnsi="Arial" w:cs="Arial"/>
          <w:sz w:val="24"/>
          <w:szCs w:val="24"/>
        </w:rPr>
        <w:tab/>
      </w:r>
      <w:r w:rsidR="005E4126" w:rsidRPr="00555AB8">
        <w:rPr>
          <w:rFonts w:ascii="Arial" w:hAnsi="Arial" w:cs="Arial"/>
          <w:sz w:val="24"/>
          <w:szCs w:val="24"/>
        </w:rPr>
        <w:t xml:space="preserve">ARR is a ratio that determines how much average accounting profit is divided </w:t>
      </w:r>
      <w:r w:rsidR="00993C69" w:rsidRPr="00555AB8">
        <w:rPr>
          <w:rFonts w:ascii="Arial" w:hAnsi="Arial" w:cs="Arial"/>
          <w:sz w:val="24"/>
          <w:szCs w:val="24"/>
        </w:rPr>
        <w:t>by</w:t>
      </w:r>
      <w:r w:rsidR="005E4126" w:rsidRPr="00555AB8">
        <w:rPr>
          <w:rFonts w:ascii="Arial" w:hAnsi="Arial" w:cs="Arial"/>
          <w:sz w:val="24"/>
          <w:szCs w:val="24"/>
        </w:rPr>
        <w:t xml:space="preserve"> average investment</w:t>
      </w:r>
      <w:r w:rsidR="00993C69" w:rsidRPr="00555AB8">
        <w:rPr>
          <w:rFonts w:ascii="Arial" w:hAnsi="Arial" w:cs="Arial"/>
          <w:sz w:val="24"/>
          <w:szCs w:val="24"/>
        </w:rPr>
        <w:t>,</w:t>
      </w:r>
      <w:r w:rsidR="005E4126" w:rsidRPr="00555AB8">
        <w:rPr>
          <w:rFonts w:ascii="Arial" w:hAnsi="Arial" w:cs="Arial"/>
          <w:sz w:val="24"/>
          <w:szCs w:val="24"/>
        </w:rPr>
        <w:t xml:space="preserve"> and it gives a clue about the profitability of an investment based on GAAP, as opposed to cash flows. Depreciation of all projects is straight-line depreciation, with an average investment of 25 million. ARR of Project A occurs at 3.2, Project B 4.0</w:t>
      </w:r>
      <w:r w:rsidR="00993C69" w:rsidRPr="00555AB8">
        <w:rPr>
          <w:rFonts w:ascii="Arial" w:hAnsi="Arial" w:cs="Arial"/>
          <w:sz w:val="24"/>
          <w:szCs w:val="24"/>
        </w:rPr>
        <w:t>,</w:t>
      </w:r>
      <w:r w:rsidR="005E4126" w:rsidRPr="00555AB8">
        <w:rPr>
          <w:rFonts w:ascii="Arial" w:hAnsi="Arial" w:cs="Arial"/>
          <w:sz w:val="24"/>
          <w:szCs w:val="24"/>
        </w:rPr>
        <w:t xml:space="preserve"> and Project C 12.0</w:t>
      </w:r>
      <w:r w:rsidR="00993C69" w:rsidRPr="00555AB8">
        <w:rPr>
          <w:rFonts w:ascii="Arial" w:hAnsi="Arial" w:cs="Arial"/>
          <w:sz w:val="24"/>
          <w:szCs w:val="24"/>
        </w:rPr>
        <w:t>,</w:t>
      </w:r>
      <w:r w:rsidR="005E4126" w:rsidRPr="00555AB8">
        <w:rPr>
          <w:rFonts w:ascii="Arial" w:hAnsi="Arial" w:cs="Arial"/>
          <w:sz w:val="24"/>
          <w:szCs w:val="24"/>
        </w:rPr>
        <w:t xml:space="preserve"> which is far higher.</w:t>
      </w:r>
    </w:p>
    <w:p w14:paraId="6C8FC66B" w14:textId="165FDBC4" w:rsidR="005E4126" w:rsidRPr="00555AB8" w:rsidRDefault="005E4126" w:rsidP="005E4126">
      <w:pPr>
        <w:spacing w:line="360" w:lineRule="auto"/>
        <w:jc w:val="both"/>
        <w:rPr>
          <w:rFonts w:ascii="Arial" w:hAnsi="Arial" w:cs="Arial"/>
          <w:sz w:val="24"/>
          <w:szCs w:val="24"/>
        </w:rPr>
      </w:pPr>
      <w:r w:rsidRPr="00555AB8">
        <w:rPr>
          <w:rFonts w:ascii="Arial" w:hAnsi="Arial" w:cs="Arial"/>
          <w:sz w:val="24"/>
          <w:szCs w:val="24"/>
        </w:rPr>
        <w:t xml:space="preserve">This outcome has clearly made Project C more profitable, </w:t>
      </w:r>
      <w:r w:rsidR="00993C69" w:rsidRPr="00555AB8">
        <w:rPr>
          <w:rFonts w:ascii="Arial" w:hAnsi="Arial" w:cs="Arial"/>
          <w:sz w:val="24"/>
          <w:szCs w:val="24"/>
        </w:rPr>
        <w:t>accounting-wise,</w:t>
      </w:r>
      <w:r w:rsidRPr="00555AB8">
        <w:rPr>
          <w:rFonts w:ascii="Arial" w:hAnsi="Arial" w:cs="Arial"/>
          <w:sz w:val="24"/>
          <w:szCs w:val="24"/>
        </w:rPr>
        <w:t xml:space="preserve"> than both Project B and Project A. This adds to the previous results of NPV, which proves the uniformity of Project </w:t>
      </w:r>
      <w:r w:rsidR="00993C69" w:rsidRPr="00555AB8">
        <w:rPr>
          <w:rFonts w:ascii="Arial" w:hAnsi="Arial" w:cs="Arial"/>
          <w:sz w:val="24"/>
          <w:szCs w:val="24"/>
        </w:rPr>
        <w:t>C's</w:t>
      </w:r>
      <w:r w:rsidRPr="00555AB8">
        <w:rPr>
          <w:rFonts w:ascii="Arial" w:hAnsi="Arial" w:cs="Arial"/>
          <w:sz w:val="24"/>
          <w:szCs w:val="24"/>
        </w:rPr>
        <w:t xml:space="preserve"> relative superiority</w:t>
      </w:r>
      <w:r w:rsidR="00E80821" w:rsidRPr="00555AB8">
        <w:rPr>
          <w:rFonts w:ascii="Arial" w:hAnsi="Arial" w:cs="Arial"/>
          <w:sz w:val="24"/>
          <w:szCs w:val="24"/>
        </w:rPr>
        <w:t xml:space="preserve"> (Cotter, 2023)</w:t>
      </w:r>
      <w:r w:rsidRPr="00555AB8">
        <w:rPr>
          <w:rFonts w:ascii="Arial" w:hAnsi="Arial" w:cs="Arial"/>
          <w:sz w:val="24"/>
          <w:szCs w:val="24"/>
        </w:rPr>
        <w:t>.</w:t>
      </w:r>
    </w:p>
    <w:p w14:paraId="7B8847A6" w14:textId="0C5DBEF8" w:rsidR="00DD6DB5" w:rsidRPr="00555AB8" w:rsidRDefault="005E4126" w:rsidP="005E4126">
      <w:pPr>
        <w:spacing w:line="360" w:lineRule="auto"/>
        <w:jc w:val="both"/>
        <w:rPr>
          <w:rFonts w:ascii="Arial" w:hAnsi="Arial" w:cs="Arial"/>
          <w:sz w:val="24"/>
          <w:szCs w:val="24"/>
        </w:rPr>
      </w:pPr>
      <w:r w:rsidRPr="00555AB8">
        <w:rPr>
          <w:rFonts w:ascii="Arial" w:hAnsi="Arial" w:cs="Arial"/>
          <w:sz w:val="24"/>
          <w:szCs w:val="24"/>
        </w:rPr>
        <w:t xml:space="preserve">However, there are weaknesses in </w:t>
      </w:r>
      <w:r w:rsidR="00993C69" w:rsidRPr="00555AB8">
        <w:rPr>
          <w:rFonts w:ascii="Arial" w:hAnsi="Arial" w:cs="Arial"/>
          <w:sz w:val="24"/>
          <w:szCs w:val="24"/>
        </w:rPr>
        <w:t>the</w:t>
      </w:r>
      <w:r w:rsidRPr="00555AB8">
        <w:rPr>
          <w:rFonts w:ascii="Arial" w:hAnsi="Arial" w:cs="Arial"/>
          <w:sz w:val="24"/>
          <w:szCs w:val="24"/>
        </w:rPr>
        <w:t xml:space="preserve"> methodology. It is based on the accounting profits, and not cash flows</w:t>
      </w:r>
      <w:r w:rsidR="00993C69" w:rsidRPr="00555AB8">
        <w:rPr>
          <w:rFonts w:ascii="Arial" w:hAnsi="Arial" w:cs="Arial"/>
          <w:sz w:val="24"/>
          <w:szCs w:val="24"/>
        </w:rPr>
        <w:t>,</w:t>
      </w:r>
      <w:r w:rsidRPr="00555AB8">
        <w:rPr>
          <w:rFonts w:ascii="Arial" w:hAnsi="Arial" w:cs="Arial"/>
          <w:sz w:val="24"/>
          <w:szCs w:val="24"/>
        </w:rPr>
        <w:t xml:space="preserve"> and is thus prone to accounting policy and non-cash resolution, such as depreciation. </w:t>
      </w:r>
    </w:p>
    <w:p w14:paraId="1E681103" w14:textId="3B44052E" w:rsidR="00856A6C" w:rsidRPr="00555AB8" w:rsidRDefault="00856A6C" w:rsidP="00794E1D">
      <w:pPr>
        <w:pStyle w:val="Heading2"/>
        <w:rPr>
          <w:rFonts w:ascii="Arial" w:hAnsi="Arial" w:cs="Arial"/>
          <w:b/>
          <w:bCs/>
          <w:i/>
          <w:iCs/>
          <w:sz w:val="24"/>
          <w:szCs w:val="24"/>
          <w:u w:val="single"/>
        </w:rPr>
      </w:pPr>
      <w:bookmarkStart w:id="23" w:name="_Toc227767967"/>
      <w:r w:rsidRPr="00555AB8">
        <w:rPr>
          <w:rFonts w:ascii="Arial" w:hAnsi="Arial" w:cs="Arial"/>
          <w:b/>
          <w:bCs/>
          <w:i/>
          <w:iCs/>
          <w:sz w:val="24"/>
          <w:szCs w:val="24"/>
          <w:u w:val="single"/>
        </w:rPr>
        <w:t>Internal Rate of Return (IRR) Analysis</w:t>
      </w:r>
      <w:bookmarkEnd w:id="23"/>
    </w:p>
    <w:p w14:paraId="434A5182" w14:textId="6392A263" w:rsidR="00A26A0E" w:rsidRPr="00555AB8" w:rsidRDefault="00A26A0E" w:rsidP="00A26A0E">
      <w:pPr>
        <w:spacing w:line="360" w:lineRule="auto"/>
        <w:jc w:val="both"/>
        <w:rPr>
          <w:rFonts w:ascii="Arial" w:hAnsi="Arial" w:cs="Arial"/>
          <w:sz w:val="24"/>
          <w:szCs w:val="24"/>
        </w:rPr>
      </w:pPr>
      <w:r w:rsidRPr="00555AB8">
        <w:rPr>
          <w:rFonts w:ascii="Arial" w:hAnsi="Arial" w:cs="Arial"/>
          <w:sz w:val="24"/>
          <w:szCs w:val="24"/>
        </w:rPr>
        <w:tab/>
        <w:t xml:space="preserve">IRR is the discount rate at which </w:t>
      </w:r>
      <w:r w:rsidR="00993C69" w:rsidRPr="00555AB8">
        <w:rPr>
          <w:rFonts w:ascii="Arial" w:hAnsi="Arial" w:cs="Arial"/>
          <w:sz w:val="24"/>
          <w:szCs w:val="24"/>
        </w:rPr>
        <w:t xml:space="preserve">the </w:t>
      </w:r>
      <w:r w:rsidRPr="00555AB8">
        <w:rPr>
          <w:rFonts w:ascii="Arial" w:hAnsi="Arial" w:cs="Arial"/>
          <w:sz w:val="24"/>
          <w:szCs w:val="24"/>
        </w:rPr>
        <w:t>NPV of the project would be zero</w:t>
      </w:r>
      <w:r w:rsidR="00993C69" w:rsidRPr="00555AB8">
        <w:rPr>
          <w:rFonts w:ascii="Arial" w:hAnsi="Arial" w:cs="Arial"/>
          <w:sz w:val="24"/>
          <w:szCs w:val="24"/>
        </w:rPr>
        <w:t>,</w:t>
      </w:r>
      <w:r w:rsidRPr="00555AB8">
        <w:rPr>
          <w:rFonts w:ascii="Arial" w:hAnsi="Arial" w:cs="Arial"/>
          <w:sz w:val="24"/>
          <w:szCs w:val="24"/>
        </w:rPr>
        <w:t xml:space="preserve"> implying the expected rate of return of the project. Following the computations, Project A yields a value of about 2.72, Project B 3.26</w:t>
      </w:r>
      <w:r w:rsidR="00993C69" w:rsidRPr="00555AB8">
        <w:rPr>
          <w:rFonts w:ascii="Arial" w:hAnsi="Arial" w:cs="Arial"/>
          <w:sz w:val="24"/>
          <w:szCs w:val="24"/>
        </w:rPr>
        <w:t>,</w:t>
      </w:r>
      <w:r w:rsidRPr="00555AB8">
        <w:rPr>
          <w:rFonts w:ascii="Arial" w:hAnsi="Arial" w:cs="Arial"/>
          <w:sz w:val="24"/>
          <w:szCs w:val="24"/>
        </w:rPr>
        <w:t xml:space="preserve"> and Project C with a yield of 8.59.</w:t>
      </w:r>
    </w:p>
    <w:p w14:paraId="1525C059" w14:textId="069FDE57" w:rsidR="00A26A0E" w:rsidRPr="00555AB8" w:rsidRDefault="00A26A0E" w:rsidP="00A26A0E">
      <w:pPr>
        <w:spacing w:line="360" w:lineRule="auto"/>
        <w:jc w:val="both"/>
        <w:rPr>
          <w:rFonts w:ascii="Arial" w:hAnsi="Arial" w:cs="Arial"/>
          <w:sz w:val="24"/>
          <w:szCs w:val="24"/>
        </w:rPr>
      </w:pPr>
      <w:r w:rsidRPr="00555AB8">
        <w:rPr>
          <w:rFonts w:ascii="Arial" w:hAnsi="Arial" w:cs="Arial"/>
          <w:sz w:val="24"/>
          <w:szCs w:val="24"/>
        </w:rPr>
        <w:t>The entire IRRs are less than the cost of capital of 10</w:t>
      </w:r>
      <w:r w:rsidR="00993C69" w:rsidRPr="00555AB8">
        <w:rPr>
          <w:rFonts w:ascii="Arial" w:hAnsi="Arial" w:cs="Arial"/>
          <w:sz w:val="24"/>
          <w:szCs w:val="24"/>
        </w:rPr>
        <w:t>,</w:t>
      </w:r>
      <w:r w:rsidRPr="00555AB8">
        <w:rPr>
          <w:rFonts w:ascii="Arial" w:hAnsi="Arial" w:cs="Arial"/>
          <w:sz w:val="24"/>
          <w:szCs w:val="24"/>
        </w:rPr>
        <w:t xml:space="preserve"> which confirms the previous finding that none of the projects are viable under </w:t>
      </w:r>
      <w:r w:rsidR="00993C69" w:rsidRPr="00555AB8">
        <w:rPr>
          <w:rFonts w:ascii="Arial" w:hAnsi="Arial" w:cs="Arial"/>
          <w:sz w:val="24"/>
          <w:szCs w:val="24"/>
        </w:rPr>
        <w:t xml:space="preserve">a </w:t>
      </w:r>
      <w:r w:rsidRPr="00555AB8">
        <w:rPr>
          <w:rFonts w:ascii="Arial" w:hAnsi="Arial" w:cs="Arial"/>
          <w:sz w:val="24"/>
          <w:szCs w:val="24"/>
        </w:rPr>
        <w:t>rigid value-maximisation criterion. But, once again, Project C shows the best results, as its IRR is nearest to the rate of return needed.</w:t>
      </w:r>
    </w:p>
    <w:p w14:paraId="5E026EF7" w14:textId="09C36BA6" w:rsidR="00A26A0E" w:rsidRPr="00555AB8" w:rsidRDefault="00A26A0E" w:rsidP="00A26A0E">
      <w:pPr>
        <w:spacing w:line="360" w:lineRule="auto"/>
        <w:jc w:val="both"/>
        <w:rPr>
          <w:rFonts w:ascii="Arial" w:hAnsi="Arial" w:cs="Arial"/>
          <w:sz w:val="24"/>
          <w:szCs w:val="24"/>
        </w:rPr>
      </w:pPr>
      <w:r w:rsidRPr="00555AB8">
        <w:rPr>
          <w:rFonts w:ascii="Arial" w:hAnsi="Arial" w:cs="Arial"/>
          <w:sz w:val="24"/>
          <w:szCs w:val="24"/>
        </w:rPr>
        <w:t>Theoretically, IRR is intensively applied because of its intuitive nature and the ability to be readily compared to the cost of capital</w:t>
      </w:r>
      <w:r w:rsidR="00E11AA1" w:rsidRPr="00555AB8">
        <w:rPr>
          <w:rFonts w:ascii="Arial" w:hAnsi="Arial" w:cs="Arial"/>
          <w:sz w:val="24"/>
          <w:szCs w:val="24"/>
        </w:rPr>
        <w:t xml:space="preserve"> (</w:t>
      </w:r>
      <w:proofErr w:type="spellStart"/>
      <w:r w:rsidR="00E11AA1" w:rsidRPr="00555AB8">
        <w:rPr>
          <w:rFonts w:ascii="Arial" w:hAnsi="Arial" w:cs="Arial"/>
          <w:sz w:val="24"/>
          <w:szCs w:val="24"/>
        </w:rPr>
        <w:t>Wangchuk</w:t>
      </w:r>
      <w:proofErr w:type="spellEnd"/>
      <w:r w:rsidR="00E11AA1" w:rsidRPr="00555AB8">
        <w:rPr>
          <w:rFonts w:ascii="Arial" w:hAnsi="Arial" w:cs="Arial"/>
          <w:sz w:val="24"/>
          <w:szCs w:val="24"/>
        </w:rPr>
        <w:t>, 2022)</w:t>
      </w:r>
      <w:r w:rsidRPr="00555AB8">
        <w:rPr>
          <w:rFonts w:ascii="Arial" w:hAnsi="Arial" w:cs="Arial"/>
          <w:sz w:val="24"/>
          <w:szCs w:val="24"/>
        </w:rPr>
        <w:t xml:space="preserve">. But it is not deprived of a limitation. IRR is based on the assumption of reinvestment of intermediate cash flows at </w:t>
      </w:r>
      <w:r w:rsidR="00993C69" w:rsidRPr="00555AB8">
        <w:rPr>
          <w:rFonts w:ascii="Arial" w:hAnsi="Arial" w:cs="Arial"/>
          <w:sz w:val="24"/>
          <w:szCs w:val="24"/>
        </w:rPr>
        <w:t xml:space="preserve">an </w:t>
      </w:r>
      <w:r w:rsidRPr="00555AB8">
        <w:rPr>
          <w:rFonts w:ascii="Arial" w:hAnsi="Arial" w:cs="Arial"/>
          <w:sz w:val="24"/>
          <w:szCs w:val="24"/>
        </w:rPr>
        <w:t xml:space="preserve">equal rate, which is not practical. </w:t>
      </w:r>
    </w:p>
    <w:p w14:paraId="362F3825" w14:textId="1CED467E" w:rsidR="000936DB" w:rsidRPr="00555AB8" w:rsidRDefault="006E266A" w:rsidP="00794E1D">
      <w:pPr>
        <w:pStyle w:val="Heading2"/>
        <w:rPr>
          <w:rFonts w:ascii="Arial" w:hAnsi="Arial" w:cs="Arial"/>
          <w:b/>
          <w:bCs/>
          <w:i/>
          <w:iCs/>
          <w:sz w:val="24"/>
          <w:szCs w:val="24"/>
          <w:u w:val="single"/>
        </w:rPr>
      </w:pPr>
      <w:bookmarkStart w:id="24" w:name="_Toc227767968"/>
      <w:r w:rsidRPr="00555AB8">
        <w:rPr>
          <w:rFonts w:ascii="Arial" w:hAnsi="Arial" w:cs="Arial"/>
          <w:b/>
          <w:bCs/>
          <w:i/>
          <w:iCs/>
          <w:sz w:val="24"/>
          <w:szCs w:val="24"/>
          <w:u w:val="single"/>
        </w:rPr>
        <w:t>Comparative Evaluation of Investment Techniques</w:t>
      </w:r>
      <w:bookmarkEnd w:id="24"/>
    </w:p>
    <w:p w14:paraId="3B624601" w14:textId="66F3F0C0" w:rsidR="00AA65E8" w:rsidRPr="00555AB8" w:rsidRDefault="006E266A" w:rsidP="00AA65E8">
      <w:pPr>
        <w:spacing w:line="360" w:lineRule="auto"/>
        <w:jc w:val="both"/>
        <w:rPr>
          <w:rFonts w:ascii="Arial" w:hAnsi="Arial" w:cs="Arial"/>
          <w:sz w:val="24"/>
          <w:szCs w:val="24"/>
        </w:rPr>
      </w:pPr>
      <w:r w:rsidRPr="00555AB8">
        <w:rPr>
          <w:rFonts w:ascii="Arial" w:hAnsi="Arial" w:cs="Arial"/>
          <w:sz w:val="24"/>
          <w:szCs w:val="24"/>
        </w:rPr>
        <w:tab/>
      </w:r>
      <w:r w:rsidR="00AA65E8" w:rsidRPr="00555AB8">
        <w:rPr>
          <w:rFonts w:ascii="Arial" w:hAnsi="Arial" w:cs="Arial"/>
          <w:sz w:val="24"/>
          <w:szCs w:val="24"/>
        </w:rPr>
        <w:t>The evaluation of projects A, B</w:t>
      </w:r>
      <w:r w:rsidR="00993C69" w:rsidRPr="00555AB8">
        <w:rPr>
          <w:rFonts w:ascii="Arial" w:hAnsi="Arial" w:cs="Arial"/>
          <w:sz w:val="24"/>
          <w:szCs w:val="24"/>
        </w:rPr>
        <w:t>,</w:t>
      </w:r>
      <w:r w:rsidR="00AA65E8" w:rsidRPr="00555AB8">
        <w:rPr>
          <w:rFonts w:ascii="Arial" w:hAnsi="Arial" w:cs="Arial"/>
          <w:sz w:val="24"/>
          <w:szCs w:val="24"/>
        </w:rPr>
        <w:t xml:space="preserve"> and C based on various tools of capital budgeting indicates the necessity to consider a multi-criteria system of decision-making instead of focusing on a single indicator. The most theoretically sound is the Net Present Value (NPV) method based on the discount cash flow theory because it directly quantifies the value creation to shareholders. Here, each project has negative NPVs at a 10% discount rate</w:t>
      </w:r>
      <w:r w:rsidR="00993C69" w:rsidRPr="00555AB8">
        <w:rPr>
          <w:rFonts w:ascii="Arial" w:hAnsi="Arial" w:cs="Arial"/>
          <w:sz w:val="24"/>
          <w:szCs w:val="24"/>
        </w:rPr>
        <w:t>, which</w:t>
      </w:r>
      <w:r w:rsidR="00AA65E8" w:rsidRPr="00555AB8">
        <w:rPr>
          <w:rFonts w:ascii="Arial" w:hAnsi="Arial" w:cs="Arial"/>
          <w:sz w:val="24"/>
          <w:szCs w:val="24"/>
        </w:rPr>
        <w:t xml:space="preserve"> means it has destroyed value</w:t>
      </w:r>
      <w:r w:rsidR="00993C69" w:rsidRPr="00555AB8">
        <w:rPr>
          <w:rFonts w:ascii="Arial" w:hAnsi="Arial" w:cs="Arial"/>
          <w:sz w:val="24"/>
          <w:szCs w:val="24"/>
        </w:rPr>
        <w:t>,</w:t>
      </w:r>
      <w:r w:rsidR="00AA65E8" w:rsidRPr="00555AB8">
        <w:rPr>
          <w:rFonts w:ascii="Arial" w:hAnsi="Arial" w:cs="Arial"/>
          <w:sz w:val="24"/>
          <w:szCs w:val="24"/>
        </w:rPr>
        <w:t xml:space="preserve"> but Project C has the lowest negative NPV ( -1.99m), which makes it comparatively better.</w:t>
      </w:r>
    </w:p>
    <w:p w14:paraId="44247253" w14:textId="280B8E2A" w:rsidR="00AA65E8" w:rsidRPr="00555AB8" w:rsidRDefault="00AA65E8" w:rsidP="00AA65E8">
      <w:pPr>
        <w:spacing w:line="360" w:lineRule="auto"/>
        <w:jc w:val="both"/>
        <w:rPr>
          <w:rFonts w:ascii="Arial" w:hAnsi="Arial" w:cs="Arial"/>
          <w:sz w:val="24"/>
          <w:szCs w:val="24"/>
        </w:rPr>
      </w:pPr>
      <w:r w:rsidRPr="00555AB8">
        <w:rPr>
          <w:rFonts w:ascii="Arial" w:hAnsi="Arial" w:cs="Arial"/>
          <w:sz w:val="24"/>
          <w:szCs w:val="24"/>
        </w:rPr>
        <w:t>Internal rate of Return (IRR) is a simple percentage return with a limitation as a result of reinvestment assumption, which can also be misleading when all the IRRs are less than the cost of capital, and this is the case here. Once more</w:t>
      </w:r>
      <w:r w:rsidR="00993C69" w:rsidRPr="00555AB8">
        <w:rPr>
          <w:rFonts w:ascii="Arial" w:hAnsi="Arial" w:cs="Arial"/>
          <w:sz w:val="24"/>
          <w:szCs w:val="24"/>
        </w:rPr>
        <w:t>,</w:t>
      </w:r>
      <w:r w:rsidRPr="00555AB8">
        <w:rPr>
          <w:rFonts w:ascii="Arial" w:hAnsi="Arial" w:cs="Arial"/>
          <w:sz w:val="24"/>
          <w:szCs w:val="24"/>
        </w:rPr>
        <w:t xml:space="preserve"> Project C is best (8.59%), but still less than the hurdle rate</w:t>
      </w:r>
      <w:r w:rsidR="006F7B71" w:rsidRPr="00555AB8">
        <w:rPr>
          <w:rFonts w:ascii="Arial" w:hAnsi="Arial" w:cs="Arial"/>
          <w:sz w:val="24"/>
          <w:szCs w:val="24"/>
        </w:rPr>
        <w:t xml:space="preserve"> (Liang, 2025)</w:t>
      </w:r>
      <w:r w:rsidRPr="00555AB8">
        <w:rPr>
          <w:rFonts w:ascii="Arial" w:hAnsi="Arial" w:cs="Arial"/>
          <w:sz w:val="24"/>
          <w:szCs w:val="24"/>
        </w:rPr>
        <w:t>. Profitability Index (PI) is used to complement NPV in case capital is limited</w:t>
      </w:r>
      <w:r w:rsidR="00993C69" w:rsidRPr="00555AB8">
        <w:rPr>
          <w:rFonts w:ascii="Arial" w:hAnsi="Arial" w:cs="Arial"/>
          <w:sz w:val="24"/>
          <w:szCs w:val="24"/>
        </w:rPr>
        <w:t>,</w:t>
      </w:r>
      <w:r w:rsidRPr="00555AB8">
        <w:rPr>
          <w:rFonts w:ascii="Arial" w:hAnsi="Arial" w:cs="Arial"/>
          <w:sz w:val="24"/>
          <w:szCs w:val="24"/>
        </w:rPr>
        <w:t xml:space="preserve"> as it measures the value per unit of investment and ranks the projects in a similar manner (C &gt; B &gt; A).</w:t>
      </w:r>
    </w:p>
    <w:p w14:paraId="66D56271" w14:textId="3E7E5441" w:rsidR="006E266A" w:rsidRPr="00555AB8" w:rsidRDefault="00AA65E8" w:rsidP="00AA65E8">
      <w:pPr>
        <w:spacing w:line="360" w:lineRule="auto"/>
        <w:jc w:val="both"/>
        <w:rPr>
          <w:rFonts w:ascii="Arial" w:hAnsi="Arial" w:cs="Arial"/>
          <w:sz w:val="24"/>
          <w:szCs w:val="24"/>
        </w:rPr>
      </w:pPr>
      <w:r w:rsidRPr="00555AB8">
        <w:rPr>
          <w:rFonts w:ascii="Arial" w:hAnsi="Arial" w:cs="Arial"/>
          <w:sz w:val="24"/>
          <w:szCs w:val="24"/>
        </w:rPr>
        <w:t>Payback Period (PBP) and Accounting rate of return (ARR), on the contrary, are less advanced. Whereas PBP focuses on liquidity and recovery of the risk</w:t>
      </w:r>
      <w:r w:rsidR="00993C69" w:rsidRPr="00555AB8">
        <w:rPr>
          <w:rFonts w:ascii="Arial" w:hAnsi="Arial" w:cs="Arial"/>
          <w:sz w:val="24"/>
          <w:szCs w:val="24"/>
        </w:rPr>
        <w:t>,</w:t>
      </w:r>
      <w:r w:rsidRPr="00555AB8">
        <w:rPr>
          <w:rFonts w:ascii="Arial" w:hAnsi="Arial" w:cs="Arial"/>
          <w:sz w:val="24"/>
          <w:szCs w:val="24"/>
        </w:rPr>
        <w:t xml:space="preserve"> favouring Project C (3.6 years)</w:t>
      </w:r>
      <w:r w:rsidR="00993C69" w:rsidRPr="00555AB8">
        <w:rPr>
          <w:rFonts w:ascii="Arial" w:hAnsi="Arial" w:cs="Arial"/>
          <w:sz w:val="24"/>
          <w:szCs w:val="24"/>
        </w:rPr>
        <w:t>,</w:t>
      </w:r>
      <w:r w:rsidRPr="00555AB8">
        <w:rPr>
          <w:rFonts w:ascii="Arial" w:hAnsi="Arial" w:cs="Arial"/>
          <w:sz w:val="24"/>
          <w:szCs w:val="24"/>
        </w:rPr>
        <w:t xml:space="preserve"> it disregards </w:t>
      </w:r>
      <w:r w:rsidR="00993C69" w:rsidRPr="00555AB8">
        <w:rPr>
          <w:rFonts w:ascii="Arial" w:hAnsi="Arial" w:cs="Arial"/>
          <w:sz w:val="24"/>
          <w:szCs w:val="24"/>
        </w:rPr>
        <w:t xml:space="preserve">the </w:t>
      </w:r>
      <w:r w:rsidRPr="00555AB8">
        <w:rPr>
          <w:rFonts w:ascii="Arial" w:hAnsi="Arial" w:cs="Arial"/>
          <w:sz w:val="24"/>
          <w:szCs w:val="24"/>
        </w:rPr>
        <w:t>time value of money and post-payback cash flow. ARR can misrepresent the economic reality on the basis of accounting profits. Altogether, NPV will be the overall decision tool alongside IRR and PI to rank</w:t>
      </w:r>
      <w:r w:rsidR="00993C69" w:rsidRPr="00555AB8">
        <w:rPr>
          <w:rFonts w:ascii="Arial" w:hAnsi="Arial" w:cs="Arial"/>
          <w:sz w:val="24"/>
          <w:szCs w:val="24"/>
        </w:rPr>
        <w:t>,</w:t>
      </w:r>
      <w:r w:rsidRPr="00555AB8">
        <w:rPr>
          <w:rFonts w:ascii="Arial" w:hAnsi="Arial" w:cs="Arial"/>
          <w:sz w:val="24"/>
          <w:szCs w:val="24"/>
        </w:rPr>
        <w:t xml:space="preserve"> along with PBP</w:t>
      </w:r>
      <w:r w:rsidR="00993C69" w:rsidRPr="00555AB8">
        <w:rPr>
          <w:rFonts w:ascii="Arial" w:hAnsi="Arial" w:cs="Arial"/>
          <w:sz w:val="24"/>
          <w:szCs w:val="24"/>
        </w:rPr>
        <w:t>,</w:t>
      </w:r>
      <w:r w:rsidRPr="00555AB8">
        <w:rPr>
          <w:rFonts w:ascii="Arial" w:hAnsi="Arial" w:cs="Arial"/>
          <w:sz w:val="24"/>
          <w:szCs w:val="24"/>
        </w:rPr>
        <w:t xml:space="preserve"> to have insight </w:t>
      </w:r>
      <w:r w:rsidR="00993C69" w:rsidRPr="00555AB8">
        <w:rPr>
          <w:rFonts w:ascii="Arial" w:hAnsi="Arial" w:cs="Arial"/>
          <w:sz w:val="24"/>
          <w:szCs w:val="24"/>
        </w:rPr>
        <w:t>into</w:t>
      </w:r>
      <w:r w:rsidRPr="00555AB8">
        <w:rPr>
          <w:rFonts w:ascii="Arial" w:hAnsi="Arial" w:cs="Arial"/>
          <w:sz w:val="24"/>
          <w:szCs w:val="24"/>
        </w:rPr>
        <w:t xml:space="preserve"> the liquidity.</w:t>
      </w:r>
    </w:p>
    <w:p w14:paraId="1B3D3DC5" w14:textId="1D682D8C" w:rsidR="00AA65E8" w:rsidRPr="00555AB8" w:rsidRDefault="00FE11C6" w:rsidP="00794E1D">
      <w:pPr>
        <w:pStyle w:val="Heading2"/>
        <w:rPr>
          <w:rFonts w:ascii="Arial" w:hAnsi="Arial" w:cs="Arial"/>
          <w:b/>
          <w:bCs/>
          <w:i/>
          <w:iCs/>
          <w:sz w:val="24"/>
          <w:szCs w:val="24"/>
          <w:u w:val="single"/>
        </w:rPr>
      </w:pPr>
      <w:bookmarkStart w:id="25" w:name="_Toc227767969"/>
      <w:r w:rsidRPr="00555AB8">
        <w:rPr>
          <w:rFonts w:ascii="Arial" w:hAnsi="Arial" w:cs="Arial"/>
          <w:b/>
          <w:bCs/>
          <w:i/>
          <w:iCs/>
          <w:sz w:val="24"/>
          <w:szCs w:val="24"/>
          <w:u w:val="single"/>
        </w:rPr>
        <w:t>Capital Rationing</w:t>
      </w:r>
      <w:bookmarkEnd w:id="25"/>
    </w:p>
    <w:p w14:paraId="06E6AA5D" w14:textId="5FBEFB8A" w:rsidR="000C1372" w:rsidRPr="00555AB8" w:rsidRDefault="00FE11C6" w:rsidP="000C1372">
      <w:pPr>
        <w:spacing w:line="360" w:lineRule="auto"/>
        <w:jc w:val="both"/>
        <w:rPr>
          <w:rFonts w:ascii="Arial" w:hAnsi="Arial" w:cs="Arial"/>
          <w:sz w:val="24"/>
          <w:szCs w:val="24"/>
        </w:rPr>
      </w:pPr>
      <w:r w:rsidRPr="00555AB8">
        <w:rPr>
          <w:rFonts w:ascii="Arial" w:hAnsi="Arial" w:cs="Arial"/>
          <w:sz w:val="24"/>
          <w:szCs w:val="24"/>
        </w:rPr>
        <w:tab/>
      </w:r>
      <w:r w:rsidR="000C1372" w:rsidRPr="00555AB8">
        <w:rPr>
          <w:rFonts w:ascii="Arial" w:hAnsi="Arial" w:cs="Arial"/>
          <w:sz w:val="24"/>
          <w:szCs w:val="24"/>
        </w:rPr>
        <w:t>Capital rationing creates the real-world limitation in which not all positive or least-negative NPV projects can be implemented, because of scarce financial resources. In this case, where the maximum investment budget is taken to be 100 million pounds</w:t>
      </w:r>
      <w:r w:rsidR="00993C69" w:rsidRPr="00555AB8">
        <w:rPr>
          <w:rFonts w:ascii="Arial" w:hAnsi="Arial" w:cs="Arial"/>
          <w:sz w:val="24"/>
          <w:szCs w:val="24"/>
        </w:rPr>
        <w:t>,</w:t>
      </w:r>
      <w:r w:rsidR="000C1372" w:rsidRPr="00555AB8">
        <w:rPr>
          <w:rFonts w:ascii="Arial" w:hAnsi="Arial" w:cs="Arial"/>
          <w:sz w:val="24"/>
          <w:szCs w:val="24"/>
        </w:rPr>
        <w:t xml:space="preserve"> only two out of the three projects can be chosen</w:t>
      </w:r>
      <w:r w:rsidR="00993C69" w:rsidRPr="00555AB8">
        <w:rPr>
          <w:rFonts w:ascii="Arial" w:hAnsi="Arial" w:cs="Arial"/>
          <w:sz w:val="24"/>
          <w:szCs w:val="24"/>
        </w:rPr>
        <w:t>,</w:t>
      </w:r>
      <w:r w:rsidR="000C1372" w:rsidRPr="00555AB8">
        <w:rPr>
          <w:rFonts w:ascii="Arial" w:hAnsi="Arial" w:cs="Arial"/>
          <w:sz w:val="24"/>
          <w:szCs w:val="24"/>
        </w:rPr>
        <w:t xml:space="preserve"> and this requires an ideal strategy to allocate them.</w:t>
      </w:r>
    </w:p>
    <w:p w14:paraId="5A22669C" w14:textId="399CB037" w:rsidR="000C1372" w:rsidRPr="00555AB8" w:rsidRDefault="000C1372" w:rsidP="000C1372">
      <w:pPr>
        <w:spacing w:line="360" w:lineRule="auto"/>
        <w:jc w:val="both"/>
        <w:rPr>
          <w:rFonts w:ascii="Arial" w:hAnsi="Arial" w:cs="Arial"/>
          <w:sz w:val="24"/>
          <w:szCs w:val="24"/>
        </w:rPr>
      </w:pPr>
      <w:r w:rsidRPr="00555AB8">
        <w:rPr>
          <w:rFonts w:ascii="Arial" w:hAnsi="Arial" w:cs="Arial"/>
          <w:sz w:val="24"/>
          <w:szCs w:val="24"/>
        </w:rPr>
        <w:t>The theoretically reasoned method of functioning under capital rationing would be to maximise total NPV</w:t>
      </w:r>
      <w:r w:rsidR="00993C69" w:rsidRPr="00555AB8">
        <w:rPr>
          <w:rFonts w:ascii="Arial" w:hAnsi="Arial" w:cs="Arial"/>
          <w:sz w:val="24"/>
          <w:szCs w:val="24"/>
        </w:rPr>
        <w:t>,</w:t>
      </w:r>
      <w:r w:rsidRPr="00555AB8">
        <w:rPr>
          <w:rFonts w:ascii="Arial" w:hAnsi="Arial" w:cs="Arial"/>
          <w:sz w:val="24"/>
          <w:szCs w:val="24"/>
        </w:rPr>
        <w:t xml:space="preserve"> or in this instance, value destruction. Profitability Index (PI) is an important ranking tool since it helps in measuring the value per pound invested. Based on the calculated PIs (Project C: 0.9603, Project B: 0.8340, Project A: 0.8265), the optimal ranking is C &gt; B &gt; A.</w:t>
      </w:r>
    </w:p>
    <w:p w14:paraId="74C74AAE" w14:textId="77777777" w:rsidR="000C1372" w:rsidRPr="00555AB8" w:rsidRDefault="000C1372" w:rsidP="000C1372">
      <w:pPr>
        <w:spacing w:line="360" w:lineRule="auto"/>
        <w:jc w:val="both"/>
        <w:rPr>
          <w:rFonts w:ascii="Arial" w:hAnsi="Arial" w:cs="Arial"/>
          <w:sz w:val="24"/>
          <w:szCs w:val="24"/>
        </w:rPr>
      </w:pPr>
      <w:r w:rsidRPr="00555AB8">
        <w:rPr>
          <w:rFonts w:ascii="Arial" w:hAnsi="Arial" w:cs="Arial"/>
          <w:sz w:val="24"/>
          <w:szCs w:val="24"/>
        </w:rPr>
        <w:t>Assessing all possible combinations, it can be seen that Project B + Project C has the highest NPV (combined) (-10.28m), which is better than either A + C (-10.66m) or A + B (-16.98m). This mix provides a more certain balance between comparatively steady cash flows of Project B and the greater potential returns in Project C.</w:t>
      </w:r>
    </w:p>
    <w:p w14:paraId="0B3F281F" w14:textId="20EB9BC4" w:rsidR="00FE11C6" w:rsidRPr="00555AB8" w:rsidRDefault="000C1372" w:rsidP="000C1372">
      <w:pPr>
        <w:spacing w:line="360" w:lineRule="auto"/>
        <w:jc w:val="both"/>
        <w:rPr>
          <w:rFonts w:ascii="Arial" w:hAnsi="Arial" w:cs="Arial"/>
          <w:sz w:val="24"/>
          <w:szCs w:val="24"/>
        </w:rPr>
      </w:pPr>
      <w:r w:rsidRPr="00555AB8">
        <w:rPr>
          <w:rFonts w:ascii="Arial" w:hAnsi="Arial" w:cs="Arial"/>
          <w:sz w:val="24"/>
          <w:szCs w:val="24"/>
        </w:rPr>
        <w:t>Capital rationing</w:t>
      </w:r>
      <w:r w:rsidR="00993C69" w:rsidRPr="00555AB8">
        <w:rPr>
          <w:rFonts w:ascii="Arial" w:hAnsi="Arial" w:cs="Arial"/>
          <w:sz w:val="24"/>
          <w:szCs w:val="24"/>
        </w:rPr>
        <w:t>,</w:t>
      </w:r>
      <w:r w:rsidRPr="00555AB8">
        <w:rPr>
          <w:rFonts w:ascii="Arial" w:hAnsi="Arial" w:cs="Arial"/>
          <w:sz w:val="24"/>
          <w:szCs w:val="24"/>
        </w:rPr>
        <w:t xml:space="preserve"> therefore</w:t>
      </w:r>
      <w:r w:rsidR="00993C69" w:rsidRPr="00555AB8">
        <w:rPr>
          <w:rFonts w:ascii="Arial" w:hAnsi="Arial" w:cs="Arial"/>
          <w:sz w:val="24"/>
          <w:szCs w:val="24"/>
        </w:rPr>
        <w:t>,</w:t>
      </w:r>
      <w:r w:rsidRPr="00555AB8">
        <w:rPr>
          <w:rFonts w:ascii="Arial" w:hAnsi="Arial" w:cs="Arial"/>
          <w:sz w:val="24"/>
          <w:szCs w:val="24"/>
        </w:rPr>
        <w:t xml:space="preserve"> replaces decision-making processes based on individual project analysis with optimisation based on the portfolio in which efficiency is emphasised on capital allocation. </w:t>
      </w:r>
    </w:p>
    <w:p w14:paraId="5C01665E" w14:textId="3CC11C55" w:rsidR="00022644" w:rsidRPr="00555AB8" w:rsidRDefault="00022644" w:rsidP="00022644">
      <w:pPr>
        <w:spacing w:line="360" w:lineRule="auto"/>
        <w:jc w:val="both"/>
        <w:rPr>
          <w:rFonts w:ascii="Arial" w:hAnsi="Arial" w:cs="Arial"/>
          <w:b/>
          <w:bCs/>
          <w:sz w:val="28"/>
          <w:szCs w:val="28"/>
        </w:rPr>
      </w:pPr>
      <w:r w:rsidRPr="00555AB8">
        <w:rPr>
          <w:rFonts w:ascii="Arial" w:hAnsi="Arial" w:cs="Arial"/>
          <w:b/>
          <w:bCs/>
          <w:sz w:val="28"/>
          <w:szCs w:val="28"/>
        </w:rPr>
        <w:br w:type="page"/>
      </w:r>
    </w:p>
    <w:p w14:paraId="5768D034" w14:textId="27DA1256" w:rsidR="00022644" w:rsidRPr="00555AB8" w:rsidRDefault="00022644" w:rsidP="00022644">
      <w:pPr>
        <w:pStyle w:val="Heading1"/>
        <w:spacing w:line="360" w:lineRule="auto"/>
        <w:jc w:val="both"/>
        <w:rPr>
          <w:rFonts w:ascii="Arial" w:hAnsi="Arial" w:cs="Arial"/>
          <w:b/>
          <w:bCs/>
          <w:sz w:val="28"/>
          <w:szCs w:val="28"/>
        </w:rPr>
      </w:pPr>
      <w:bookmarkStart w:id="26" w:name="_Toc227767970"/>
      <w:r w:rsidRPr="00555AB8">
        <w:rPr>
          <w:rFonts w:ascii="Arial" w:hAnsi="Arial" w:cs="Arial"/>
          <w:b/>
          <w:bCs/>
          <w:sz w:val="28"/>
          <w:szCs w:val="28"/>
        </w:rPr>
        <w:t>CONCLUSION</w:t>
      </w:r>
      <w:bookmarkEnd w:id="26"/>
    </w:p>
    <w:p w14:paraId="2D761A09" w14:textId="77777777" w:rsidR="00750A4B" w:rsidRPr="00555AB8" w:rsidRDefault="00750A4B" w:rsidP="00750A4B">
      <w:pPr>
        <w:spacing w:line="360" w:lineRule="auto"/>
        <w:jc w:val="both"/>
        <w:rPr>
          <w:rFonts w:ascii="Arial" w:hAnsi="Arial" w:cs="Arial"/>
          <w:sz w:val="24"/>
          <w:szCs w:val="24"/>
        </w:rPr>
      </w:pPr>
      <w:r w:rsidRPr="00555AB8">
        <w:rPr>
          <w:rFonts w:ascii="Arial" w:hAnsi="Arial" w:cs="Arial"/>
          <w:sz w:val="24"/>
          <w:szCs w:val="24"/>
        </w:rPr>
        <w:tab/>
        <w:t>The financial analysis of BYD during the 2020-2024 period demonstrates a company that has a robust growth in revenue and is getting better when it comes to profitability, but it seems that the aggressive expansion poses more liquidity and capital structure pressure on the company. Although profitability metrics are exhibiting good operational health, deteriorating liquidity ratios and an increase in leverage indicate the necessity of increased discipline in working capital management and financing approaches.</w:t>
      </w:r>
    </w:p>
    <w:p w14:paraId="26D1A8A2" w14:textId="2BF850EB" w:rsidR="00750A4B" w:rsidRPr="00555AB8" w:rsidRDefault="00750A4B" w:rsidP="00750A4B">
      <w:pPr>
        <w:spacing w:line="360" w:lineRule="auto"/>
        <w:jc w:val="both"/>
        <w:rPr>
          <w:rFonts w:ascii="Arial" w:hAnsi="Arial" w:cs="Arial"/>
          <w:sz w:val="24"/>
          <w:szCs w:val="24"/>
        </w:rPr>
      </w:pPr>
      <w:r w:rsidRPr="00555AB8">
        <w:rPr>
          <w:rFonts w:ascii="Arial" w:hAnsi="Arial" w:cs="Arial"/>
          <w:sz w:val="24"/>
          <w:szCs w:val="24"/>
        </w:rPr>
        <w:t>The recommended financial restructuring strategy, based on strengthening of equity, selective divestiture, and enhancing cash flow efficiency, provides a way forward to improve financial stability without adversely affecting the growth momentum. Simultaneously, the investment appraisal analysis shows that Project C, and the combination of Projects B and C under capital rationing, offer the most efficient utilization of capital over the prevailing value restrictions.</w:t>
      </w:r>
    </w:p>
    <w:p w14:paraId="79F1A537" w14:textId="543F0EC4" w:rsidR="00022644" w:rsidRPr="00555AB8" w:rsidRDefault="00750A4B" w:rsidP="00750A4B">
      <w:pPr>
        <w:spacing w:line="360" w:lineRule="auto"/>
        <w:jc w:val="both"/>
        <w:rPr>
          <w:rFonts w:ascii="Arial" w:hAnsi="Arial" w:cs="Arial"/>
          <w:sz w:val="24"/>
          <w:szCs w:val="24"/>
        </w:rPr>
      </w:pPr>
      <w:r w:rsidRPr="00555AB8">
        <w:rPr>
          <w:rFonts w:ascii="Arial" w:hAnsi="Arial" w:cs="Arial"/>
          <w:sz w:val="24"/>
          <w:szCs w:val="24"/>
        </w:rPr>
        <w:t>In a nutshell, the long-term competitiveness of BYD is anticipated to be a matter of balancing between growth and financial stability so that any strategic-level choices are not only cost-efficient but globally scalable and morally sustainable in a growingly intricate business environment.</w:t>
      </w:r>
      <w:r w:rsidR="00022644" w:rsidRPr="00555AB8">
        <w:rPr>
          <w:rFonts w:ascii="Arial" w:hAnsi="Arial" w:cs="Arial"/>
          <w:sz w:val="24"/>
          <w:szCs w:val="24"/>
        </w:rPr>
        <w:br w:type="page"/>
      </w:r>
    </w:p>
    <w:p w14:paraId="597F7056" w14:textId="3272F2AE" w:rsidR="00022644" w:rsidRPr="00555AB8" w:rsidRDefault="00022644" w:rsidP="00022644">
      <w:pPr>
        <w:pStyle w:val="Heading1"/>
        <w:spacing w:line="360" w:lineRule="auto"/>
        <w:jc w:val="both"/>
        <w:rPr>
          <w:rFonts w:ascii="Arial" w:hAnsi="Arial" w:cs="Arial"/>
          <w:b/>
          <w:bCs/>
          <w:sz w:val="28"/>
          <w:szCs w:val="28"/>
        </w:rPr>
      </w:pPr>
      <w:bookmarkStart w:id="27" w:name="_Toc227767971"/>
      <w:r w:rsidRPr="00555AB8">
        <w:rPr>
          <w:rFonts w:ascii="Arial" w:hAnsi="Arial" w:cs="Arial"/>
          <w:b/>
          <w:bCs/>
          <w:sz w:val="28"/>
          <w:szCs w:val="28"/>
        </w:rPr>
        <w:t>REFERENCES</w:t>
      </w:r>
      <w:bookmarkEnd w:id="27"/>
    </w:p>
    <w:p w14:paraId="1D92A0B8" w14:textId="28E96463" w:rsidR="005672AB" w:rsidRPr="00555AB8" w:rsidRDefault="005672AB"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BYD Company Limited (2024) </w:t>
      </w:r>
      <w:r w:rsidRPr="00555AB8">
        <w:rPr>
          <w:rFonts w:ascii="Arial" w:hAnsi="Arial" w:cs="Arial"/>
          <w:i/>
          <w:iCs/>
          <w:sz w:val="24"/>
          <w:szCs w:val="24"/>
        </w:rPr>
        <w:t>Annual Report 2024</w:t>
      </w:r>
      <w:r w:rsidRPr="00555AB8">
        <w:rPr>
          <w:rFonts w:ascii="Arial" w:hAnsi="Arial" w:cs="Arial"/>
          <w:sz w:val="24"/>
          <w:szCs w:val="24"/>
        </w:rPr>
        <w:t xml:space="preserve">. Available at: </w:t>
      </w:r>
      <w:hyperlink r:id="rId9" w:history="1">
        <w:r w:rsidR="00C9440D" w:rsidRPr="00555AB8">
          <w:rPr>
            <w:rStyle w:val="Hyperlink"/>
            <w:rFonts w:ascii="Arial" w:hAnsi="Arial" w:cs="Arial"/>
            <w:sz w:val="24"/>
            <w:szCs w:val="24"/>
          </w:rPr>
          <w:t>https://www.bydglobal.com/cn/en/BYD_ENInvestor/InvestorAnnals_mob.html</w:t>
        </w:r>
      </w:hyperlink>
      <w:r w:rsidR="00C9440D" w:rsidRPr="00555AB8">
        <w:rPr>
          <w:rFonts w:ascii="Arial" w:hAnsi="Arial" w:cs="Arial"/>
          <w:sz w:val="24"/>
          <w:szCs w:val="24"/>
        </w:rPr>
        <w:t xml:space="preserve"> </w:t>
      </w:r>
      <w:r w:rsidRPr="00555AB8">
        <w:rPr>
          <w:rFonts w:ascii="Arial" w:hAnsi="Arial" w:cs="Arial"/>
          <w:sz w:val="24"/>
          <w:szCs w:val="24"/>
        </w:rPr>
        <w:t>(Accessed: 17 April 2026).</w:t>
      </w:r>
    </w:p>
    <w:p w14:paraId="1D2C6F03" w14:textId="493416E9" w:rsidR="005672AB" w:rsidRPr="00555AB8" w:rsidRDefault="005672AB"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BYD Company Limited (2023) </w:t>
      </w:r>
      <w:r w:rsidRPr="00555AB8">
        <w:rPr>
          <w:rFonts w:ascii="Arial" w:hAnsi="Arial" w:cs="Arial"/>
          <w:i/>
          <w:iCs/>
          <w:sz w:val="24"/>
          <w:szCs w:val="24"/>
        </w:rPr>
        <w:t>Annual Report 2023</w:t>
      </w:r>
      <w:r w:rsidRPr="00555AB8">
        <w:rPr>
          <w:rFonts w:ascii="Arial" w:hAnsi="Arial" w:cs="Arial"/>
          <w:sz w:val="24"/>
          <w:szCs w:val="24"/>
        </w:rPr>
        <w:t xml:space="preserve">. Available at: </w:t>
      </w:r>
      <w:hyperlink r:id="rId10" w:history="1">
        <w:r w:rsidR="00C9440D" w:rsidRPr="00555AB8">
          <w:rPr>
            <w:rStyle w:val="Hyperlink"/>
            <w:rFonts w:ascii="Arial" w:hAnsi="Arial" w:cs="Arial"/>
            <w:sz w:val="24"/>
            <w:szCs w:val="24"/>
          </w:rPr>
          <w:t>https://www.bydglobal.com/cn/en/BYD_ENInvestor/InvestorAnnals_mob.html</w:t>
        </w:r>
      </w:hyperlink>
      <w:r w:rsidR="00C9440D" w:rsidRPr="00555AB8">
        <w:rPr>
          <w:rFonts w:ascii="Arial" w:hAnsi="Arial" w:cs="Arial"/>
          <w:sz w:val="24"/>
          <w:szCs w:val="24"/>
        </w:rPr>
        <w:t xml:space="preserve"> </w:t>
      </w:r>
      <w:r w:rsidRPr="00555AB8">
        <w:rPr>
          <w:rFonts w:ascii="Arial" w:hAnsi="Arial" w:cs="Arial"/>
          <w:sz w:val="24"/>
          <w:szCs w:val="24"/>
        </w:rPr>
        <w:t>(Accessed: 17 April 2026).</w:t>
      </w:r>
    </w:p>
    <w:p w14:paraId="1C12F96F" w14:textId="2539F47B" w:rsidR="00511DF0" w:rsidRPr="00555AB8" w:rsidRDefault="00511DF0"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BYD Company Limited (2022) </w:t>
      </w:r>
      <w:r w:rsidRPr="00555AB8">
        <w:rPr>
          <w:rFonts w:ascii="Arial" w:hAnsi="Arial" w:cs="Arial"/>
          <w:i/>
          <w:iCs/>
          <w:sz w:val="24"/>
          <w:szCs w:val="24"/>
        </w:rPr>
        <w:t>Annual Report 2024</w:t>
      </w:r>
      <w:r w:rsidRPr="00555AB8">
        <w:rPr>
          <w:rFonts w:ascii="Arial" w:hAnsi="Arial" w:cs="Arial"/>
          <w:sz w:val="24"/>
          <w:szCs w:val="24"/>
        </w:rPr>
        <w:t xml:space="preserve">. Available at: </w:t>
      </w:r>
      <w:hyperlink r:id="rId11" w:history="1">
        <w:r w:rsidRPr="00555AB8">
          <w:rPr>
            <w:rStyle w:val="Hyperlink"/>
            <w:rFonts w:ascii="Arial" w:hAnsi="Arial" w:cs="Arial"/>
            <w:sz w:val="24"/>
            <w:szCs w:val="24"/>
          </w:rPr>
          <w:t>https://www.bydglobal.com/cn/en/BYD_ENInvestor/InvestorAnnals_mob.html</w:t>
        </w:r>
      </w:hyperlink>
      <w:r w:rsidRPr="00555AB8">
        <w:rPr>
          <w:rFonts w:ascii="Arial" w:hAnsi="Arial" w:cs="Arial"/>
          <w:sz w:val="24"/>
          <w:szCs w:val="24"/>
        </w:rPr>
        <w:t xml:space="preserve"> (Accessed: 17 April 2026).</w:t>
      </w:r>
    </w:p>
    <w:p w14:paraId="50534F96" w14:textId="3B22C288" w:rsidR="00511DF0" w:rsidRPr="00555AB8" w:rsidRDefault="00511DF0"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BYD Company Limited (2021) </w:t>
      </w:r>
      <w:r w:rsidRPr="00555AB8">
        <w:rPr>
          <w:rFonts w:ascii="Arial" w:hAnsi="Arial" w:cs="Arial"/>
          <w:i/>
          <w:iCs/>
          <w:sz w:val="24"/>
          <w:szCs w:val="24"/>
        </w:rPr>
        <w:t>Annual Report 2024</w:t>
      </w:r>
      <w:r w:rsidRPr="00555AB8">
        <w:rPr>
          <w:rFonts w:ascii="Arial" w:hAnsi="Arial" w:cs="Arial"/>
          <w:sz w:val="24"/>
          <w:szCs w:val="24"/>
        </w:rPr>
        <w:t xml:space="preserve">. Available at: </w:t>
      </w:r>
      <w:hyperlink r:id="rId12" w:history="1">
        <w:r w:rsidRPr="00555AB8">
          <w:rPr>
            <w:rStyle w:val="Hyperlink"/>
            <w:rFonts w:ascii="Arial" w:hAnsi="Arial" w:cs="Arial"/>
            <w:sz w:val="24"/>
            <w:szCs w:val="24"/>
          </w:rPr>
          <w:t>https://www.bydglobal.com/cn/en/BYD_ENInvestor/InvestorAnnals_mob.html</w:t>
        </w:r>
      </w:hyperlink>
      <w:r w:rsidRPr="00555AB8">
        <w:rPr>
          <w:rFonts w:ascii="Arial" w:hAnsi="Arial" w:cs="Arial"/>
          <w:sz w:val="24"/>
          <w:szCs w:val="24"/>
        </w:rPr>
        <w:t xml:space="preserve"> (Accessed: 17 April 2026).</w:t>
      </w:r>
    </w:p>
    <w:p w14:paraId="05343DC7" w14:textId="73986B09" w:rsidR="00511DF0" w:rsidRPr="00555AB8" w:rsidRDefault="00511DF0"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BYD Company Limited (2020) </w:t>
      </w:r>
      <w:r w:rsidRPr="00555AB8">
        <w:rPr>
          <w:rFonts w:ascii="Arial" w:hAnsi="Arial" w:cs="Arial"/>
          <w:i/>
          <w:iCs/>
          <w:sz w:val="24"/>
          <w:szCs w:val="24"/>
        </w:rPr>
        <w:t>Annual Report 2024</w:t>
      </w:r>
      <w:r w:rsidRPr="00555AB8">
        <w:rPr>
          <w:rFonts w:ascii="Arial" w:hAnsi="Arial" w:cs="Arial"/>
          <w:sz w:val="24"/>
          <w:szCs w:val="24"/>
        </w:rPr>
        <w:t xml:space="preserve">. Available at: </w:t>
      </w:r>
      <w:hyperlink r:id="rId13" w:history="1">
        <w:r w:rsidRPr="00555AB8">
          <w:rPr>
            <w:rStyle w:val="Hyperlink"/>
            <w:rFonts w:ascii="Arial" w:hAnsi="Arial" w:cs="Arial"/>
            <w:sz w:val="24"/>
            <w:szCs w:val="24"/>
          </w:rPr>
          <w:t>https://www.bydglobal.com/cn/en/BYD_ENInvestor/InvestorAnnals_mob.html</w:t>
        </w:r>
      </w:hyperlink>
      <w:r w:rsidRPr="00555AB8">
        <w:rPr>
          <w:rFonts w:ascii="Arial" w:hAnsi="Arial" w:cs="Arial"/>
          <w:sz w:val="24"/>
          <w:szCs w:val="24"/>
        </w:rPr>
        <w:t xml:space="preserve"> (Accessed: 17 April 2026).</w:t>
      </w:r>
    </w:p>
    <w:p w14:paraId="67B69D13" w14:textId="115C0119"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Aldo, M. (2022). The Effect of Gearing, Price Earning Ratio, Interest Rate, Risk on Abnormal Return. </w:t>
      </w:r>
      <w:r w:rsidRPr="00555AB8">
        <w:rPr>
          <w:rFonts w:ascii="Arial" w:hAnsi="Arial" w:cs="Arial"/>
          <w:i/>
          <w:iCs/>
          <w:sz w:val="24"/>
          <w:szCs w:val="24"/>
        </w:rPr>
        <w:t>Indonesian Interdisciplinary Journal of Sharia Economics (IIJSE)</w:t>
      </w:r>
      <w:r w:rsidRPr="00555AB8">
        <w:rPr>
          <w:rFonts w:ascii="Arial" w:hAnsi="Arial" w:cs="Arial"/>
          <w:sz w:val="24"/>
          <w:szCs w:val="24"/>
        </w:rPr>
        <w:t xml:space="preserve">, 5(2), pp.752–768.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14" w:history="1">
        <w:r w:rsidRPr="00555AB8">
          <w:rPr>
            <w:rStyle w:val="Hyperlink"/>
            <w:rFonts w:ascii="Arial" w:hAnsi="Arial" w:cs="Arial"/>
            <w:sz w:val="24"/>
            <w:szCs w:val="24"/>
          </w:rPr>
          <w:t>https://doi.org/10.31538/iijse.v5i2.2195</w:t>
        </w:r>
      </w:hyperlink>
      <w:r w:rsidRPr="00555AB8">
        <w:rPr>
          <w:rFonts w:ascii="Arial" w:hAnsi="Arial" w:cs="Arial"/>
          <w:sz w:val="24"/>
          <w:szCs w:val="24"/>
        </w:rPr>
        <w:t xml:space="preserve"> </w:t>
      </w:r>
    </w:p>
    <w:p w14:paraId="63B4CF85" w14:textId="4905A212" w:rsidR="003C63D1" w:rsidRPr="00555AB8"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Astuti</w:t>
      </w:r>
      <w:proofErr w:type="spellEnd"/>
      <w:r w:rsidRPr="00555AB8">
        <w:rPr>
          <w:rFonts w:ascii="Arial" w:hAnsi="Arial" w:cs="Arial"/>
          <w:sz w:val="24"/>
          <w:szCs w:val="24"/>
        </w:rPr>
        <w:t xml:space="preserve">, A.W., </w:t>
      </w:r>
      <w:proofErr w:type="spellStart"/>
      <w:r w:rsidRPr="00555AB8">
        <w:rPr>
          <w:rFonts w:ascii="Arial" w:hAnsi="Arial" w:cs="Arial"/>
          <w:sz w:val="24"/>
          <w:szCs w:val="24"/>
        </w:rPr>
        <w:t>Tekle</w:t>
      </w:r>
      <w:proofErr w:type="spellEnd"/>
      <w:r w:rsidRPr="00555AB8">
        <w:rPr>
          <w:rFonts w:ascii="Arial" w:hAnsi="Arial" w:cs="Arial"/>
          <w:sz w:val="24"/>
          <w:szCs w:val="24"/>
        </w:rPr>
        <w:t xml:space="preserve">, K.C., </w:t>
      </w:r>
      <w:proofErr w:type="spellStart"/>
      <w:r w:rsidRPr="00555AB8">
        <w:rPr>
          <w:rFonts w:ascii="Arial" w:hAnsi="Arial" w:cs="Arial"/>
          <w:sz w:val="24"/>
          <w:szCs w:val="24"/>
        </w:rPr>
        <w:t>Lema</w:t>
      </w:r>
      <w:proofErr w:type="spellEnd"/>
      <w:r w:rsidRPr="00555AB8">
        <w:rPr>
          <w:rFonts w:ascii="Arial" w:hAnsi="Arial" w:cs="Arial"/>
          <w:sz w:val="24"/>
          <w:szCs w:val="24"/>
        </w:rPr>
        <w:t xml:space="preserve">, A.A. and </w:t>
      </w:r>
      <w:proofErr w:type="spellStart"/>
      <w:r w:rsidRPr="00555AB8">
        <w:rPr>
          <w:rFonts w:ascii="Arial" w:hAnsi="Arial" w:cs="Arial"/>
          <w:sz w:val="24"/>
          <w:szCs w:val="24"/>
        </w:rPr>
        <w:t>Magfiroh</w:t>
      </w:r>
      <w:proofErr w:type="spellEnd"/>
      <w:r w:rsidRPr="00555AB8">
        <w:rPr>
          <w:rFonts w:ascii="Arial" w:hAnsi="Arial" w:cs="Arial"/>
          <w:sz w:val="24"/>
          <w:szCs w:val="24"/>
        </w:rPr>
        <w:t xml:space="preserve">, D. (2025). Evaluating Corporate Financial Performance: A Profitability Ratio Approach. </w:t>
      </w:r>
      <w:proofErr w:type="spellStart"/>
      <w:r w:rsidRPr="00555AB8">
        <w:rPr>
          <w:rFonts w:ascii="Arial" w:hAnsi="Arial" w:cs="Arial"/>
          <w:i/>
          <w:iCs/>
          <w:sz w:val="24"/>
          <w:szCs w:val="24"/>
        </w:rPr>
        <w:t>Jurnal</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Ekonomi</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Teknologi</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dan</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Bisnis</w:t>
      </w:r>
      <w:proofErr w:type="spellEnd"/>
      <w:r w:rsidRPr="00555AB8">
        <w:rPr>
          <w:rFonts w:ascii="Arial" w:hAnsi="Arial" w:cs="Arial"/>
          <w:i/>
          <w:iCs/>
          <w:sz w:val="24"/>
          <w:szCs w:val="24"/>
        </w:rPr>
        <w:t xml:space="preserve"> (JETBIS)</w:t>
      </w:r>
      <w:r w:rsidRPr="00555AB8">
        <w:rPr>
          <w:rFonts w:ascii="Arial" w:hAnsi="Arial" w:cs="Arial"/>
          <w:sz w:val="24"/>
          <w:szCs w:val="24"/>
        </w:rPr>
        <w:t xml:space="preserve">, 4(11), pp.633–647.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15" w:history="1">
        <w:r w:rsidRPr="00555AB8">
          <w:rPr>
            <w:rStyle w:val="Hyperlink"/>
            <w:rFonts w:ascii="Arial" w:hAnsi="Arial" w:cs="Arial"/>
            <w:sz w:val="24"/>
            <w:szCs w:val="24"/>
          </w:rPr>
          <w:t>https://doi.org/10.57185/qs4g0w42</w:t>
        </w:r>
      </w:hyperlink>
      <w:r w:rsidRPr="00555AB8">
        <w:rPr>
          <w:rFonts w:ascii="Arial" w:hAnsi="Arial" w:cs="Arial"/>
          <w:sz w:val="24"/>
          <w:szCs w:val="24"/>
        </w:rPr>
        <w:t xml:space="preserve"> </w:t>
      </w:r>
    </w:p>
    <w:p w14:paraId="2A8A178E" w14:textId="77777777"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Blessing, H. and </w:t>
      </w:r>
      <w:proofErr w:type="spellStart"/>
      <w:r w:rsidRPr="00555AB8">
        <w:rPr>
          <w:rFonts w:ascii="Arial" w:hAnsi="Arial" w:cs="Arial"/>
          <w:sz w:val="24"/>
          <w:szCs w:val="24"/>
        </w:rPr>
        <w:t>Sakouvogui</w:t>
      </w:r>
      <w:proofErr w:type="spellEnd"/>
      <w:r w:rsidRPr="00555AB8">
        <w:rPr>
          <w:rFonts w:ascii="Arial" w:hAnsi="Arial" w:cs="Arial"/>
          <w:sz w:val="24"/>
          <w:szCs w:val="24"/>
        </w:rPr>
        <w:t xml:space="preserve">, G. (2023). Impact of Liquidity and Solvency Ratios on Financial Performance: a Comprehensive Analysis. </w:t>
      </w:r>
      <w:r w:rsidRPr="00555AB8">
        <w:rPr>
          <w:rFonts w:ascii="Arial" w:hAnsi="Arial" w:cs="Arial"/>
          <w:i/>
          <w:iCs/>
          <w:sz w:val="24"/>
          <w:szCs w:val="24"/>
        </w:rPr>
        <w:t>Indonesia Auditing Research Journal</w:t>
      </w:r>
      <w:r w:rsidRPr="00555AB8">
        <w:rPr>
          <w:rFonts w:ascii="Arial" w:hAnsi="Arial" w:cs="Arial"/>
          <w:sz w:val="24"/>
          <w:szCs w:val="24"/>
        </w:rPr>
        <w:t>, 12(3), pp.102–115.</w:t>
      </w:r>
    </w:p>
    <w:p w14:paraId="07AE0BD8" w14:textId="163F31F2"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Cotter, E. (2023). Net Present Value and Payback Period: An Analysis. </w:t>
      </w:r>
      <w:proofErr w:type="spellStart"/>
      <w:r w:rsidRPr="00555AB8">
        <w:rPr>
          <w:rFonts w:ascii="Arial" w:hAnsi="Arial" w:cs="Arial"/>
          <w:i/>
          <w:iCs/>
          <w:sz w:val="24"/>
          <w:szCs w:val="24"/>
        </w:rPr>
        <w:t>Honors</w:t>
      </w:r>
      <w:proofErr w:type="spellEnd"/>
      <w:r w:rsidRPr="00555AB8">
        <w:rPr>
          <w:rFonts w:ascii="Arial" w:hAnsi="Arial" w:cs="Arial"/>
          <w:i/>
          <w:iCs/>
          <w:sz w:val="24"/>
          <w:szCs w:val="24"/>
        </w:rPr>
        <w:t xml:space="preserve"> Theses</w:t>
      </w:r>
      <w:r w:rsidRPr="00555AB8">
        <w:rPr>
          <w:rFonts w:ascii="Arial" w:hAnsi="Arial" w:cs="Arial"/>
          <w:sz w:val="24"/>
          <w:szCs w:val="24"/>
        </w:rPr>
        <w:t xml:space="preserve">. [online] Available at: </w:t>
      </w:r>
      <w:hyperlink r:id="rId16" w:history="1">
        <w:r w:rsidRPr="00555AB8">
          <w:rPr>
            <w:rStyle w:val="Hyperlink"/>
            <w:rFonts w:ascii="Arial" w:hAnsi="Arial" w:cs="Arial"/>
            <w:sz w:val="24"/>
            <w:szCs w:val="24"/>
          </w:rPr>
          <w:t>https://scholarworks.wmich.edu/honors_theses/3796/</w:t>
        </w:r>
      </w:hyperlink>
      <w:r w:rsidRPr="00555AB8">
        <w:rPr>
          <w:rFonts w:ascii="Arial" w:hAnsi="Arial" w:cs="Arial"/>
          <w:sz w:val="24"/>
          <w:szCs w:val="24"/>
        </w:rPr>
        <w:t xml:space="preserve"> </w:t>
      </w:r>
    </w:p>
    <w:p w14:paraId="3B09203B" w14:textId="44DDF0AA"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Dai, H., Li, N., Wang, Y. and Zhao, X. (2022). </w:t>
      </w:r>
      <w:r w:rsidRPr="00555AB8">
        <w:rPr>
          <w:rFonts w:ascii="Arial" w:hAnsi="Arial" w:cs="Arial"/>
          <w:i/>
          <w:iCs/>
          <w:sz w:val="24"/>
          <w:szCs w:val="24"/>
        </w:rPr>
        <w:t>The Analysis of Three Main Investment Criteria: NPV IRR and Payback Period</w:t>
      </w:r>
      <w:r w:rsidRPr="00555AB8">
        <w:rPr>
          <w:rFonts w:ascii="Arial" w:hAnsi="Arial" w:cs="Arial"/>
          <w:sz w:val="24"/>
          <w:szCs w:val="24"/>
        </w:rPr>
        <w:t xml:space="preserve">. [online] Advances in Economics, Business and Management Research.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17" w:history="1">
        <w:r w:rsidRPr="00555AB8">
          <w:rPr>
            <w:rStyle w:val="Hyperlink"/>
            <w:rFonts w:ascii="Arial" w:hAnsi="Arial" w:cs="Arial"/>
            <w:sz w:val="24"/>
            <w:szCs w:val="24"/>
          </w:rPr>
          <w:t>https://doi.org/10.2991/aebmr.k.220307.028</w:t>
        </w:r>
      </w:hyperlink>
      <w:r w:rsidRPr="00555AB8">
        <w:rPr>
          <w:rFonts w:ascii="Arial" w:hAnsi="Arial" w:cs="Arial"/>
          <w:sz w:val="24"/>
          <w:szCs w:val="24"/>
        </w:rPr>
        <w:t xml:space="preserve"> </w:t>
      </w:r>
    </w:p>
    <w:p w14:paraId="68264B34" w14:textId="2F8C5E3E"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Edmans, A., Fang, V.W. and Huang, A.H. (2021). The long</w:t>
      </w:r>
      <w:r w:rsidRPr="00555AB8">
        <w:rPr>
          <w:rFonts w:ascii="Cambria Math" w:hAnsi="Cambria Math" w:cs="Cambria Math"/>
          <w:sz w:val="24"/>
          <w:szCs w:val="24"/>
        </w:rPr>
        <w:t>‐</w:t>
      </w:r>
      <w:r w:rsidRPr="00555AB8">
        <w:rPr>
          <w:rFonts w:ascii="Arial" w:hAnsi="Arial" w:cs="Arial"/>
          <w:sz w:val="24"/>
          <w:szCs w:val="24"/>
        </w:rPr>
        <w:t>term consequences of short</w:t>
      </w:r>
      <w:r w:rsidRPr="00555AB8">
        <w:rPr>
          <w:rFonts w:ascii="Cambria Math" w:hAnsi="Cambria Math" w:cs="Cambria Math"/>
          <w:sz w:val="24"/>
          <w:szCs w:val="24"/>
        </w:rPr>
        <w:t>‐</w:t>
      </w:r>
      <w:r w:rsidRPr="00555AB8">
        <w:rPr>
          <w:rFonts w:ascii="Arial" w:hAnsi="Arial" w:cs="Arial"/>
          <w:sz w:val="24"/>
          <w:szCs w:val="24"/>
        </w:rPr>
        <w:t xml:space="preserve">term incentives. </w:t>
      </w:r>
      <w:r w:rsidRPr="00555AB8">
        <w:rPr>
          <w:rFonts w:ascii="Arial" w:hAnsi="Arial" w:cs="Arial"/>
          <w:i/>
          <w:iCs/>
          <w:sz w:val="24"/>
          <w:szCs w:val="24"/>
        </w:rPr>
        <w:t>Journal of Accounting Research</w:t>
      </w:r>
      <w:r w:rsidRPr="00555AB8">
        <w:rPr>
          <w:rFonts w:ascii="Arial" w:hAnsi="Arial" w:cs="Arial"/>
          <w:sz w:val="24"/>
          <w:szCs w:val="24"/>
        </w:rPr>
        <w:t xml:space="preserve">, 60(3), pp.1007–1046.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18" w:history="1">
        <w:r w:rsidRPr="00555AB8">
          <w:rPr>
            <w:rStyle w:val="Hyperlink"/>
            <w:rFonts w:ascii="Arial" w:hAnsi="Arial" w:cs="Arial"/>
            <w:sz w:val="24"/>
            <w:szCs w:val="24"/>
          </w:rPr>
          <w:t>https://doi.org/10.1111/1475-679x.12410</w:t>
        </w:r>
      </w:hyperlink>
      <w:r w:rsidRPr="00555AB8">
        <w:rPr>
          <w:rFonts w:ascii="Arial" w:hAnsi="Arial" w:cs="Arial"/>
          <w:sz w:val="24"/>
          <w:szCs w:val="24"/>
        </w:rPr>
        <w:t xml:space="preserve"> </w:t>
      </w:r>
    </w:p>
    <w:p w14:paraId="201FE694" w14:textId="0C3A9BE5" w:rsidR="003C63D1" w:rsidRPr="00555AB8"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Hasidi</w:t>
      </w:r>
      <w:proofErr w:type="spellEnd"/>
      <w:r w:rsidRPr="00555AB8">
        <w:rPr>
          <w:rFonts w:ascii="Arial" w:hAnsi="Arial" w:cs="Arial"/>
          <w:sz w:val="24"/>
          <w:szCs w:val="24"/>
        </w:rPr>
        <w:t xml:space="preserve">, M.H., </w:t>
      </w:r>
      <w:proofErr w:type="spellStart"/>
      <w:r w:rsidRPr="00555AB8">
        <w:rPr>
          <w:rFonts w:ascii="Arial" w:hAnsi="Arial" w:cs="Arial"/>
          <w:sz w:val="24"/>
          <w:szCs w:val="24"/>
        </w:rPr>
        <w:t>Baheri</w:t>
      </w:r>
      <w:proofErr w:type="spellEnd"/>
      <w:r w:rsidRPr="00555AB8">
        <w:rPr>
          <w:rFonts w:ascii="Arial" w:hAnsi="Arial" w:cs="Arial"/>
          <w:sz w:val="24"/>
          <w:szCs w:val="24"/>
        </w:rPr>
        <w:t xml:space="preserve">, J. and </w:t>
      </w:r>
      <w:proofErr w:type="spellStart"/>
      <w:r w:rsidRPr="00555AB8">
        <w:rPr>
          <w:rFonts w:ascii="Arial" w:hAnsi="Arial" w:cs="Arial"/>
          <w:sz w:val="24"/>
          <w:szCs w:val="24"/>
        </w:rPr>
        <w:t>Hajar</w:t>
      </w:r>
      <w:proofErr w:type="spellEnd"/>
      <w:r w:rsidRPr="00555AB8">
        <w:rPr>
          <w:rFonts w:ascii="Arial" w:hAnsi="Arial" w:cs="Arial"/>
          <w:sz w:val="24"/>
          <w:szCs w:val="24"/>
        </w:rPr>
        <w:t xml:space="preserve">, K.I. (2024). Financial Performance Evaluation Using Profitability and Liquidity Ratio Analysis. </w:t>
      </w:r>
      <w:proofErr w:type="spellStart"/>
      <w:r w:rsidRPr="00555AB8">
        <w:rPr>
          <w:rFonts w:ascii="Arial" w:hAnsi="Arial" w:cs="Arial"/>
          <w:i/>
          <w:iCs/>
          <w:sz w:val="24"/>
          <w:szCs w:val="24"/>
        </w:rPr>
        <w:t>Jurnal</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Ilmiah</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Manajemen</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Kesatuan</w:t>
      </w:r>
      <w:proofErr w:type="spellEnd"/>
      <w:r w:rsidRPr="00555AB8">
        <w:rPr>
          <w:rFonts w:ascii="Arial" w:hAnsi="Arial" w:cs="Arial"/>
          <w:sz w:val="24"/>
          <w:szCs w:val="24"/>
        </w:rPr>
        <w:t xml:space="preserve">, 12(4), pp.1347–1358.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19" w:history="1">
        <w:r w:rsidRPr="00555AB8">
          <w:rPr>
            <w:rStyle w:val="Hyperlink"/>
            <w:rFonts w:ascii="Arial" w:hAnsi="Arial" w:cs="Arial"/>
            <w:sz w:val="24"/>
            <w:szCs w:val="24"/>
          </w:rPr>
          <w:t>https://doi.org/10.37641/jimkes.v12i4.2742</w:t>
        </w:r>
      </w:hyperlink>
      <w:r w:rsidRPr="00555AB8">
        <w:rPr>
          <w:rFonts w:ascii="Arial" w:hAnsi="Arial" w:cs="Arial"/>
          <w:sz w:val="24"/>
          <w:szCs w:val="24"/>
        </w:rPr>
        <w:t xml:space="preserve"> </w:t>
      </w:r>
    </w:p>
    <w:p w14:paraId="02DD89B2" w14:textId="6D9056C6" w:rsidR="003C63D1" w:rsidRPr="00555AB8"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Jiaqi</w:t>
      </w:r>
      <w:proofErr w:type="spellEnd"/>
      <w:r w:rsidRPr="00555AB8">
        <w:rPr>
          <w:rFonts w:ascii="Arial" w:hAnsi="Arial" w:cs="Arial"/>
          <w:sz w:val="24"/>
          <w:szCs w:val="24"/>
        </w:rPr>
        <w:t xml:space="preserve">, Z., </w:t>
      </w:r>
      <w:proofErr w:type="spellStart"/>
      <w:r w:rsidRPr="00555AB8">
        <w:rPr>
          <w:rFonts w:ascii="Arial" w:hAnsi="Arial" w:cs="Arial"/>
          <w:sz w:val="24"/>
          <w:szCs w:val="24"/>
        </w:rPr>
        <w:t>Shuxian</w:t>
      </w:r>
      <w:proofErr w:type="spellEnd"/>
      <w:r w:rsidRPr="00555AB8">
        <w:rPr>
          <w:rFonts w:ascii="Arial" w:hAnsi="Arial" w:cs="Arial"/>
          <w:sz w:val="24"/>
          <w:szCs w:val="24"/>
        </w:rPr>
        <w:t xml:space="preserve">, L. and </w:t>
      </w:r>
      <w:proofErr w:type="spellStart"/>
      <w:r w:rsidRPr="00555AB8">
        <w:rPr>
          <w:rFonts w:ascii="Arial" w:hAnsi="Arial" w:cs="Arial"/>
          <w:sz w:val="24"/>
          <w:szCs w:val="24"/>
        </w:rPr>
        <w:t>Jingyi</w:t>
      </w:r>
      <w:proofErr w:type="spellEnd"/>
      <w:r w:rsidRPr="00555AB8">
        <w:rPr>
          <w:rFonts w:ascii="Arial" w:hAnsi="Arial" w:cs="Arial"/>
          <w:sz w:val="24"/>
          <w:szCs w:val="24"/>
        </w:rPr>
        <w:t>, W. (</w:t>
      </w:r>
      <w:proofErr w:type="spellStart"/>
      <w:r w:rsidRPr="00555AB8">
        <w:rPr>
          <w:rFonts w:ascii="Arial" w:hAnsi="Arial" w:cs="Arial"/>
          <w:sz w:val="24"/>
          <w:szCs w:val="24"/>
        </w:rPr>
        <w:t>n.d.</w:t>
      </w:r>
      <w:proofErr w:type="spellEnd"/>
      <w:r w:rsidRPr="00555AB8">
        <w:rPr>
          <w:rFonts w:ascii="Arial" w:hAnsi="Arial" w:cs="Arial"/>
          <w:sz w:val="24"/>
          <w:szCs w:val="24"/>
        </w:rPr>
        <w:t xml:space="preserve">). Research on the Financial Quality of New Energy Enterprises -A Case Study of BYD. </w:t>
      </w:r>
      <w:r w:rsidRPr="00555AB8">
        <w:rPr>
          <w:rFonts w:ascii="Arial" w:hAnsi="Arial" w:cs="Arial"/>
          <w:i/>
          <w:iCs/>
          <w:sz w:val="24"/>
          <w:szCs w:val="24"/>
        </w:rPr>
        <w:t>International Journal of Trend in Research and Development</w:t>
      </w:r>
      <w:r w:rsidRPr="00555AB8">
        <w:rPr>
          <w:rFonts w:ascii="Arial" w:hAnsi="Arial" w:cs="Arial"/>
          <w:sz w:val="24"/>
          <w:szCs w:val="24"/>
        </w:rPr>
        <w:t xml:space="preserve">, [online] 12(5), p.43. Available at: </w:t>
      </w:r>
      <w:hyperlink r:id="rId20" w:history="1">
        <w:r w:rsidRPr="00555AB8">
          <w:rPr>
            <w:rStyle w:val="Hyperlink"/>
            <w:rFonts w:ascii="Arial" w:hAnsi="Arial" w:cs="Arial"/>
            <w:sz w:val="24"/>
            <w:szCs w:val="24"/>
          </w:rPr>
          <w:t>https://www.ijtrd.com/papers/IJTRD28958.pdf</w:t>
        </w:r>
      </w:hyperlink>
      <w:r w:rsidRPr="00555AB8">
        <w:rPr>
          <w:rFonts w:ascii="Arial" w:hAnsi="Arial" w:cs="Arial"/>
          <w:sz w:val="24"/>
          <w:szCs w:val="24"/>
        </w:rPr>
        <w:t xml:space="preserve"> </w:t>
      </w:r>
    </w:p>
    <w:p w14:paraId="07F8218C" w14:textId="40E7CCA3"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Lai, G., </w:t>
      </w:r>
      <w:proofErr w:type="spellStart"/>
      <w:r w:rsidRPr="00555AB8">
        <w:rPr>
          <w:rFonts w:ascii="Arial" w:hAnsi="Arial" w:cs="Arial"/>
          <w:sz w:val="24"/>
          <w:szCs w:val="24"/>
        </w:rPr>
        <w:t>Ritchken</w:t>
      </w:r>
      <w:proofErr w:type="spellEnd"/>
      <w:r w:rsidRPr="00555AB8">
        <w:rPr>
          <w:rFonts w:ascii="Arial" w:hAnsi="Arial" w:cs="Arial"/>
          <w:sz w:val="24"/>
          <w:szCs w:val="24"/>
        </w:rPr>
        <w:t xml:space="preserve">, P. and Wu, Q. (2023). On the Interplay of Production Flexibility, Capital Structure, and Investment Timing. </w:t>
      </w:r>
      <w:r w:rsidRPr="00555AB8">
        <w:rPr>
          <w:rFonts w:ascii="Arial" w:hAnsi="Arial" w:cs="Arial"/>
          <w:i/>
          <w:iCs/>
          <w:sz w:val="24"/>
          <w:szCs w:val="24"/>
        </w:rPr>
        <w:t>Manufacturing &amp; Service Operations Management</w:t>
      </w:r>
      <w:r w:rsidRPr="00555AB8">
        <w:rPr>
          <w:rFonts w:ascii="Arial" w:hAnsi="Arial" w:cs="Arial"/>
          <w:sz w:val="24"/>
          <w:szCs w:val="24"/>
        </w:rPr>
        <w:t xml:space="preserve">.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21" w:history="1">
        <w:r w:rsidRPr="00555AB8">
          <w:rPr>
            <w:rStyle w:val="Hyperlink"/>
            <w:rFonts w:ascii="Arial" w:hAnsi="Arial" w:cs="Arial"/>
            <w:sz w:val="24"/>
            <w:szCs w:val="24"/>
          </w:rPr>
          <w:t>https://doi.org/10.1287/msom.2022.0213</w:t>
        </w:r>
      </w:hyperlink>
      <w:r w:rsidRPr="00555AB8">
        <w:rPr>
          <w:rFonts w:ascii="Arial" w:hAnsi="Arial" w:cs="Arial"/>
          <w:sz w:val="24"/>
          <w:szCs w:val="24"/>
        </w:rPr>
        <w:t xml:space="preserve"> </w:t>
      </w:r>
    </w:p>
    <w:p w14:paraId="552BADF5" w14:textId="1B3382AD"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Liang, H. (2025). Applying Three Financial Analysis Methods in Investment: A Comparative Case Study. </w:t>
      </w:r>
      <w:r w:rsidRPr="00555AB8">
        <w:rPr>
          <w:rFonts w:ascii="Arial" w:hAnsi="Arial" w:cs="Arial"/>
          <w:i/>
          <w:iCs/>
          <w:sz w:val="24"/>
          <w:szCs w:val="24"/>
        </w:rPr>
        <w:t>Advances in Economics Management and Political Sciences</w:t>
      </w:r>
      <w:r w:rsidRPr="00555AB8">
        <w:rPr>
          <w:rFonts w:ascii="Arial" w:hAnsi="Arial" w:cs="Arial"/>
          <w:sz w:val="24"/>
          <w:szCs w:val="24"/>
        </w:rPr>
        <w:t xml:space="preserve">, 145(1), pp.14–20.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22" w:history="1">
        <w:r w:rsidRPr="00555AB8">
          <w:rPr>
            <w:rStyle w:val="Hyperlink"/>
            <w:rFonts w:ascii="Arial" w:hAnsi="Arial" w:cs="Arial"/>
            <w:sz w:val="24"/>
            <w:szCs w:val="24"/>
          </w:rPr>
          <w:t>https://doi.org/10.54254/2754-1169/2024.ld19017</w:t>
        </w:r>
      </w:hyperlink>
      <w:r w:rsidRPr="00555AB8">
        <w:rPr>
          <w:rFonts w:ascii="Arial" w:hAnsi="Arial" w:cs="Arial"/>
          <w:sz w:val="24"/>
          <w:szCs w:val="24"/>
        </w:rPr>
        <w:t xml:space="preserve"> </w:t>
      </w:r>
    </w:p>
    <w:p w14:paraId="07BD8663" w14:textId="1E45CCA5"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Mme, S., </w:t>
      </w:r>
      <w:proofErr w:type="spellStart"/>
      <w:r w:rsidRPr="00555AB8">
        <w:rPr>
          <w:rFonts w:ascii="Arial" w:hAnsi="Arial" w:cs="Arial"/>
          <w:sz w:val="24"/>
          <w:szCs w:val="24"/>
        </w:rPr>
        <w:t>Carré-Tallon</w:t>
      </w:r>
      <w:proofErr w:type="spellEnd"/>
      <w:r w:rsidRPr="00555AB8">
        <w:rPr>
          <w:rFonts w:ascii="Arial" w:hAnsi="Arial" w:cs="Arial"/>
          <w:sz w:val="24"/>
          <w:szCs w:val="24"/>
        </w:rPr>
        <w:t xml:space="preserve">, M., </w:t>
      </w:r>
      <w:proofErr w:type="spellStart"/>
      <w:r w:rsidRPr="00555AB8">
        <w:rPr>
          <w:rFonts w:ascii="Arial" w:hAnsi="Arial" w:cs="Arial"/>
          <w:sz w:val="24"/>
          <w:szCs w:val="24"/>
        </w:rPr>
        <w:t>Ssa</w:t>
      </w:r>
      <w:proofErr w:type="spellEnd"/>
      <w:r w:rsidRPr="00555AB8">
        <w:rPr>
          <w:rFonts w:ascii="Arial" w:hAnsi="Arial" w:cs="Arial"/>
          <w:sz w:val="24"/>
          <w:szCs w:val="24"/>
        </w:rPr>
        <w:t xml:space="preserve"> Monica, B., Student, G. and </w:t>
      </w:r>
      <w:proofErr w:type="spellStart"/>
      <w:r w:rsidRPr="00555AB8">
        <w:rPr>
          <w:rFonts w:ascii="Arial" w:hAnsi="Arial" w:cs="Arial"/>
          <w:sz w:val="24"/>
          <w:szCs w:val="24"/>
        </w:rPr>
        <w:t>Zaramella</w:t>
      </w:r>
      <w:proofErr w:type="spellEnd"/>
      <w:r w:rsidRPr="00555AB8">
        <w:rPr>
          <w:rFonts w:ascii="Arial" w:hAnsi="Arial" w:cs="Arial"/>
          <w:sz w:val="24"/>
          <w:szCs w:val="24"/>
        </w:rPr>
        <w:t xml:space="preserve"> (2023). </w:t>
      </w:r>
      <w:r w:rsidRPr="00555AB8">
        <w:rPr>
          <w:rFonts w:ascii="Arial" w:hAnsi="Arial" w:cs="Arial"/>
          <w:i/>
          <w:iCs/>
          <w:sz w:val="24"/>
          <w:szCs w:val="24"/>
        </w:rPr>
        <w:t>Financial Restructuring: analysis and applications</w:t>
      </w:r>
      <w:r w:rsidRPr="00555AB8">
        <w:rPr>
          <w:rFonts w:ascii="Arial" w:hAnsi="Arial" w:cs="Arial"/>
          <w:sz w:val="24"/>
          <w:szCs w:val="24"/>
        </w:rPr>
        <w:t xml:space="preserve">. [online] Available at: </w:t>
      </w:r>
      <w:hyperlink r:id="rId23" w:history="1">
        <w:r w:rsidRPr="00555AB8">
          <w:rPr>
            <w:rStyle w:val="Hyperlink"/>
            <w:rFonts w:ascii="Arial" w:hAnsi="Arial" w:cs="Arial"/>
            <w:sz w:val="24"/>
            <w:szCs w:val="24"/>
          </w:rPr>
          <w:t>https://unitesi.unive.it/bitstream/20.500.14247/4284/1/872666-1280209.pdf</w:t>
        </w:r>
      </w:hyperlink>
      <w:r w:rsidRPr="00555AB8">
        <w:rPr>
          <w:rFonts w:ascii="Arial" w:hAnsi="Arial" w:cs="Arial"/>
          <w:sz w:val="24"/>
          <w:szCs w:val="24"/>
        </w:rPr>
        <w:t xml:space="preserve"> </w:t>
      </w:r>
    </w:p>
    <w:p w14:paraId="0CD927DC" w14:textId="690D0F18" w:rsidR="003C63D1" w:rsidRPr="00555AB8"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Oranefo</w:t>
      </w:r>
      <w:proofErr w:type="spellEnd"/>
      <w:r w:rsidRPr="00555AB8">
        <w:rPr>
          <w:rFonts w:ascii="Arial" w:hAnsi="Arial" w:cs="Arial"/>
          <w:sz w:val="24"/>
          <w:szCs w:val="24"/>
        </w:rPr>
        <w:t xml:space="preserve">, P.C. and </w:t>
      </w:r>
      <w:proofErr w:type="spellStart"/>
      <w:r w:rsidRPr="00555AB8">
        <w:rPr>
          <w:rFonts w:ascii="Arial" w:hAnsi="Arial" w:cs="Arial"/>
          <w:sz w:val="24"/>
          <w:szCs w:val="24"/>
        </w:rPr>
        <w:t>Egbunike</w:t>
      </w:r>
      <w:proofErr w:type="spellEnd"/>
      <w:r w:rsidRPr="00555AB8">
        <w:rPr>
          <w:rFonts w:ascii="Arial" w:hAnsi="Arial" w:cs="Arial"/>
          <w:sz w:val="24"/>
          <w:szCs w:val="24"/>
        </w:rPr>
        <w:t xml:space="preserve">, C.F. (2023). Gearing ratio and operating cash flow performance of quoted manufacturing firms in Nigeria. </w:t>
      </w:r>
      <w:r w:rsidRPr="00555AB8">
        <w:rPr>
          <w:rFonts w:ascii="Arial" w:hAnsi="Arial" w:cs="Arial"/>
          <w:i/>
          <w:iCs/>
          <w:sz w:val="24"/>
          <w:szCs w:val="24"/>
        </w:rPr>
        <w:t>International Journal of Financial, Accounting, and Management</w:t>
      </w:r>
      <w:r w:rsidRPr="00555AB8">
        <w:rPr>
          <w:rFonts w:ascii="Arial" w:hAnsi="Arial" w:cs="Arial"/>
          <w:sz w:val="24"/>
          <w:szCs w:val="24"/>
        </w:rPr>
        <w:t xml:space="preserve">, [online] 4(4), pp.395–410.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24" w:history="1">
        <w:r w:rsidRPr="00555AB8">
          <w:rPr>
            <w:rStyle w:val="Hyperlink"/>
            <w:rFonts w:ascii="Arial" w:hAnsi="Arial" w:cs="Arial"/>
            <w:sz w:val="24"/>
            <w:szCs w:val="24"/>
          </w:rPr>
          <w:t>https://doi.org/10.35912/ijfam.v4i4.1090</w:t>
        </w:r>
      </w:hyperlink>
      <w:r w:rsidRPr="00555AB8">
        <w:rPr>
          <w:rFonts w:ascii="Arial" w:hAnsi="Arial" w:cs="Arial"/>
          <w:sz w:val="24"/>
          <w:szCs w:val="24"/>
        </w:rPr>
        <w:t xml:space="preserve"> </w:t>
      </w:r>
    </w:p>
    <w:p w14:paraId="43687857" w14:textId="5B06EDB0" w:rsidR="003C63D1" w:rsidRPr="00555AB8"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Shou</w:t>
      </w:r>
      <w:proofErr w:type="spellEnd"/>
      <w:r w:rsidRPr="00555AB8">
        <w:rPr>
          <w:rFonts w:ascii="Arial" w:hAnsi="Arial" w:cs="Arial"/>
          <w:sz w:val="24"/>
          <w:szCs w:val="24"/>
        </w:rPr>
        <w:t xml:space="preserve">, T. (2022). </w:t>
      </w:r>
      <w:r w:rsidRPr="00555AB8">
        <w:rPr>
          <w:rFonts w:ascii="Arial" w:hAnsi="Arial" w:cs="Arial"/>
          <w:i/>
          <w:iCs/>
          <w:sz w:val="24"/>
          <w:szCs w:val="24"/>
        </w:rPr>
        <w:t>A Literature Review on the Net Present Value (NPV) Valuation Method</w:t>
      </w:r>
      <w:r w:rsidRPr="00555AB8">
        <w:rPr>
          <w:rFonts w:ascii="Arial" w:hAnsi="Arial" w:cs="Arial"/>
          <w:sz w:val="24"/>
          <w:szCs w:val="24"/>
        </w:rPr>
        <w:t xml:space="preserve">. [online] www.atlantis-press.com.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25" w:history="1">
        <w:r w:rsidRPr="00555AB8">
          <w:rPr>
            <w:rStyle w:val="Hyperlink"/>
            <w:rFonts w:ascii="Arial" w:hAnsi="Arial" w:cs="Arial"/>
            <w:sz w:val="24"/>
            <w:szCs w:val="24"/>
          </w:rPr>
          <w:t>https://doi.org/10.2991/aebmr.k.220603.135</w:t>
        </w:r>
      </w:hyperlink>
      <w:r w:rsidRPr="00555AB8">
        <w:rPr>
          <w:rFonts w:ascii="Arial" w:hAnsi="Arial" w:cs="Arial"/>
          <w:sz w:val="24"/>
          <w:szCs w:val="24"/>
        </w:rPr>
        <w:t xml:space="preserve"> </w:t>
      </w:r>
    </w:p>
    <w:p w14:paraId="19DD6EA3" w14:textId="541319CA" w:rsidR="003C63D1" w:rsidRPr="00555AB8"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Tannady</w:t>
      </w:r>
      <w:proofErr w:type="spellEnd"/>
      <w:r w:rsidRPr="00555AB8">
        <w:rPr>
          <w:rFonts w:ascii="Arial" w:hAnsi="Arial" w:cs="Arial"/>
          <w:sz w:val="24"/>
          <w:szCs w:val="24"/>
        </w:rPr>
        <w:t xml:space="preserve">, H., </w:t>
      </w:r>
      <w:proofErr w:type="spellStart"/>
      <w:r w:rsidRPr="00555AB8">
        <w:rPr>
          <w:rFonts w:ascii="Arial" w:hAnsi="Arial" w:cs="Arial"/>
          <w:sz w:val="24"/>
          <w:szCs w:val="24"/>
        </w:rPr>
        <w:t>Pahlawi</w:t>
      </w:r>
      <w:proofErr w:type="spellEnd"/>
      <w:r w:rsidRPr="00555AB8">
        <w:rPr>
          <w:rFonts w:ascii="Arial" w:hAnsi="Arial" w:cs="Arial"/>
          <w:sz w:val="24"/>
          <w:szCs w:val="24"/>
        </w:rPr>
        <w:t xml:space="preserve">, N., </w:t>
      </w:r>
      <w:proofErr w:type="spellStart"/>
      <w:r w:rsidRPr="00555AB8">
        <w:rPr>
          <w:rFonts w:ascii="Arial" w:hAnsi="Arial" w:cs="Arial"/>
          <w:sz w:val="24"/>
          <w:szCs w:val="24"/>
        </w:rPr>
        <w:t>Hernawan</w:t>
      </w:r>
      <w:proofErr w:type="spellEnd"/>
      <w:r w:rsidRPr="00555AB8">
        <w:rPr>
          <w:rFonts w:ascii="Arial" w:hAnsi="Arial" w:cs="Arial"/>
          <w:sz w:val="24"/>
          <w:szCs w:val="24"/>
        </w:rPr>
        <w:t xml:space="preserve">, M.A., Arta, D.N.C. and Yusuf, S.D. (2023). Role of Stock Performance as an Intervening Variable in a Relationship Between Profitability, Leverage, Growth and Company Value. </w:t>
      </w:r>
      <w:r w:rsidRPr="00555AB8">
        <w:rPr>
          <w:rFonts w:ascii="Arial" w:hAnsi="Arial" w:cs="Arial"/>
          <w:i/>
          <w:iCs/>
          <w:sz w:val="24"/>
          <w:szCs w:val="24"/>
        </w:rPr>
        <w:t>JEMSI (</w:t>
      </w:r>
      <w:proofErr w:type="spellStart"/>
      <w:r w:rsidRPr="00555AB8">
        <w:rPr>
          <w:rFonts w:ascii="Arial" w:hAnsi="Arial" w:cs="Arial"/>
          <w:i/>
          <w:iCs/>
          <w:sz w:val="24"/>
          <w:szCs w:val="24"/>
        </w:rPr>
        <w:t>Jurnal</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Ekonomi</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Manajemen</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dan</w:t>
      </w:r>
      <w:proofErr w:type="spellEnd"/>
      <w:r w:rsidRPr="00555AB8">
        <w:rPr>
          <w:rFonts w:ascii="Arial" w:hAnsi="Arial" w:cs="Arial"/>
          <w:i/>
          <w:iCs/>
          <w:sz w:val="24"/>
          <w:szCs w:val="24"/>
        </w:rPr>
        <w:t xml:space="preserve"> </w:t>
      </w:r>
      <w:proofErr w:type="spellStart"/>
      <w:r w:rsidRPr="00555AB8">
        <w:rPr>
          <w:rFonts w:ascii="Arial" w:hAnsi="Arial" w:cs="Arial"/>
          <w:i/>
          <w:iCs/>
          <w:sz w:val="24"/>
          <w:szCs w:val="24"/>
        </w:rPr>
        <w:t>Akuntansi</w:t>
      </w:r>
      <w:proofErr w:type="spellEnd"/>
      <w:r w:rsidRPr="00555AB8">
        <w:rPr>
          <w:rFonts w:ascii="Arial" w:hAnsi="Arial" w:cs="Arial"/>
          <w:i/>
          <w:iCs/>
          <w:sz w:val="24"/>
          <w:szCs w:val="24"/>
        </w:rPr>
        <w:t>)</w:t>
      </w:r>
      <w:r w:rsidRPr="00555AB8">
        <w:rPr>
          <w:rFonts w:ascii="Arial" w:hAnsi="Arial" w:cs="Arial"/>
          <w:sz w:val="24"/>
          <w:szCs w:val="24"/>
        </w:rPr>
        <w:t xml:space="preserve">, [online] 9(2), pp.220–225.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26" w:history="1">
        <w:r w:rsidRPr="00555AB8">
          <w:rPr>
            <w:rStyle w:val="Hyperlink"/>
            <w:rFonts w:ascii="Arial" w:hAnsi="Arial" w:cs="Arial"/>
            <w:sz w:val="24"/>
            <w:szCs w:val="24"/>
          </w:rPr>
          <w:t>https://doi.org/10.35870/jemsi.v9i2.1016</w:t>
        </w:r>
      </w:hyperlink>
      <w:r w:rsidRPr="00555AB8">
        <w:rPr>
          <w:rFonts w:ascii="Arial" w:hAnsi="Arial" w:cs="Arial"/>
          <w:sz w:val="24"/>
          <w:szCs w:val="24"/>
        </w:rPr>
        <w:t xml:space="preserve"> </w:t>
      </w:r>
    </w:p>
    <w:p w14:paraId="5EEA2334" w14:textId="32C95D41"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Wang, D. (2024). The Role of Fair Value Accounting in Debt Structure Decisions: Evidence from Priority Structure and Financial Flexibility. </w:t>
      </w:r>
      <w:r w:rsidRPr="00555AB8">
        <w:rPr>
          <w:rFonts w:ascii="Arial" w:hAnsi="Arial" w:cs="Arial"/>
          <w:i/>
          <w:iCs/>
          <w:sz w:val="24"/>
          <w:szCs w:val="24"/>
        </w:rPr>
        <w:t>The International Journal of Accounting</w:t>
      </w:r>
      <w:r w:rsidRPr="00555AB8">
        <w:rPr>
          <w:rFonts w:ascii="Arial" w:hAnsi="Arial" w:cs="Arial"/>
          <w:sz w:val="24"/>
          <w:szCs w:val="24"/>
        </w:rPr>
        <w:t xml:space="preserve">, 59(03).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27" w:history="1">
        <w:r w:rsidRPr="00555AB8">
          <w:rPr>
            <w:rStyle w:val="Hyperlink"/>
            <w:rFonts w:ascii="Arial" w:hAnsi="Arial" w:cs="Arial"/>
            <w:sz w:val="24"/>
            <w:szCs w:val="24"/>
          </w:rPr>
          <w:t>https://doi.org/10.1142/s1094406024500173</w:t>
        </w:r>
      </w:hyperlink>
      <w:r w:rsidRPr="00555AB8">
        <w:rPr>
          <w:rFonts w:ascii="Arial" w:hAnsi="Arial" w:cs="Arial"/>
          <w:sz w:val="24"/>
          <w:szCs w:val="24"/>
        </w:rPr>
        <w:t xml:space="preserve"> </w:t>
      </w:r>
    </w:p>
    <w:p w14:paraId="57556060" w14:textId="0D47525B"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Wang, H., He, H. and Yang, N. (</w:t>
      </w:r>
      <w:proofErr w:type="spellStart"/>
      <w:r w:rsidRPr="00555AB8">
        <w:rPr>
          <w:rFonts w:ascii="Arial" w:hAnsi="Arial" w:cs="Arial"/>
          <w:sz w:val="24"/>
          <w:szCs w:val="24"/>
        </w:rPr>
        <w:t>n.d.</w:t>
      </w:r>
      <w:proofErr w:type="spellEnd"/>
      <w:r w:rsidRPr="00555AB8">
        <w:rPr>
          <w:rFonts w:ascii="Arial" w:hAnsi="Arial" w:cs="Arial"/>
          <w:sz w:val="24"/>
          <w:szCs w:val="24"/>
        </w:rPr>
        <w:t xml:space="preserve">). Analysis of Financing Issues and Strategies for BYD New Energy Vehicle Company. </w:t>
      </w:r>
      <w:r w:rsidRPr="00555AB8">
        <w:rPr>
          <w:rFonts w:ascii="Arial" w:hAnsi="Arial" w:cs="Arial"/>
          <w:i/>
          <w:iCs/>
          <w:sz w:val="24"/>
          <w:szCs w:val="24"/>
        </w:rPr>
        <w:t>Academic Journal of Business &amp; Management</w:t>
      </w:r>
      <w:r w:rsidRPr="00555AB8">
        <w:rPr>
          <w:rFonts w:ascii="Arial" w:hAnsi="Arial" w:cs="Arial"/>
          <w:sz w:val="24"/>
          <w:szCs w:val="24"/>
        </w:rPr>
        <w:t xml:space="preserve">, [online] 6, pp.19–24.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28" w:history="1">
        <w:r w:rsidRPr="00555AB8">
          <w:rPr>
            <w:rStyle w:val="Hyperlink"/>
            <w:rFonts w:ascii="Arial" w:hAnsi="Arial" w:cs="Arial"/>
            <w:sz w:val="24"/>
            <w:szCs w:val="24"/>
          </w:rPr>
          <w:t>https://doi.org/10.25236/AJBM.2024.061004</w:t>
        </w:r>
      </w:hyperlink>
      <w:r w:rsidRPr="00555AB8">
        <w:rPr>
          <w:rFonts w:ascii="Arial" w:hAnsi="Arial" w:cs="Arial"/>
          <w:sz w:val="24"/>
          <w:szCs w:val="24"/>
        </w:rPr>
        <w:t xml:space="preserve"> </w:t>
      </w:r>
    </w:p>
    <w:p w14:paraId="015F1E97" w14:textId="68A56BF6"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Wang, J. and Wang, Y. (2025). A Study on Operating Capital Management Problems and Countermeasures of BYD Company Based on Channel Management. </w:t>
      </w:r>
      <w:r w:rsidRPr="00555AB8">
        <w:rPr>
          <w:rFonts w:ascii="Arial" w:hAnsi="Arial" w:cs="Arial"/>
          <w:i/>
          <w:iCs/>
          <w:sz w:val="24"/>
          <w:szCs w:val="24"/>
        </w:rPr>
        <w:t>The Development of Humanities and Social Sciences</w:t>
      </w:r>
      <w:r w:rsidRPr="00555AB8">
        <w:rPr>
          <w:rFonts w:ascii="Arial" w:hAnsi="Arial" w:cs="Arial"/>
          <w:sz w:val="24"/>
          <w:szCs w:val="24"/>
        </w:rPr>
        <w:t xml:space="preserve">, 1(3), pp.1–14.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29" w:history="1">
        <w:r w:rsidRPr="00555AB8">
          <w:rPr>
            <w:rStyle w:val="Hyperlink"/>
            <w:rFonts w:ascii="Arial" w:hAnsi="Arial" w:cs="Arial"/>
            <w:sz w:val="24"/>
            <w:szCs w:val="24"/>
          </w:rPr>
          <w:t>https://doi.org/10.71204/t7eftt51</w:t>
        </w:r>
      </w:hyperlink>
      <w:r w:rsidRPr="00555AB8">
        <w:rPr>
          <w:rFonts w:ascii="Arial" w:hAnsi="Arial" w:cs="Arial"/>
          <w:sz w:val="24"/>
          <w:szCs w:val="24"/>
        </w:rPr>
        <w:t xml:space="preserve"> </w:t>
      </w:r>
    </w:p>
    <w:p w14:paraId="392546EB" w14:textId="298F4E6E" w:rsidR="003C63D1"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Wang, J. and Zhang, Y. (2025). Analysis and Optimization Strategies for Corporate Cash Flow Quality - A Case Study of BYD Company. </w:t>
      </w:r>
      <w:r w:rsidRPr="00555AB8">
        <w:rPr>
          <w:rFonts w:ascii="Arial" w:hAnsi="Arial" w:cs="Arial"/>
          <w:i/>
          <w:iCs/>
          <w:sz w:val="24"/>
          <w:szCs w:val="24"/>
        </w:rPr>
        <w:t>Journal of Global Economic Insights</w:t>
      </w:r>
      <w:r w:rsidRPr="00555AB8">
        <w:rPr>
          <w:rFonts w:ascii="Arial" w:hAnsi="Arial" w:cs="Arial"/>
          <w:sz w:val="24"/>
          <w:szCs w:val="24"/>
        </w:rPr>
        <w:t xml:space="preserve">, 1(2), pp.1–16.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30" w:history="1">
        <w:r w:rsidRPr="00555AB8">
          <w:rPr>
            <w:rStyle w:val="Hyperlink"/>
            <w:rFonts w:ascii="Arial" w:hAnsi="Arial" w:cs="Arial"/>
            <w:sz w:val="24"/>
            <w:szCs w:val="24"/>
          </w:rPr>
          <w:t>https://doi.org/10.71204/59rksf07</w:t>
        </w:r>
      </w:hyperlink>
      <w:r w:rsidRPr="00555AB8">
        <w:rPr>
          <w:rFonts w:ascii="Arial" w:hAnsi="Arial" w:cs="Arial"/>
          <w:sz w:val="24"/>
          <w:szCs w:val="24"/>
        </w:rPr>
        <w:t xml:space="preserve"> </w:t>
      </w:r>
    </w:p>
    <w:p w14:paraId="17832CEB" w14:textId="3E4EBF67" w:rsidR="00693396" w:rsidRPr="00555AB8" w:rsidRDefault="00693396" w:rsidP="00693396">
      <w:pPr>
        <w:spacing w:line="360" w:lineRule="auto"/>
        <w:ind w:left="567" w:hanging="567"/>
        <w:jc w:val="both"/>
        <w:rPr>
          <w:rFonts w:ascii="Arial" w:hAnsi="Arial" w:cs="Arial"/>
          <w:sz w:val="24"/>
          <w:szCs w:val="24"/>
        </w:rPr>
      </w:pPr>
      <w:r w:rsidRPr="00693396">
        <w:rPr>
          <w:rFonts w:ascii="Arial" w:hAnsi="Arial" w:cs="Arial"/>
          <w:sz w:val="24"/>
          <w:szCs w:val="24"/>
        </w:rPr>
        <w:t xml:space="preserve">Wang, T. (2022). Big Data Financial Analysis of BYD Company Profitability Based on Power BI Software. </w:t>
      </w:r>
      <w:r w:rsidRPr="00693396">
        <w:rPr>
          <w:rFonts w:ascii="Arial" w:hAnsi="Arial" w:cs="Arial"/>
          <w:i/>
          <w:iCs/>
          <w:sz w:val="24"/>
          <w:szCs w:val="24"/>
        </w:rPr>
        <w:t>Proceedings of the 4th International Conference on Economic Management and Model Engineering</w:t>
      </w:r>
      <w:r w:rsidRPr="00693396">
        <w:rPr>
          <w:rFonts w:ascii="Arial" w:hAnsi="Arial" w:cs="Arial"/>
          <w:sz w:val="24"/>
          <w:szCs w:val="24"/>
        </w:rPr>
        <w:t xml:space="preserve">. [online] </w:t>
      </w:r>
      <w:proofErr w:type="spellStart"/>
      <w:r w:rsidRPr="00693396">
        <w:rPr>
          <w:rFonts w:ascii="Arial" w:hAnsi="Arial" w:cs="Arial"/>
          <w:sz w:val="24"/>
          <w:szCs w:val="24"/>
        </w:rPr>
        <w:t>doi</w:t>
      </w:r>
      <w:proofErr w:type="spellEnd"/>
      <w:r w:rsidRPr="00693396">
        <w:rPr>
          <w:rFonts w:ascii="Arial" w:hAnsi="Arial" w:cs="Arial"/>
          <w:sz w:val="24"/>
          <w:szCs w:val="24"/>
        </w:rPr>
        <w:t>:</w:t>
      </w:r>
      <w:r>
        <w:rPr>
          <w:rFonts w:ascii="Arial" w:hAnsi="Arial" w:cs="Arial"/>
          <w:sz w:val="24"/>
          <w:szCs w:val="24"/>
        </w:rPr>
        <w:t xml:space="preserve"> </w:t>
      </w:r>
      <w:hyperlink r:id="rId31" w:history="1">
        <w:r w:rsidRPr="00693396">
          <w:rPr>
            <w:rStyle w:val="Hyperlink"/>
            <w:rFonts w:ascii="Arial" w:hAnsi="Arial" w:cs="Arial"/>
            <w:sz w:val="24"/>
            <w:szCs w:val="24"/>
          </w:rPr>
          <w:t>https://doi.org/10.5220/0012023300003620</w:t>
        </w:r>
      </w:hyperlink>
      <w:r>
        <w:rPr>
          <w:rFonts w:ascii="Arial" w:hAnsi="Arial" w:cs="Arial"/>
          <w:sz w:val="24"/>
          <w:szCs w:val="24"/>
        </w:rPr>
        <w:t xml:space="preserve"> </w:t>
      </w:r>
    </w:p>
    <w:p w14:paraId="661E8AD3" w14:textId="12FBE02B" w:rsidR="003C63D1" w:rsidRPr="00555AB8"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Wangchuk</w:t>
      </w:r>
      <w:proofErr w:type="spellEnd"/>
      <w:r w:rsidRPr="00555AB8">
        <w:rPr>
          <w:rFonts w:ascii="Arial" w:hAnsi="Arial" w:cs="Arial"/>
          <w:sz w:val="24"/>
          <w:szCs w:val="24"/>
        </w:rPr>
        <w:t xml:space="preserve">, P. (2022). APPLICATION OF DEPRECIATION NET PRESENT VALUE AND INTERNAL RATE OF RETURN IN ENGINEERING PROJECTS A BRIEF LITERATURE REVIEW. </w:t>
      </w:r>
      <w:r w:rsidRPr="00555AB8">
        <w:rPr>
          <w:rFonts w:ascii="Arial" w:hAnsi="Arial" w:cs="Arial"/>
          <w:i/>
          <w:iCs/>
          <w:sz w:val="24"/>
          <w:szCs w:val="24"/>
        </w:rPr>
        <w:t>Journal of Applied Engineering, Technology and Management</w:t>
      </w:r>
      <w:r w:rsidRPr="00555AB8">
        <w:rPr>
          <w:rFonts w:ascii="Arial" w:hAnsi="Arial" w:cs="Arial"/>
          <w:sz w:val="24"/>
          <w:szCs w:val="24"/>
        </w:rPr>
        <w:t xml:space="preserve">, [online] 2(1), pp.25–30.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32" w:history="1">
        <w:r w:rsidRPr="00555AB8">
          <w:rPr>
            <w:rStyle w:val="Hyperlink"/>
            <w:rFonts w:ascii="Arial" w:hAnsi="Arial" w:cs="Arial"/>
            <w:sz w:val="24"/>
            <w:szCs w:val="24"/>
          </w:rPr>
          <w:t>https://doi.org/10.54417/jaetm.v2i1.55</w:t>
        </w:r>
      </w:hyperlink>
      <w:r w:rsidRPr="00555AB8">
        <w:rPr>
          <w:rFonts w:ascii="Arial" w:hAnsi="Arial" w:cs="Arial"/>
          <w:sz w:val="24"/>
          <w:szCs w:val="24"/>
        </w:rPr>
        <w:t xml:space="preserve"> </w:t>
      </w:r>
    </w:p>
    <w:p w14:paraId="3CC0A3B5" w14:textId="34A9D25F" w:rsidR="003C63D1" w:rsidRPr="00555AB8" w:rsidRDefault="003C63D1" w:rsidP="003C63D1">
      <w:pPr>
        <w:spacing w:line="360" w:lineRule="auto"/>
        <w:ind w:left="567" w:hanging="567"/>
        <w:jc w:val="both"/>
        <w:rPr>
          <w:rFonts w:ascii="Arial" w:hAnsi="Arial" w:cs="Arial"/>
          <w:sz w:val="24"/>
          <w:szCs w:val="24"/>
        </w:rPr>
      </w:pPr>
      <w:r w:rsidRPr="00555AB8">
        <w:rPr>
          <w:rFonts w:ascii="Arial" w:hAnsi="Arial" w:cs="Arial"/>
          <w:sz w:val="24"/>
          <w:szCs w:val="24"/>
        </w:rPr>
        <w:t xml:space="preserve">Wood, P. (2022). Financial Considerations. </w:t>
      </w:r>
      <w:r w:rsidRPr="00555AB8">
        <w:rPr>
          <w:rFonts w:ascii="Arial" w:hAnsi="Arial" w:cs="Arial"/>
          <w:i/>
          <w:iCs/>
          <w:sz w:val="24"/>
          <w:szCs w:val="24"/>
        </w:rPr>
        <w:t>Routledge Handbook of Risk Management and the Law</w:t>
      </w:r>
      <w:r w:rsidRPr="00555AB8">
        <w:rPr>
          <w:rFonts w:ascii="Arial" w:hAnsi="Arial" w:cs="Arial"/>
          <w:sz w:val="24"/>
          <w:szCs w:val="24"/>
        </w:rPr>
        <w:t xml:space="preserve">, pp.244–261.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33" w:history="1">
        <w:r w:rsidRPr="00555AB8">
          <w:rPr>
            <w:rStyle w:val="Hyperlink"/>
            <w:rFonts w:ascii="Arial" w:hAnsi="Arial" w:cs="Arial"/>
            <w:sz w:val="24"/>
            <w:szCs w:val="24"/>
          </w:rPr>
          <w:t>https://doi.org/10.4324/9781351107242-22</w:t>
        </w:r>
      </w:hyperlink>
      <w:r w:rsidRPr="00555AB8">
        <w:rPr>
          <w:rFonts w:ascii="Arial" w:hAnsi="Arial" w:cs="Arial"/>
          <w:sz w:val="24"/>
          <w:szCs w:val="24"/>
        </w:rPr>
        <w:t xml:space="preserve"> </w:t>
      </w:r>
    </w:p>
    <w:p w14:paraId="4555358A" w14:textId="045636F4" w:rsidR="003C63D1"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Xiong</w:t>
      </w:r>
      <w:proofErr w:type="spellEnd"/>
      <w:r w:rsidRPr="00555AB8">
        <w:rPr>
          <w:rFonts w:ascii="Arial" w:hAnsi="Arial" w:cs="Arial"/>
          <w:sz w:val="24"/>
          <w:szCs w:val="24"/>
        </w:rPr>
        <w:t xml:space="preserve">, H., Liu, T. and Wang, Z. (2022). Financial effect of long-term policy equity injection: evidence from special construction funds in China. </w:t>
      </w:r>
      <w:r w:rsidRPr="00555AB8">
        <w:rPr>
          <w:rFonts w:ascii="Arial" w:hAnsi="Arial" w:cs="Arial"/>
          <w:i/>
          <w:iCs/>
          <w:sz w:val="24"/>
          <w:szCs w:val="24"/>
        </w:rPr>
        <w:t>Applied Economics</w:t>
      </w:r>
      <w:r w:rsidRPr="00555AB8">
        <w:rPr>
          <w:rFonts w:ascii="Arial" w:hAnsi="Arial" w:cs="Arial"/>
          <w:sz w:val="24"/>
          <w:szCs w:val="24"/>
        </w:rPr>
        <w:t xml:space="preserve">, 55(19), pp.2129–2145.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34" w:history="1">
        <w:r w:rsidRPr="00555AB8">
          <w:rPr>
            <w:rStyle w:val="Hyperlink"/>
            <w:rFonts w:ascii="Arial" w:hAnsi="Arial" w:cs="Arial"/>
            <w:sz w:val="24"/>
            <w:szCs w:val="24"/>
          </w:rPr>
          <w:t>https://doi.org/10.1080/00036846.2022.2102128</w:t>
        </w:r>
      </w:hyperlink>
      <w:r w:rsidRPr="00555AB8">
        <w:rPr>
          <w:rFonts w:ascii="Arial" w:hAnsi="Arial" w:cs="Arial"/>
          <w:sz w:val="24"/>
          <w:szCs w:val="24"/>
        </w:rPr>
        <w:t xml:space="preserve"> </w:t>
      </w:r>
    </w:p>
    <w:p w14:paraId="6C1C7D4C" w14:textId="60CA5563" w:rsidR="00693396" w:rsidRPr="00555AB8" w:rsidRDefault="00693396" w:rsidP="00693396">
      <w:pPr>
        <w:spacing w:line="360" w:lineRule="auto"/>
        <w:ind w:left="567" w:hanging="567"/>
        <w:jc w:val="both"/>
        <w:rPr>
          <w:rFonts w:ascii="Arial" w:hAnsi="Arial" w:cs="Arial"/>
          <w:sz w:val="24"/>
          <w:szCs w:val="24"/>
        </w:rPr>
      </w:pPr>
      <w:r w:rsidRPr="00693396">
        <w:rPr>
          <w:rFonts w:ascii="Arial" w:hAnsi="Arial" w:cs="Arial"/>
          <w:sz w:val="24"/>
          <w:szCs w:val="24"/>
        </w:rPr>
        <w:t xml:space="preserve">Zeng, J. (2024). Financial Statement Analysis of BYD Company Limited. </w:t>
      </w:r>
      <w:r w:rsidRPr="00693396">
        <w:rPr>
          <w:rFonts w:ascii="Arial" w:hAnsi="Arial" w:cs="Arial"/>
          <w:i/>
          <w:iCs/>
          <w:sz w:val="24"/>
          <w:szCs w:val="24"/>
        </w:rPr>
        <w:t>Journal of Applied Economics and Policy Studies</w:t>
      </w:r>
      <w:r w:rsidRPr="00693396">
        <w:rPr>
          <w:rFonts w:ascii="Arial" w:hAnsi="Arial" w:cs="Arial"/>
          <w:sz w:val="24"/>
          <w:szCs w:val="24"/>
        </w:rPr>
        <w:t xml:space="preserve">, 12(1), pp.53–68. </w:t>
      </w:r>
      <w:proofErr w:type="spellStart"/>
      <w:r w:rsidRPr="00693396">
        <w:rPr>
          <w:rFonts w:ascii="Arial" w:hAnsi="Arial" w:cs="Arial"/>
          <w:sz w:val="24"/>
          <w:szCs w:val="24"/>
        </w:rPr>
        <w:t>doi</w:t>
      </w:r>
      <w:proofErr w:type="spellEnd"/>
      <w:r w:rsidRPr="00693396">
        <w:rPr>
          <w:rFonts w:ascii="Arial" w:hAnsi="Arial" w:cs="Arial"/>
          <w:sz w:val="24"/>
          <w:szCs w:val="24"/>
        </w:rPr>
        <w:t>:</w:t>
      </w:r>
      <w:r>
        <w:rPr>
          <w:rFonts w:ascii="Arial" w:hAnsi="Arial" w:cs="Arial"/>
          <w:sz w:val="24"/>
          <w:szCs w:val="24"/>
        </w:rPr>
        <w:t xml:space="preserve"> </w:t>
      </w:r>
      <w:hyperlink r:id="rId35" w:history="1">
        <w:r w:rsidRPr="00693396">
          <w:rPr>
            <w:rStyle w:val="Hyperlink"/>
            <w:rFonts w:ascii="Arial" w:hAnsi="Arial" w:cs="Arial"/>
            <w:sz w:val="24"/>
            <w:szCs w:val="24"/>
          </w:rPr>
          <w:t>https://doi.org/10.54254/2977-5701/12/2024117</w:t>
        </w:r>
      </w:hyperlink>
      <w:r>
        <w:rPr>
          <w:rFonts w:ascii="Arial" w:hAnsi="Arial" w:cs="Arial"/>
          <w:sz w:val="24"/>
          <w:szCs w:val="24"/>
        </w:rPr>
        <w:t xml:space="preserve"> </w:t>
      </w:r>
    </w:p>
    <w:p w14:paraId="52273900" w14:textId="52269971" w:rsidR="003C63D1" w:rsidRPr="00555AB8" w:rsidRDefault="003C63D1" w:rsidP="003C63D1">
      <w:pPr>
        <w:spacing w:line="360" w:lineRule="auto"/>
        <w:ind w:left="567" w:hanging="567"/>
        <w:jc w:val="both"/>
        <w:rPr>
          <w:rFonts w:ascii="Arial" w:hAnsi="Arial" w:cs="Arial"/>
          <w:sz w:val="24"/>
          <w:szCs w:val="24"/>
        </w:rPr>
      </w:pPr>
      <w:proofErr w:type="spellStart"/>
      <w:r w:rsidRPr="00555AB8">
        <w:rPr>
          <w:rFonts w:ascii="Arial" w:hAnsi="Arial" w:cs="Arial"/>
          <w:sz w:val="24"/>
          <w:szCs w:val="24"/>
        </w:rPr>
        <w:t>Zuliyana</w:t>
      </w:r>
      <w:proofErr w:type="spellEnd"/>
      <w:r w:rsidRPr="00555AB8">
        <w:rPr>
          <w:rFonts w:ascii="Arial" w:hAnsi="Arial" w:cs="Arial"/>
          <w:sz w:val="24"/>
          <w:szCs w:val="24"/>
        </w:rPr>
        <w:t xml:space="preserve">, S., </w:t>
      </w:r>
      <w:proofErr w:type="spellStart"/>
      <w:r w:rsidRPr="00555AB8">
        <w:rPr>
          <w:rFonts w:ascii="Arial" w:hAnsi="Arial" w:cs="Arial"/>
          <w:sz w:val="24"/>
          <w:szCs w:val="24"/>
        </w:rPr>
        <w:t>Karyatun</w:t>
      </w:r>
      <w:proofErr w:type="spellEnd"/>
      <w:r w:rsidRPr="00555AB8">
        <w:rPr>
          <w:rFonts w:ascii="Arial" w:hAnsi="Arial" w:cs="Arial"/>
          <w:sz w:val="24"/>
          <w:szCs w:val="24"/>
        </w:rPr>
        <w:t xml:space="preserve">, S. and </w:t>
      </w:r>
      <w:proofErr w:type="spellStart"/>
      <w:r w:rsidRPr="00555AB8">
        <w:rPr>
          <w:rFonts w:ascii="Arial" w:hAnsi="Arial" w:cs="Arial"/>
          <w:sz w:val="24"/>
          <w:szCs w:val="24"/>
        </w:rPr>
        <w:t>Digdowiseiso</w:t>
      </w:r>
      <w:proofErr w:type="spellEnd"/>
      <w:r w:rsidRPr="00555AB8">
        <w:rPr>
          <w:rFonts w:ascii="Arial" w:hAnsi="Arial" w:cs="Arial"/>
          <w:sz w:val="24"/>
          <w:szCs w:val="24"/>
        </w:rPr>
        <w:t xml:space="preserve">, K. (2023). </w:t>
      </w:r>
      <w:proofErr w:type="spellStart"/>
      <w:r w:rsidRPr="00555AB8">
        <w:rPr>
          <w:rFonts w:ascii="Arial" w:hAnsi="Arial" w:cs="Arial"/>
          <w:sz w:val="24"/>
          <w:szCs w:val="24"/>
        </w:rPr>
        <w:t>Analisis</w:t>
      </w:r>
      <w:proofErr w:type="spellEnd"/>
      <w:r w:rsidRPr="00555AB8">
        <w:rPr>
          <w:rFonts w:ascii="Arial" w:hAnsi="Arial" w:cs="Arial"/>
          <w:sz w:val="24"/>
          <w:szCs w:val="24"/>
        </w:rPr>
        <w:t xml:space="preserve"> Cash Ratio, Debt to Equity Ratio, and Sales Growth on Company Value for Food and Beverage Companies During the 2015-2021 Period. </w:t>
      </w:r>
      <w:proofErr w:type="spellStart"/>
      <w:r w:rsidRPr="00555AB8">
        <w:rPr>
          <w:rFonts w:ascii="Arial" w:hAnsi="Arial" w:cs="Arial"/>
          <w:i/>
          <w:iCs/>
          <w:sz w:val="24"/>
          <w:szCs w:val="24"/>
        </w:rPr>
        <w:t>Jurnal</w:t>
      </w:r>
      <w:proofErr w:type="spellEnd"/>
      <w:r w:rsidRPr="00555AB8">
        <w:rPr>
          <w:rFonts w:ascii="Arial" w:hAnsi="Arial" w:cs="Arial"/>
          <w:i/>
          <w:iCs/>
          <w:sz w:val="24"/>
          <w:szCs w:val="24"/>
        </w:rPr>
        <w:t xml:space="preserve"> Syntax Admiration</w:t>
      </w:r>
      <w:r w:rsidRPr="00555AB8">
        <w:rPr>
          <w:rFonts w:ascii="Arial" w:hAnsi="Arial" w:cs="Arial"/>
          <w:sz w:val="24"/>
          <w:szCs w:val="24"/>
        </w:rPr>
        <w:t xml:space="preserve">, [online] 4(4), pp.739–748. </w:t>
      </w:r>
      <w:proofErr w:type="spellStart"/>
      <w:r w:rsidRPr="00555AB8">
        <w:rPr>
          <w:rFonts w:ascii="Arial" w:hAnsi="Arial" w:cs="Arial"/>
          <w:sz w:val="24"/>
          <w:szCs w:val="24"/>
        </w:rPr>
        <w:t>doi</w:t>
      </w:r>
      <w:proofErr w:type="spellEnd"/>
      <w:r w:rsidRPr="00555AB8">
        <w:rPr>
          <w:rFonts w:ascii="Arial" w:hAnsi="Arial" w:cs="Arial"/>
          <w:sz w:val="24"/>
          <w:szCs w:val="24"/>
        </w:rPr>
        <w:t xml:space="preserve">: </w:t>
      </w:r>
      <w:hyperlink r:id="rId36" w:history="1">
        <w:r w:rsidRPr="00555AB8">
          <w:rPr>
            <w:rStyle w:val="Hyperlink"/>
            <w:rFonts w:ascii="Arial" w:hAnsi="Arial" w:cs="Arial"/>
            <w:sz w:val="24"/>
            <w:szCs w:val="24"/>
          </w:rPr>
          <w:t>https://doi.org/10.46799/jsa.v4i4.906</w:t>
        </w:r>
      </w:hyperlink>
      <w:r w:rsidRPr="00555AB8">
        <w:rPr>
          <w:rFonts w:ascii="Arial" w:hAnsi="Arial" w:cs="Arial"/>
          <w:sz w:val="24"/>
          <w:szCs w:val="24"/>
        </w:rPr>
        <w:t xml:space="preserve"> </w:t>
      </w:r>
    </w:p>
    <w:p w14:paraId="6A8E4A43" w14:textId="77777777" w:rsidR="003C63D1" w:rsidRPr="00555AB8" w:rsidRDefault="003C63D1" w:rsidP="00511DF0">
      <w:pPr>
        <w:spacing w:line="360" w:lineRule="auto"/>
        <w:jc w:val="both"/>
        <w:rPr>
          <w:rFonts w:ascii="Arial" w:hAnsi="Arial" w:cs="Arial"/>
          <w:sz w:val="24"/>
          <w:szCs w:val="24"/>
        </w:rPr>
      </w:pPr>
    </w:p>
    <w:p w14:paraId="39AB8C5A" w14:textId="77777777" w:rsidR="00511DF0" w:rsidRPr="00555AB8" w:rsidRDefault="00511DF0" w:rsidP="00511DF0">
      <w:pPr>
        <w:spacing w:line="360" w:lineRule="auto"/>
        <w:jc w:val="both"/>
        <w:rPr>
          <w:rFonts w:ascii="Arial" w:hAnsi="Arial" w:cs="Arial"/>
          <w:sz w:val="24"/>
          <w:szCs w:val="24"/>
        </w:rPr>
      </w:pPr>
    </w:p>
    <w:p w14:paraId="25F8AEB6" w14:textId="77777777" w:rsidR="00511DF0" w:rsidRPr="00555AB8" w:rsidRDefault="00511DF0" w:rsidP="00511DF0">
      <w:pPr>
        <w:spacing w:line="360" w:lineRule="auto"/>
        <w:jc w:val="both"/>
        <w:rPr>
          <w:rFonts w:ascii="Arial" w:hAnsi="Arial" w:cs="Arial"/>
          <w:sz w:val="24"/>
          <w:szCs w:val="24"/>
        </w:rPr>
      </w:pPr>
    </w:p>
    <w:p w14:paraId="18AF6719" w14:textId="77777777" w:rsidR="00511DF0" w:rsidRPr="00555AB8" w:rsidRDefault="00511DF0" w:rsidP="005672AB">
      <w:pPr>
        <w:spacing w:line="360" w:lineRule="auto"/>
        <w:jc w:val="both"/>
        <w:rPr>
          <w:rFonts w:ascii="Arial" w:hAnsi="Arial" w:cs="Arial"/>
          <w:sz w:val="24"/>
          <w:szCs w:val="24"/>
        </w:rPr>
      </w:pPr>
    </w:p>
    <w:p w14:paraId="0CB768F3" w14:textId="77777777" w:rsidR="005672AB" w:rsidRPr="00555AB8" w:rsidRDefault="005672AB" w:rsidP="005672AB">
      <w:pPr>
        <w:spacing w:line="360" w:lineRule="auto"/>
        <w:jc w:val="both"/>
        <w:rPr>
          <w:rFonts w:ascii="Arial" w:hAnsi="Arial" w:cs="Arial"/>
          <w:sz w:val="24"/>
          <w:szCs w:val="24"/>
        </w:rPr>
      </w:pPr>
    </w:p>
    <w:p w14:paraId="1BC4628B" w14:textId="77777777" w:rsidR="00A26A0E" w:rsidRPr="00555AB8" w:rsidRDefault="00A26A0E" w:rsidP="00A26A0E">
      <w:pPr>
        <w:spacing w:line="360" w:lineRule="auto"/>
        <w:jc w:val="both"/>
        <w:rPr>
          <w:rFonts w:ascii="Arial" w:hAnsi="Arial" w:cs="Arial"/>
          <w:sz w:val="24"/>
          <w:szCs w:val="24"/>
        </w:rPr>
      </w:pPr>
    </w:p>
    <w:p w14:paraId="703339B8" w14:textId="5EE30982" w:rsidR="00A43C27" w:rsidRPr="00555AB8" w:rsidRDefault="005E4126" w:rsidP="00454613">
      <w:pPr>
        <w:spacing w:line="360" w:lineRule="auto"/>
        <w:jc w:val="both"/>
        <w:rPr>
          <w:rFonts w:ascii="Arial" w:hAnsi="Arial" w:cs="Arial"/>
          <w:sz w:val="24"/>
          <w:szCs w:val="24"/>
        </w:rPr>
      </w:pPr>
      <w:r w:rsidRPr="00555AB8">
        <w:rPr>
          <w:rFonts w:ascii="Arial" w:hAnsi="Arial" w:cs="Arial"/>
          <w:sz w:val="24"/>
          <w:szCs w:val="24"/>
        </w:rPr>
        <w:tab/>
      </w:r>
    </w:p>
    <w:p w14:paraId="5F06CACB" w14:textId="77777777" w:rsidR="00A43C27" w:rsidRPr="00555AB8" w:rsidRDefault="00A43C27" w:rsidP="00454613">
      <w:pPr>
        <w:spacing w:line="360" w:lineRule="auto"/>
        <w:jc w:val="both"/>
        <w:rPr>
          <w:rFonts w:ascii="Arial" w:hAnsi="Arial" w:cs="Arial"/>
          <w:sz w:val="24"/>
          <w:szCs w:val="24"/>
        </w:rPr>
      </w:pPr>
    </w:p>
    <w:p w14:paraId="4E82BAF8" w14:textId="77777777" w:rsidR="00773E17" w:rsidRPr="00555AB8" w:rsidRDefault="00773E17" w:rsidP="00454613">
      <w:pPr>
        <w:spacing w:line="360" w:lineRule="auto"/>
        <w:jc w:val="both"/>
        <w:rPr>
          <w:rFonts w:ascii="Arial" w:hAnsi="Arial" w:cs="Arial"/>
          <w:sz w:val="24"/>
          <w:szCs w:val="24"/>
        </w:rPr>
      </w:pPr>
    </w:p>
    <w:p w14:paraId="70E0821E" w14:textId="77777777" w:rsidR="009011EE" w:rsidRPr="00555AB8" w:rsidRDefault="009011EE" w:rsidP="00AB01D6">
      <w:pPr>
        <w:spacing w:line="360" w:lineRule="auto"/>
        <w:jc w:val="both"/>
        <w:rPr>
          <w:rFonts w:ascii="Arial" w:hAnsi="Arial" w:cs="Arial"/>
          <w:sz w:val="24"/>
          <w:szCs w:val="24"/>
        </w:rPr>
      </w:pPr>
    </w:p>
    <w:p w14:paraId="4B73C218" w14:textId="77777777" w:rsidR="00AB01D6" w:rsidRPr="00555AB8" w:rsidRDefault="00AB01D6" w:rsidP="00AB01D6">
      <w:pPr>
        <w:spacing w:line="360" w:lineRule="auto"/>
        <w:jc w:val="both"/>
        <w:rPr>
          <w:rFonts w:ascii="Arial" w:hAnsi="Arial" w:cs="Arial"/>
          <w:sz w:val="24"/>
          <w:szCs w:val="24"/>
        </w:rPr>
      </w:pPr>
    </w:p>
    <w:p w14:paraId="4C8FC380" w14:textId="5EAF9F2C" w:rsidR="00750A4B" w:rsidRPr="00555AB8" w:rsidRDefault="00750A4B">
      <w:pPr>
        <w:rPr>
          <w:rFonts w:ascii="Arial" w:hAnsi="Arial" w:cs="Arial"/>
          <w:sz w:val="24"/>
          <w:szCs w:val="24"/>
        </w:rPr>
      </w:pPr>
      <w:r w:rsidRPr="00555AB8">
        <w:rPr>
          <w:rFonts w:ascii="Arial" w:hAnsi="Arial" w:cs="Arial"/>
          <w:sz w:val="24"/>
          <w:szCs w:val="24"/>
        </w:rPr>
        <w:br w:type="page"/>
      </w:r>
    </w:p>
    <w:p w14:paraId="127A4550" w14:textId="333CFC56" w:rsidR="00F7565E" w:rsidRPr="00555AB8" w:rsidRDefault="00750A4B" w:rsidP="000F2146">
      <w:pPr>
        <w:pStyle w:val="Heading1"/>
        <w:spacing w:line="360" w:lineRule="auto"/>
        <w:jc w:val="both"/>
        <w:rPr>
          <w:rFonts w:ascii="Arial" w:hAnsi="Arial" w:cs="Arial"/>
          <w:b/>
          <w:bCs/>
          <w:sz w:val="28"/>
          <w:szCs w:val="28"/>
        </w:rPr>
      </w:pPr>
      <w:bookmarkStart w:id="28" w:name="_Toc227767972"/>
      <w:r w:rsidRPr="00555AB8">
        <w:rPr>
          <w:rFonts w:ascii="Arial" w:hAnsi="Arial" w:cs="Arial"/>
          <w:b/>
          <w:bCs/>
          <w:sz w:val="28"/>
          <w:szCs w:val="28"/>
        </w:rPr>
        <w:t>APPENDIX</w:t>
      </w:r>
      <w:bookmarkEnd w:id="28"/>
    </w:p>
    <w:p w14:paraId="07DBD988" w14:textId="3CFF601F" w:rsidR="00750A4B" w:rsidRPr="00555AB8" w:rsidRDefault="00750A4B" w:rsidP="000F2146">
      <w:pPr>
        <w:pStyle w:val="Heading2"/>
        <w:rPr>
          <w:rFonts w:ascii="Arial" w:hAnsi="Arial" w:cs="Arial"/>
          <w:b/>
          <w:bCs/>
          <w:i/>
          <w:iCs/>
          <w:sz w:val="24"/>
          <w:szCs w:val="24"/>
          <w:u w:val="single"/>
        </w:rPr>
      </w:pPr>
      <w:bookmarkStart w:id="29" w:name="_Toc227767973"/>
      <w:r w:rsidRPr="00555AB8">
        <w:rPr>
          <w:rFonts w:ascii="Arial" w:hAnsi="Arial" w:cs="Arial"/>
          <w:b/>
          <w:bCs/>
          <w:i/>
          <w:iCs/>
          <w:sz w:val="24"/>
          <w:szCs w:val="24"/>
          <w:u w:val="single"/>
        </w:rPr>
        <w:t>Ratios Calculations</w:t>
      </w:r>
      <w:bookmarkEnd w:id="29"/>
    </w:p>
    <w:p w14:paraId="1B9A0986" w14:textId="0662828F" w:rsidR="002510FC" w:rsidRPr="00555AB8" w:rsidRDefault="006B223E" w:rsidP="002510FC">
      <w:pPr>
        <w:keepNext/>
        <w:spacing w:line="360" w:lineRule="auto"/>
        <w:jc w:val="both"/>
        <w:rPr>
          <w:rFonts w:ascii="Arial" w:hAnsi="Arial" w:cs="Arial"/>
        </w:rPr>
      </w:pPr>
      <w:r w:rsidRPr="006B223E">
        <w:rPr>
          <w:noProof/>
        </w:rPr>
        <w:drawing>
          <wp:inline distT="0" distB="0" distL="0" distR="0" wp14:anchorId="44B871E1" wp14:editId="68006F1F">
            <wp:extent cx="5731510" cy="3727450"/>
            <wp:effectExtent l="0" t="0" r="2540" b="6350"/>
            <wp:docPr id="213967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727450"/>
                    </a:xfrm>
                    <a:prstGeom prst="rect">
                      <a:avLst/>
                    </a:prstGeom>
                    <a:noFill/>
                    <a:ln>
                      <a:noFill/>
                    </a:ln>
                  </pic:spPr>
                </pic:pic>
              </a:graphicData>
            </a:graphic>
          </wp:inline>
        </w:drawing>
      </w:r>
    </w:p>
    <w:p w14:paraId="170FE0F9" w14:textId="457389CC" w:rsidR="00750A4B" w:rsidRPr="00555AB8" w:rsidRDefault="002510FC" w:rsidP="002510FC">
      <w:pPr>
        <w:pStyle w:val="Caption"/>
        <w:jc w:val="center"/>
        <w:rPr>
          <w:rFonts w:ascii="Arial" w:hAnsi="Arial" w:cs="Arial"/>
          <w:sz w:val="24"/>
          <w:szCs w:val="24"/>
        </w:rPr>
      </w:pPr>
      <w:bookmarkStart w:id="30" w:name="_Toc227767930"/>
      <w:r w:rsidRPr="00555AB8">
        <w:rPr>
          <w:rFonts w:ascii="Arial" w:hAnsi="Arial" w:cs="Arial"/>
        </w:rPr>
        <w:t xml:space="preserve">Figure </w:t>
      </w:r>
      <w:r w:rsidRPr="00555AB8">
        <w:rPr>
          <w:rFonts w:ascii="Arial" w:hAnsi="Arial" w:cs="Arial"/>
        </w:rPr>
        <w:fldChar w:fldCharType="begin"/>
      </w:r>
      <w:r w:rsidRPr="00555AB8">
        <w:rPr>
          <w:rFonts w:ascii="Arial" w:hAnsi="Arial" w:cs="Arial"/>
        </w:rPr>
        <w:instrText xml:space="preserve"> SEQ Figure \* ARABIC </w:instrText>
      </w:r>
      <w:r w:rsidRPr="00555AB8">
        <w:rPr>
          <w:rFonts w:ascii="Arial" w:hAnsi="Arial" w:cs="Arial"/>
        </w:rPr>
        <w:fldChar w:fldCharType="separate"/>
      </w:r>
      <w:r w:rsidR="000F2146" w:rsidRPr="00555AB8">
        <w:rPr>
          <w:rFonts w:ascii="Arial" w:hAnsi="Arial" w:cs="Arial"/>
          <w:noProof/>
        </w:rPr>
        <w:t>1</w:t>
      </w:r>
      <w:r w:rsidRPr="00555AB8">
        <w:rPr>
          <w:rFonts w:ascii="Arial" w:hAnsi="Arial" w:cs="Arial"/>
        </w:rPr>
        <w:fldChar w:fldCharType="end"/>
      </w:r>
      <w:r w:rsidRPr="00555AB8">
        <w:rPr>
          <w:rFonts w:ascii="Arial" w:hAnsi="Arial" w:cs="Arial"/>
        </w:rPr>
        <w:t>: Ratios</w:t>
      </w:r>
      <w:bookmarkEnd w:id="30"/>
    </w:p>
    <w:p w14:paraId="7202F431" w14:textId="77777777" w:rsidR="002510FC" w:rsidRPr="00555AB8" w:rsidRDefault="0055681E" w:rsidP="007E5615">
      <w:pPr>
        <w:keepNext/>
        <w:spacing w:line="360" w:lineRule="auto"/>
        <w:jc w:val="center"/>
        <w:rPr>
          <w:rFonts w:ascii="Arial" w:hAnsi="Arial" w:cs="Arial"/>
        </w:rPr>
      </w:pPr>
      <w:r w:rsidRPr="00555AB8">
        <w:rPr>
          <w:rFonts w:ascii="Arial" w:hAnsi="Arial" w:cs="Arial"/>
          <w:noProof/>
        </w:rPr>
        <w:drawing>
          <wp:inline distT="0" distB="0" distL="0" distR="0" wp14:anchorId="57E283CF" wp14:editId="7FF4353F">
            <wp:extent cx="5731510" cy="2611755"/>
            <wp:effectExtent l="0" t="0" r="2540" b="0"/>
            <wp:docPr id="2026364351" name="Chart 1">
              <a:extLst xmlns:a="http://schemas.openxmlformats.org/drawingml/2006/main">
                <a:ext uri="{FF2B5EF4-FFF2-40B4-BE49-F238E27FC236}">
                  <a16:creationId xmlns:a16="http://schemas.microsoft.com/office/drawing/2014/main" id="{41687607-BFBA-46B8-AE6D-4B5EFA5F00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0912B5C" w14:textId="7F1B514D" w:rsidR="00B32B7F" w:rsidRPr="00555AB8" w:rsidRDefault="002510FC" w:rsidP="007E5615">
      <w:pPr>
        <w:pStyle w:val="Caption"/>
        <w:jc w:val="center"/>
        <w:rPr>
          <w:rFonts w:ascii="Arial" w:hAnsi="Arial" w:cs="Arial"/>
          <w:sz w:val="24"/>
          <w:szCs w:val="24"/>
        </w:rPr>
      </w:pPr>
      <w:bookmarkStart w:id="31" w:name="_Toc227767931"/>
      <w:r w:rsidRPr="00555AB8">
        <w:rPr>
          <w:rFonts w:ascii="Arial" w:hAnsi="Arial" w:cs="Arial"/>
        </w:rPr>
        <w:t xml:space="preserve">Figure </w:t>
      </w:r>
      <w:r w:rsidRPr="00555AB8">
        <w:rPr>
          <w:rFonts w:ascii="Arial" w:hAnsi="Arial" w:cs="Arial"/>
        </w:rPr>
        <w:fldChar w:fldCharType="begin"/>
      </w:r>
      <w:r w:rsidRPr="00555AB8">
        <w:rPr>
          <w:rFonts w:ascii="Arial" w:hAnsi="Arial" w:cs="Arial"/>
        </w:rPr>
        <w:instrText xml:space="preserve"> SEQ Figure \* ARABIC </w:instrText>
      </w:r>
      <w:r w:rsidRPr="00555AB8">
        <w:rPr>
          <w:rFonts w:ascii="Arial" w:hAnsi="Arial" w:cs="Arial"/>
        </w:rPr>
        <w:fldChar w:fldCharType="separate"/>
      </w:r>
      <w:r w:rsidR="000F2146" w:rsidRPr="00555AB8">
        <w:rPr>
          <w:rFonts w:ascii="Arial" w:hAnsi="Arial" w:cs="Arial"/>
          <w:noProof/>
        </w:rPr>
        <w:t>2</w:t>
      </w:r>
      <w:r w:rsidRPr="00555AB8">
        <w:rPr>
          <w:rFonts w:ascii="Arial" w:hAnsi="Arial" w:cs="Arial"/>
        </w:rPr>
        <w:fldChar w:fldCharType="end"/>
      </w:r>
      <w:r w:rsidRPr="00555AB8">
        <w:rPr>
          <w:rFonts w:ascii="Arial" w:hAnsi="Arial" w:cs="Arial"/>
        </w:rPr>
        <w:t>: Graphical Presentation of Ratios</w:t>
      </w:r>
      <w:bookmarkEnd w:id="31"/>
    </w:p>
    <w:p w14:paraId="5BB7EE94" w14:textId="7380F425" w:rsidR="002510FC" w:rsidRPr="00555AB8" w:rsidRDefault="00B910F0" w:rsidP="000F2146">
      <w:pPr>
        <w:pStyle w:val="Heading2"/>
        <w:rPr>
          <w:rFonts w:ascii="Arial" w:hAnsi="Arial" w:cs="Arial"/>
          <w:b/>
          <w:bCs/>
          <w:i/>
          <w:iCs/>
          <w:sz w:val="24"/>
          <w:szCs w:val="24"/>
          <w:u w:val="single"/>
        </w:rPr>
      </w:pPr>
      <w:bookmarkStart w:id="32" w:name="_Toc227767974"/>
      <w:r w:rsidRPr="00555AB8">
        <w:rPr>
          <w:rFonts w:ascii="Arial" w:hAnsi="Arial" w:cs="Arial"/>
          <w:b/>
          <w:bCs/>
          <w:i/>
          <w:iCs/>
          <w:sz w:val="24"/>
          <w:szCs w:val="24"/>
          <w:u w:val="single"/>
        </w:rPr>
        <w:t>Working Capital Calculation</w:t>
      </w:r>
      <w:bookmarkEnd w:id="32"/>
    </w:p>
    <w:p w14:paraId="247FC106" w14:textId="77777777" w:rsidR="009D3E6E" w:rsidRPr="00555AB8" w:rsidRDefault="009D3E6E" w:rsidP="009D3E6E">
      <w:pPr>
        <w:keepNext/>
        <w:spacing w:line="360" w:lineRule="auto"/>
        <w:jc w:val="center"/>
        <w:rPr>
          <w:rFonts w:ascii="Arial" w:hAnsi="Arial" w:cs="Arial"/>
        </w:rPr>
      </w:pPr>
      <w:r w:rsidRPr="00555AB8">
        <w:rPr>
          <w:rFonts w:ascii="Arial" w:hAnsi="Arial" w:cs="Arial"/>
          <w:noProof/>
        </w:rPr>
        <w:drawing>
          <wp:inline distT="0" distB="0" distL="0" distR="0" wp14:anchorId="301CCAB8" wp14:editId="56211001">
            <wp:extent cx="4279900" cy="1187450"/>
            <wp:effectExtent l="0" t="0" r="6350" b="0"/>
            <wp:docPr id="3717641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79900" cy="1187450"/>
                    </a:xfrm>
                    <a:prstGeom prst="rect">
                      <a:avLst/>
                    </a:prstGeom>
                    <a:noFill/>
                    <a:ln>
                      <a:noFill/>
                    </a:ln>
                  </pic:spPr>
                </pic:pic>
              </a:graphicData>
            </a:graphic>
          </wp:inline>
        </w:drawing>
      </w:r>
    </w:p>
    <w:p w14:paraId="225D7950" w14:textId="34C9BEB8" w:rsidR="00B910F0" w:rsidRPr="00555AB8" w:rsidRDefault="009D3E6E" w:rsidP="009D3E6E">
      <w:pPr>
        <w:pStyle w:val="Caption"/>
        <w:jc w:val="center"/>
        <w:rPr>
          <w:rFonts w:ascii="Arial" w:hAnsi="Arial" w:cs="Arial"/>
          <w:sz w:val="24"/>
          <w:szCs w:val="24"/>
        </w:rPr>
      </w:pPr>
      <w:bookmarkStart w:id="33" w:name="_Toc227767932"/>
      <w:r w:rsidRPr="00555AB8">
        <w:rPr>
          <w:rFonts w:ascii="Arial" w:hAnsi="Arial" w:cs="Arial"/>
        </w:rPr>
        <w:t xml:space="preserve">Figure </w:t>
      </w:r>
      <w:r w:rsidRPr="00555AB8">
        <w:rPr>
          <w:rFonts w:ascii="Arial" w:hAnsi="Arial" w:cs="Arial"/>
        </w:rPr>
        <w:fldChar w:fldCharType="begin"/>
      </w:r>
      <w:r w:rsidRPr="00555AB8">
        <w:rPr>
          <w:rFonts w:ascii="Arial" w:hAnsi="Arial" w:cs="Arial"/>
        </w:rPr>
        <w:instrText xml:space="preserve"> SEQ Figure \* ARABIC </w:instrText>
      </w:r>
      <w:r w:rsidRPr="00555AB8">
        <w:rPr>
          <w:rFonts w:ascii="Arial" w:hAnsi="Arial" w:cs="Arial"/>
        </w:rPr>
        <w:fldChar w:fldCharType="separate"/>
      </w:r>
      <w:r w:rsidR="000F2146" w:rsidRPr="00555AB8">
        <w:rPr>
          <w:rFonts w:ascii="Arial" w:hAnsi="Arial" w:cs="Arial"/>
          <w:noProof/>
        </w:rPr>
        <w:t>3</w:t>
      </w:r>
      <w:r w:rsidRPr="00555AB8">
        <w:rPr>
          <w:rFonts w:ascii="Arial" w:hAnsi="Arial" w:cs="Arial"/>
        </w:rPr>
        <w:fldChar w:fldCharType="end"/>
      </w:r>
      <w:r w:rsidRPr="00555AB8">
        <w:rPr>
          <w:rFonts w:ascii="Arial" w:hAnsi="Arial" w:cs="Arial"/>
        </w:rPr>
        <w:t>: Working capital</w:t>
      </w:r>
      <w:bookmarkEnd w:id="33"/>
    </w:p>
    <w:p w14:paraId="37746190" w14:textId="484FDEC9" w:rsidR="009D3E6E" w:rsidRPr="00555AB8" w:rsidRDefault="009D3E6E" w:rsidP="000F2146">
      <w:pPr>
        <w:pStyle w:val="Heading2"/>
        <w:rPr>
          <w:rFonts w:ascii="Arial" w:hAnsi="Arial" w:cs="Arial"/>
          <w:b/>
          <w:bCs/>
          <w:i/>
          <w:iCs/>
          <w:sz w:val="24"/>
          <w:szCs w:val="24"/>
          <w:u w:val="single"/>
        </w:rPr>
      </w:pPr>
      <w:bookmarkStart w:id="34" w:name="_Toc227767975"/>
      <w:r w:rsidRPr="00555AB8">
        <w:rPr>
          <w:rFonts w:ascii="Arial" w:hAnsi="Arial" w:cs="Arial"/>
          <w:b/>
          <w:bCs/>
          <w:i/>
          <w:iCs/>
          <w:sz w:val="24"/>
          <w:szCs w:val="24"/>
          <w:u w:val="single"/>
        </w:rPr>
        <w:t>Investment appraisal</w:t>
      </w:r>
      <w:bookmarkEnd w:id="34"/>
    </w:p>
    <w:p w14:paraId="7B564299" w14:textId="77777777" w:rsidR="000F2146" w:rsidRPr="00555AB8" w:rsidRDefault="000F2146" w:rsidP="000F2146">
      <w:pPr>
        <w:keepNext/>
        <w:spacing w:line="360" w:lineRule="auto"/>
        <w:jc w:val="center"/>
        <w:rPr>
          <w:rFonts w:ascii="Arial" w:hAnsi="Arial" w:cs="Arial"/>
        </w:rPr>
      </w:pPr>
      <w:r w:rsidRPr="00555AB8">
        <w:rPr>
          <w:rFonts w:ascii="Arial" w:hAnsi="Arial" w:cs="Arial"/>
          <w:noProof/>
        </w:rPr>
        <w:drawing>
          <wp:inline distT="0" distB="0" distL="0" distR="0" wp14:anchorId="4B739FD5" wp14:editId="6D5E8DB1">
            <wp:extent cx="4208538" cy="7810500"/>
            <wp:effectExtent l="0" t="0" r="1905" b="0"/>
            <wp:docPr id="1194433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10047" cy="7813301"/>
                    </a:xfrm>
                    <a:prstGeom prst="rect">
                      <a:avLst/>
                    </a:prstGeom>
                    <a:noFill/>
                    <a:ln>
                      <a:noFill/>
                    </a:ln>
                  </pic:spPr>
                </pic:pic>
              </a:graphicData>
            </a:graphic>
          </wp:inline>
        </w:drawing>
      </w:r>
    </w:p>
    <w:p w14:paraId="3813082B" w14:textId="57C50AEA" w:rsidR="009D3E6E" w:rsidRPr="00555AB8" w:rsidRDefault="000F2146" w:rsidP="000F2146">
      <w:pPr>
        <w:pStyle w:val="Caption"/>
        <w:jc w:val="center"/>
        <w:rPr>
          <w:rFonts w:ascii="Arial" w:hAnsi="Arial" w:cs="Arial"/>
          <w:sz w:val="24"/>
          <w:szCs w:val="24"/>
        </w:rPr>
      </w:pPr>
      <w:bookmarkStart w:id="35" w:name="_Toc227767933"/>
      <w:r w:rsidRPr="00555AB8">
        <w:rPr>
          <w:rFonts w:ascii="Arial" w:hAnsi="Arial" w:cs="Arial"/>
        </w:rPr>
        <w:t xml:space="preserve">Figure </w:t>
      </w:r>
      <w:r w:rsidRPr="00555AB8">
        <w:rPr>
          <w:rFonts w:ascii="Arial" w:hAnsi="Arial" w:cs="Arial"/>
        </w:rPr>
        <w:fldChar w:fldCharType="begin"/>
      </w:r>
      <w:r w:rsidRPr="00555AB8">
        <w:rPr>
          <w:rFonts w:ascii="Arial" w:hAnsi="Arial" w:cs="Arial"/>
        </w:rPr>
        <w:instrText xml:space="preserve"> SEQ Figure \* ARABIC </w:instrText>
      </w:r>
      <w:r w:rsidRPr="00555AB8">
        <w:rPr>
          <w:rFonts w:ascii="Arial" w:hAnsi="Arial" w:cs="Arial"/>
        </w:rPr>
        <w:fldChar w:fldCharType="separate"/>
      </w:r>
      <w:r w:rsidRPr="00555AB8">
        <w:rPr>
          <w:rFonts w:ascii="Arial" w:hAnsi="Arial" w:cs="Arial"/>
          <w:noProof/>
        </w:rPr>
        <w:t>4</w:t>
      </w:r>
      <w:r w:rsidRPr="00555AB8">
        <w:rPr>
          <w:rFonts w:ascii="Arial" w:hAnsi="Arial" w:cs="Arial"/>
        </w:rPr>
        <w:fldChar w:fldCharType="end"/>
      </w:r>
      <w:r w:rsidRPr="00555AB8">
        <w:rPr>
          <w:rFonts w:ascii="Arial" w:hAnsi="Arial" w:cs="Arial"/>
        </w:rPr>
        <w:t>: Investment Appraisal</w:t>
      </w:r>
      <w:bookmarkEnd w:id="35"/>
    </w:p>
    <w:p w14:paraId="48592F4C" w14:textId="77777777" w:rsidR="004133E3" w:rsidRPr="00555AB8" w:rsidRDefault="004133E3" w:rsidP="00700106">
      <w:pPr>
        <w:spacing w:line="360" w:lineRule="auto"/>
        <w:jc w:val="both"/>
        <w:rPr>
          <w:rFonts w:ascii="Arial" w:hAnsi="Arial" w:cs="Arial"/>
          <w:sz w:val="24"/>
          <w:szCs w:val="24"/>
        </w:rPr>
      </w:pPr>
    </w:p>
    <w:sectPr w:rsidR="004133E3" w:rsidRPr="00555AB8">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A4089" w14:textId="77777777" w:rsidR="00AC6D48" w:rsidRDefault="00AC6D48" w:rsidP="008D7103">
      <w:pPr>
        <w:spacing w:after="0" w:line="240" w:lineRule="auto"/>
      </w:pPr>
      <w:r>
        <w:separator/>
      </w:r>
    </w:p>
  </w:endnote>
  <w:endnote w:type="continuationSeparator" w:id="0">
    <w:p w14:paraId="509137F8" w14:textId="77777777" w:rsidR="00AC6D48" w:rsidRDefault="00AC6D48" w:rsidP="008D7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8B934" w14:textId="77777777" w:rsidR="00AC6D48" w:rsidRDefault="00AC6D48" w:rsidP="008D7103">
      <w:pPr>
        <w:spacing w:after="0" w:line="240" w:lineRule="auto"/>
      </w:pPr>
      <w:r>
        <w:separator/>
      </w:r>
    </w:p>
  </w:footnote>
  <w:footnote w:type="continuationSeparator" w:id="0">
    <w:p w14:paraId="785E61E2" w14:textId="77777777" w:rsidR="00AC6D48" w:rsidRDefault="00AC6D48" w:rsidP="008D7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077E0" w14:textId="13A7B329" w:rsidR="008D7103" w:rsidRDefault="008D7103">
    <w:pPr>
      <w:pStyle w:val="Header"/>
      <w:jc w:val="center"/>
    </w:pPr>
  </w:p>
  <w:p w14:paraId="3FFE534C" w14:textId="77777777" w:rsidR="008D7103" w:rsidRDefault="008D7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73D0C"/>
    <w:multiLevelType w:val="hybridMultilevel"/>
    <w:tmpl w:val="733426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ACB3865"/>
    <w:multiLevelType w:val="hybridMultilevel"/>
    <w:tmpl w:val="847C04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339323E"/>
    <w:multiLevelType w:val="multilevel"/>
    <w:tmpl w:val="692C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721EE2"/>
    <w:multiLevelType w:val="hybridMultilevel"/>
    <w:tmpl w:val="0A98BA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6C70B49"/>
    <w:multiLevelType w:val="hybridMultilevel"/>
    <w:tmpl w:val="4D3ED2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75313898">
    <w:abstractNumId w:val="0"/>
  </w:num>
  <w:num w:numId="2" w16cid:durableId="1048460196">
    <w:abstractNumId w:val="1"/>
  </w:num>
  <w:num w:numId="3" w16cid:durableId="1420516640">
    <w:abstractNumId w:val="3"/>
  </w:num>
  <w:num w:numId="4" w16cid:durableId="64570421">
    <w:abstractNumId w:val="4"/>
  </w:num>
  <w:num w:numId="5" w16cid:durableId="370308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2sjAyNDEwNLe0NDNU0lEKTi0uzszPAykwqgUAvahC5CwAAAA="/>
  </w:docVars>
  <w:rsids>
    <w:rsidRoot w:val="001D032C"/>
    <w:rsid w:val="00022644"/>
    <w:rsid w:val="00024CED"/>
    <w:rsid w:val="00031A05"/>
    <w:rsid w:val="000500C1"/>
    <w:rsid w:val="000936DB"/>
    <w:rsid w:val="000943B6"/>
    <w:rsid w:val="000A334D"/>
    <w:rsid w:val="000B41B0"/>
    <w:rsid w:val="000C1278"/>
    <w:rsid w:val="000C1372"/>
    <w:rsid w:val="000D536A"/>
    <w:rsid w:val="000E64D5"/>
    <w:rsid w:val="000F2146"/>
    <w:rsid w:val="00111E12"/>
    <w:rsid w:val="00135A24"/>
    <w:rsid w:val="0014039E"/>
    <w:rsid w:val="00147095"/>
    <w:rsid w:val="00147246"/>
    <w:rsid w:val="001576C4"/>
    <w:rsid w:val="00173647"/>
    <w:rsid w:val="00173908"/>
    <w:rsid w:val="001748FF"/>
    <w:rsid w:val="001A2317"/>
    <w:rsid w:val="001A53B8"/>
    <w:rsid w:val="001D032C"/>
    <w:rsid w:val="001D2AD5"/>
    <w:rsid w:val="001D40F5"/>
    <w:rsid w:val="001E60CF"/>
    <w:rsid w:val="00212232"/>
    <w:rsid w:val="00244E8E"/>
    <w:rsid w:val="00250B99"/>
    <w:rsid w:val="002510FC"/>
    <w:rsid w:val="0028679F"/>
    <w:rsid w:val="00286EBD"/>
    <w:rsid w:val="00292E61"/>
    <w:rsid w:val="002A6D27"/>
    <w:rsid w:val="00300FDB"/>
    <w:rsid w:val="00316081"/>
    <w:rsid w:val="00326185"/>
    <w:rsid w:val="00365D99"/>
    <w:rsid w:val="00376ED4"/>
    <w:rsid w:val="00380CD2"/>
    <w:rsid w:val="00384A81"/>
    <w:rsid w:val="003A1FEF"/>
    <w:rsid w:val="003C63D1"/>
    <w:rsid w:val="003F026A"/>
    <w:rsid w:val="003F3E3C"/>
    <w:rsid w:val="00403CB8"/>
    <w:rsid w:val="004133E3"/>
    <w:rsid w:val="00416202"/>
    <w:rsid w:val="00445906"/>
    <w:rsid w:val="00454613"/>
    <w:rsid w:val="00481BFE"/>
    <w:rsid w:val="004917E9"/>
    <w:rsid w:val="004A06B2"/>
    <w:rsid w:val="004A4C26"/>
    <w:rsid w:val="004C07D2"/>
    <w:rsid w:val="00511DF0"/>
    <w:rsid w:val="0054171C"/>
    <w:rsid w:val="00550DA2"/>
    <w:rsid w:val="0055212D"/>
    <w:rsid w:val="00555AB8"/>
    <w:rsid w:val="0055681E"/>
    <w:rsid w:val="005672AB"/>
    <w:rsid w:val="0057762B"/>
    <w:rsid w:val="005A6B3A"/>
    <w:rsid w:val="005B3077"/>
    <w:rsid w:val="005B6B54"/>
    <w:rsid w:val="005B7B92"/>
    <w:rsid w:val="005D1BE2"/>
    <w:rsid w:val="005E05B9"/>
    <w:rsid w:val="005E3D4D"/>
    <w:rsid w:val="005E4126"/>
    <w:rsid w:val="006740E3"/>
    <w:rsid w:val="00693396"/>
    <w:rsid w:val="006B223E"/>
    <w:rsid w:val="006B7627"/>
    <w:rsid w:val="006D65DF"/>
    <w:rsid w:val="006D681C"/>
    <w:rsid w:val="006E266A"/>
    <w:rsid w:val="006F0C1D"/>
    <w:rsid w:val="006F7B71"/>
    <w:rsid w:val="00700106"/>
    <w:rsid w:val="00703918"/>
    <w:rsid w:val="007159DA"/>
    <w:rsid w:val="00742E69"/>
    <w:rsid w:val="00744A93"/>
    <w:rsid w:val="00750A4B"/>
    <w:rsid w:val="007728C7"/>
    <w:rsid w:val="00773E17"/>
    <w:rsid w:val="00794E1D"/>
    <w:rsid w:val="007A5E9C"/>
    <w:rsid w:val="007B548E"/>
    <w:rsid w:val="007C3375"/>
    <w:rsid w:val="007E5615"/>
    <w:rsid w:val="007F0D22"/>
    <w:rsid w:val="008439FB"/>
    <w:rsid w:val="00852A21"/>
    <w:rsid w:val="00856A6C"/>
    <w:rsid w:val="00877B4D"/>
    <w:rsid w:val="00886B7F"/>
    <w:rsid w:val="008C5660"/>
    <w:rsid w:val="008C6F0C"/>
    <w:rsid w:val="008D7103"/>
    <w:rsid w:val="008E70BD"/>
    <w:rsid w:val="008F711A"/>
    <w:rsid w:val="009011EE"/>
    <w:rsid w:val="00903A2E"/>
    <w:rsid w:val="00914EAD"/>
    <w:rsid w:val="009272AF"/>
    <w:rsid w:val="0094152D"/>
    <w:rsid w:val="00950DEF"/>
    <w:rsid w:val="00962AEE"/>
    <w:rsid w:val="00993C69"/>
    <w:rsid w:val="009C13FA"/>
    <w:rsid w:val="009C4E99"/>
    <w:rsid w:val="009D3E6E"/>
    <w:rsid w:val="009E712E"/>
    <w:rsid w:val="009F34F7"/>
    <w:rsid w:val="00A00351"/>
    <w:rsid w:val="00A26A0E"/>
    <w:rsid w:val="00A36F67"/>
    <w:rsid w:val="00A43C27"/>
    <w:rsid w:val="00A618D8"/>
    <w:rsid w:val="00A95DAA"/>
    <w:rsid w:val="00AA65E8"/>
    <w:rsid w:val="00AB01D6"/>
    <w:rsid w:val="00AC6D48"/>
    <w:rsid w:val="00AD25E3"/>
    <w:rsid w:val="00B062DD"/>
    <w:rsid w:val="00B10BAE"/>
    <w:rsid w:val="00B30434"/>
    <w:rsid w:val="00B32B7F"/>
    <w:rsid w:val="00B90019"/>
    <w:rsid w:val="00B910F0"/>
    <w:rsid w:val="00BA1C3C"/>
    <w:rsid w:val="00BA3646"/>
    <w:rsid w:val="00BD5AF5"/>
    <w:rsid w:val="00BD6666"/>
    <w:rsid w:val="00BE6218"/>
    <w:rsid w:val="00BE6456"/>
    <w:rsid w:val="00BF0291"/>
    <w:rsid w:val="00C10156"/>
    <w:rsid w:val="00C20812"/>
    <w:rsid w:val="00C258A4"/>
    <w:rsid w:val="00C43028"/>
    <w:rsid w:val="00C43A1E"/>
    <w:rsid w:val="00C53026"/>
    <w:rsid w:val="00C774DE"/>
    <w:rsid w:val="00C776CB"/>
    <w:rsid w:val="00C871D0"/>
    <w:rsid w:val="00C9440D"/>
    <w:rsid w:val="00C9702B"/>
    <w:rsid w:val="00CA0E3C"/>
    <w:rsid w:val="00CA5EFF"/>
    <w:rsid w:val="00CB01AF"/>
    <w:rsid w:val="00D27A64"/>
    <w:rsid w:val="00D37630"/>
    <w:rsid w:val="00D43133"/>
    <w:rsid w:val="00D81D31"/>
    <w:rsid w:val="00DA43E3"/>
    <w:rsid w:val="00DB2C38"/>
    <w:rsid w:val="00DC212A"/>
    <w:rsid w:val="00DD6DB5"/>
    <w:rsid w:val="00DF07AF"/>
    <w:rsid w:val="00E034F0"/>
    <w:rsid w:val="00E05C41"/>
    <w:rsid w:val="00E11AA1"/>
    <w:rsid w:val="00E41D31"/>
    <w:rsid w:val="00E55A99"/>
    <w:rsid w:val="00E5710A"/>
    <w:rsid w:val="00E716F1"/>
    <w:rsid w:val="00E80821"/>
    <w:rsid w:val="00E96E55"/>
    <w:rsid w:val="00EC442F"/>
    <w:rsid w:val="00ED3200"/>
    <w:rsid w:val="00ED6036"/>
    <w:rsid w:val="00EE3396"/>
    <w:rsid w:val="00EE63F1"/>
    <w:rsid w:val="00F16415"/>
    <w:rsid w:val="00F4196A"/>
    <w:rsid w:val="00F429A9"/>
    <w:rsid w:val="00F549FE"/>
    <w:rsid w:val="00F6300E"/>
    <w:rsid w:val="00F6647C"/>
    <w:rsid w:val="00F7565E"/>
    <w:rsid w:val="00F7597A"/>
    <w:rsid w:val="00F907D9"/>
    <w:rsid w:val="00F93793"/>
    <w:rsid w:val="00FA6F5D"/>
    <w:rsid w:val="00FC1ABC"/>
    <w:rsid w:val="00FD757D"/>
    <w:rsid w:val="00FE11C6"/>
    <w:rsid w:val="00FE53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B4342"/>
  <w15:chartTrackingRefBased/>
  <w15:docId w15:val="{02088409-DA5C-4319-9D21-E77B9222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3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D03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03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03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03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03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3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3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3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3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D03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03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03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03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03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3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3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32C"/>
    <w:rPr>
      <w:rFonts w:eastAsiaTheme="majorEastAsia" w:cstheme="majorBidi"/>
      <w:color w:val="272727" w:themeColor="text1" w:themeTint="D8"/>
    </w:rPr>
  </w:style>
  <w:style w:type="paragraph" w:styleId="Title">
    <w:name w:val="Title"/>
    <w:basedOn w:val="Normal"/>
    <w:next w:val="Normal"/>
    <w:link w:val="TitleChar"/>
    <w:uiPriority w:val="10"/>
    <w:qFormat/>
    <w:rsid w:val="001D03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3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3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3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32C"/>
    <w:pPr>
      <w:spacing w:before="160"/>
      <w:jc w:val="center"/>
    </w:pPr>
    <w:rPr>
      <w:i/>
      <w:iCs/>
      <w:color w:val="404040" w:themeColor="text1" w:themeTint="BF"/>
    </w:rPr>
  </w:style>
  <w:style w:type="character" w:customStyle="1" w:styleId="QuoteChar">
    <w:name w:val="Quote Char"/>
    <w:basedOn w:val="DefaultParagraphFont"/>
    <w:link w:val="Quote"/>
    <w:uiPriority w:val="29"/>
    <w:rsid w:val="001D032C"/>
    <w:rPr>
      <w:i/>
      <w:iCs/>
      <w:color w:val="404040" w:themeColor="text1" w:themeTint="BF"/>
    </w:rPr>
  </w:style>
  <w:style w:type="paragraph" w:styleId="ListParagraph">
    <w:name w:val="List Paragraph"/>
    <w:basedOn w:val="Normal"/>
    <w:uiPriority w:val="34"/>
    <w:qFormat/>
    <w:rsid w:val="001D032C"/>
    <w:pPr>
      <w:ind w:left="720"/>
      <w:contextualSpacing/>
    </w:pPr>
  </w:style>
  <w:style w:type="character" w:styleId="IntenseEmphasis">
    <w:name w:val="Intense Emphasis"/>
    <w:basedOn w:val="DefaultParagraphFont"/>
    <w:uiPriority w:val="21"/>
    <w:qFormat/>
    <w:rsid w:val="001D032C"/>
    <w:rPr>
      <w:i/>
      <w:iCs/>
      <w:color w:val="2F5496" w:themeColor="accent1" w:themeShade="BF"/>
    </w:rPr>
  </w:style>
  <w:style w:type="paragraph" w:styleId="IntenseQuote">
    <w:name w:val="Intense Quote"/>
    <w:basedOn w:val="Normal"/>
    <w:next w:val="Normal"/>
    <w:link w:val="IntenseQuoteChar"/>
    <w:uiPriority w:val="30"/>
    <w:qFormat/>
    <w:rsid w:val="001D03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032C"/>
    <w:rPr>
      <w:i/>
      <w:iCs/>
      <w:color w:val="2F5496" w:themeColor="accent1" w:themeShade="BF"/>
    </w:rPr>
  </w:style>
  <w:style w:type="character" w:styleId="IntenseReference">
    <w:name w:val="Intense Reference"/>
    <w:basedOn w:val="DefaultParagraphFont"/>
    <w:uiPriority w:val="32"/>
    <w:qFormat/>
    <w:rsid w:val="001D032C"/>
    <w:rPr>
      <w:b/>
      <w:bCs/>
      <w:smallCaps/>
      <w:color w:val="2F5496" w:themeColor="accent1" w:themeShade="BF"/>
      <w:spacing w:val="5"/>
    </w:rPr>
  </w:style>
  <w:style w:type="table" w:styleId="GridTable5Dark-Accent4">
    <w:name w:val="Grid Table 5 Dark Accent 4"/>
    <w:basedOn w:val="TableNormal"/>
    <w:uiPriority w:val="50"/>
    <w:rsid w:val="005417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Header">
    <w:name w:val="header"/>
    <w:basedOn w:val="Normal"/>
    <w:link w:val="HeaderChar"/>
    <w:uiPriority w:val="99"/>
    <w:unhideWhenUsed/>
    <w:rsid w:val="008D7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103"/>
  </w:style>
  <w:style w:type="paragraph" w:styleId="Footer">
    <w:name w:val="footer"/>
    <w:basedOn w:val="Normal"/>
    <w:link w:val="FooterChar"/>
    <w:uiPriority w:val="99"/>
    <w:unhideWhenUsed/>
    <w:rsid w:val="008D7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103"/>
  </w:style>
  <w:style w:type="paragraph" w:styleId="TOCHeading">
    <w:name w:val="TOC Heading"/>
    <w:basedOn w:val="Heading1"/>
    <w:next w:val="Normal"/>
    <w:uiPriority w:val="39"/>
    <w:unhideWhenUsed/>
    <w:qFormat/>
    <w:rsid w:val="008D710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D7103"/>
    <w:pPr>
      <w:spacing w:after="100"/>
    </w:pPr>
  </w:style>
  <w:style w:type="paragraph" w:styleId="TOC2">
    <w:name w:val="toc 2"/>
    <w:basedOn w:val="Normal"/>
    <w:next w:val="Normal"/>
    <w:autoRedefine/>
    <w:uiPriority w:val="39"/>
    <w:unhideWhenUsed/>
    <w:rsid w:val="008D7103"/>
    <w:pPr>
      <w:spacing w:after="100"/>
      <w:ind w:left="220"/>
    </w:pPr>
  </w:style>
  <w:style w:type="character" w:styleId="Hyperlink">
    <w:name w:val="Hyperlink"/>
    <w:basedOn w:val="DefaultParagraphFont"/>
    <w:uiPriority w:val="99"/>
    <w:unhideWhenUsed/>
    <w:rsid w:val="008D7103"/>
    <w:rPr>
      <w:color w:val="0563C1" w:themeColor="hyperlink"/>
      <w:u w:val="single"/>
    </w:rPr>
  </w:style>
  <w:style w:type="paragraph" w:styleId="Caption">
    <w:name w:val="caption"/>
    <w:basedOn w:val="Normal"/>
    <w:next w:val="Normal"/>
    <w:uiPriority w:val="35"/>
    <w:unhideWhenUsed/>
    <w:qFormat/>
    <w:rsid w:val="002510F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B3077"/>
    <w:pPr>
      <w:spacing w:after="0"/>
    </w:pPr>
  </w:style>
  <w:style w:type="character" w:styleId="UnresolvedMention">
    <w:name w:val="Unresolved Mention"/>
    <w:basedOn w:val="DefaultParagraphFont"/>
    <w:uiPriority w:val="99"/>
    <w:semiHidden/>
    <w:unhideWhenUsed/>
    <w:rsid w:val="00567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www.bydglobal.com/cn/en/BYD_ENInvestor/InvestorAnnals_mob.html" TargetMode="External" /><Relationship Id="rId18" Type="http://schemas.openxmlformats.org/officeDocument/2006/relationships/hyperlink" Target="https://doi.org/10.1111/1475-679x.12410" TargetMode="External" /><Relationship Id="rId26" Type="http://schemas.openxmlformats.org/officeDocument/2006/relationships/hyperlink" Target="https://doi.org/10.35870/jemsi.v9i2.1016" TargetMode="External" /><Relationship Id="rId39" Type="http://schemas.openxmlformats.org/officeDocument/2006/relationships/image" Target="media/image3.emf" /><Relationship Id="rId3" Type="http://schemas.openxmlformats.org/officeDocument/2006/relationships/styles" Target="styles.xml" /><Relationship Id="rId21" Type="http://schemas.openxmlformats.org/officeDocument/2006/relationships/hyperlink" Target="https://doi.org/10.1287/msom.2022.0213" TargetMode="External" /><Relationship Id="rId34" Type="http://schemas.openxmlformats.org/officeDocument/2006/relationships/hyperlink" Target="https://doi.org/10.1080/00036846.2022.2102128" TargetMode="External" /><Relationship Id="rId42"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bydglobal.com/cn/en/BYD_ENInvestor/InvestorAnnals_mob.html" TargetMode="External" /><Relationship Id="rId17" Type="http://schemas.openxmlformats.org/officeDocument/2006/relationships/hyperlink" Target="https://doi.org/10.2991/aebmr.k.220307.028" TargetMode="External" /><Relationship Id="rId25" Type="http://schemas.openxmlformats.org/officeDocument/2006/relationships/hyperlink" Target="https://doi.org/10.2991/aebmr.k.220603.135" TargetMode="External" /><Relationship Id="rId33" Type="http://schemas.openxmlformats.org/officeDocument/2006/relationships/hyperlink" Target="https://doi.org/10.4324/9781351107242-22" TargetMode="External" /><Relationship Id="rId38" Type="http://schemas.openxmlformats.org/officeDocument/2006/relationships/chart" Target="charts/chart1.xml" /><Relationship Id="rId2" Type="http://schemas.openxmlformats.org/officeDocument/2006/relationships/numbering" Target="numbering.xml" /><Relationship Id="rId16" Type="http://schemas.openxmlformats.org/officeDocument/2006/relationships/hyperlink" Target="https://scholarworks.wmich.edu/honors_theses/3796/" TargetMode="External" /><Relationship Id="rId20" Type="http://schemas.openxmlformats.org/officeDocument/2006/relationships/hyperlink" Target="https://www.ijtrd.com/papers/IJTRD28958.pdf" TargetMode="External" /><Relationship Id="rId29" Type="http://schemas.openxmlformats.org/officeDocument/2006/relationships/hyperlink" Target="https://doi.org/10.71204/t7eftt51" TargetMode="External" /><Relationship Id="rId41"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bydglobal.com/cn/en/BYD_ENInvestor/InvestorAnnals_mob.html" TargetMode="External" /><Relationship Id="rId24" Type="http://schemas.openxmlformats.org/officeDocument/2006/relationships/hyperlink" Target="https://doi.org/10.35912/ijfam.v4i4.1090" TargetMode="External" /><Relationship Id="rId32" Type="http://schemas.openxmlformats.org/officeDocument/2006/relationships/hyperlink" Target="https://doi.org/10.54417/jaetm.v2i1.55" TargetMode="External" /><Relationship Id="rId37" Type="http://schemas.openxmlformats.org/officeDocument/2006/relationships/image" Target="media/image2.emf" /><Relationship Id="rId40" Type="http://schemas.openxmlformats.org/officeDocument/2006/relationships/image" Target="media/image4.emf" /><Relationship Id="rId5" Type="http://schemas.openxmlformats.org/officeDocument/2006/relationships/webSettings" Target="webSettings.xml" /><Relationship Id="rId15" Type="http://schemas.openxmlformats.org/officeDocument/2006/relationships/hyperlink" Target="https://doi.org/10.57185/qs4g0w42" TargetMode="External" /><Relationship Id="rId23" Type="http://schemas.openxmlformats.org/officeDocument/2006/relationships/hyperlink" Target="https://unitesi.unive.it/bitstream/20.500.14247/4284/1/872666-1280209.pdf" TargetMode="External" /><Relationship Id="rId28" Type="http://schemas.openxmlformats.org/officeDocument/2006/relationships/hyperlink" Target="https://doi.org/10.25236/AJBM.2024.061004" TargetMode="External" /><Relationship Id="rId36" Type="http://schemas.openxmlformats.org/officeDocument/2006/relationships/hyperlink" Target="https://doi.org/10.46799/jsa.v4i4.906" TargetMode="External" /><Relationship Id="rId10" Type="http://schemas.openxmlformats.org/officeDocument/2006/relationships/hyperlink" Target="https://www.bydglobal.com/cn/en/BYD_ENInvestor/InvestorAnnals_mob.html" TargetMode="External" /><Relationship Id="rId19" Type="http://schemas.openxmlformats.org/officeDocument/2006/relationships/hyperlink" Target="https://doi.org/10.37641/jimkes.v12i4.2742" TargetMode="External" /><Relationship Id="rId31" Type="http://schemas.openxmlformats.org/officeDocument/2006/relationships/hyperlink" Target="https://doi.org/10.5220/0012023300003620" TargetMode="External" /><Relationship Id="rId4" Type="http://schemas.openxmlformats.org/officeDocument/2006/relationships/settings" Target="settings.xml" /><Relationship Id="rId9" Type="http://schemas.openxmlformats.org/officeDocument/2006/relationships/hyperlink" Target="https://www.bydglobal.com/cn/en/BYD_ENInvestor/InvestorAnnals_mob.html" TargetMode="External" /><Relationship Id="rId14" Type="http://schemas.openxmlformats.org/officeDocument/2006/relationships/hyperlink" Target="https://doi.org/10.31538/iijse.v5i2.2195" TargetMode="External" /><Relationship Id="rId22" Type="http://schemas.openxmlformats.org/officeDocument/2006/relationships/hyperlink" Target="https://doi.org/10.54254/2754-1169/2024.ld19017" TargetMode="External" /><Relationship Id="rId27" Type="http://schemas.openxmlformats.org/officeDocument/2006/relationships/hyperlink" Target="https://doi.org/10.1142/s1094406024500173" TargetMode="External" /><Relationship Id="rId30" Type="http://schemas.openxmlformats.org/officeDocument/2006/relationships/hyperlink" Target="https://doi.org/10.71204/59rksf07" TargetMode="External" /><Relationship Id="rId35" Type="http://schemas.openxmlformats.org/officeDocument/2006/relationships/hyperlink" Target="https://doi.org/10.54254/2977-5701/12/2024117" TargetMode="External" /><Relationship Id="rId43"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DHANANJAY\OneDrive\Documents\BA26-0437.xlsx"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Ratios Analysis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Ratios!$D$1</c:f>
              <c:strCache>
                <c:ptCount val="1"/>
                <c:pt idx="0">
                  <c:v>2024</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Ratios!$B$2:$B$15</c:f>
              <c:strCache>
                <c:ptCount val="14"/>
                <c:pt idx="0">
                  <c:v>Gross Profit Margin</c:v>
                </c:pt>
                <c:pt idx="1">
                  <c:v>Net Profit Margin</c:v>
                </c:pt>
                <c:pt idx="2">
                  <c:v>Return on Equity (ROE)</c:v>
                </c:pt>
                <c:pt idx="3">
                  <c:v>Current Ratio</c:v>
                </c:pt>
                <c:pt idx="4">
                  <c:v>Quick Ratio</c:v>
                </c:pt>
                <c:pt idx="5">
                  <c:v>Cash Ratio</c:v>
                </c:pt>
                <c:pt idx="6">
                  <c:v>Inventory Turnover (Days)</c:v>
                </c:pt>
                <c:pt idx="7">
                  <c:v>Receivables Turnover (Days)</c:v>
                </c:pt>
                <c:pt idx="8">
                  <c:v>Asset Turnover</c:v>
                </c:pt>
                <c:pt idx="9">
                  <c:v>Debt-to-Equity Ratio</c:v>
                </c:pt>
                <c:pt idx="10">
                  <c:v>Gearing Ratio</c:v>
                </c:pt>
                <c:pt idx="11">
                  <c:v>Earnings Per Share (EPS)</c:v>
                </c:pt>
                <c:pt idx="12">
                  <c:v>Dividend Payout Ratio</c:v>
                </c:pt>
                <c:pt idx="13">
                  <c:v>Operating Cash Flow Ratio</c:v>
                </c:pt>
              </c:strCache>
            </c:strRef>
          </c:cat>
          <c:val>
            <c:numRef>
              <c:f>Ratios!$D$2:$D$15</c:f>
              <c:numCache>
                <c:formatCode>0.00</c:formatCode>
                <c:ptCount val="14"/>
                <c:pt idx="0">
                  <c:v>19.43834278582996</c:v>
                </c:pt>
                <c:pt idx="1">
                  <c:v>5.1800564701600385</c:v>
                </c:pt>
                <c:pt idx="2">
                  <c:v>21.729611932569103</c:v>
                </c:pt>
                <c:pt idx="3">
                  <c:v>0.74714378963616446</c:v>
                </c:pt>
                <c:pt idx="4">
                  <c:v>0.51319277130976193</c:v>
                </c:pt>
                <c:pt idx="5">
                  <c:v>0.2071407351900372</c:v>
                </c:pt>
                <c:pt idx="6">
                  <c:v>6.7651892794513557</c:v>
                </c:pt>
                <c:pt idx="7">
                  <c:v>29.261431969096019</c:v>
                </c:pt>
                <c:pt idx="8">
                  <c:v>0.99201716568519172</c:v>
                </c:pt>
                <c:pt idx="9">
                  <c:v>2.942638865902707</c:v>
                </c:pt>
                <c:pt idx="10">
                  <c:v>0.16918239882348243</c:v>
                </c:pt>
                <c:pt idx="11">
                  <c:v>4.6110361970217637</c:v>
                </c:pt>
                <c:pt idx="12">
                  <c:v>21.220057731958764</c:v>
                </c:pt>
                <c:pt idx="13">
                  <c:v>1.2410568496506839E-2</c:v>
                </c:pt>
              </c:numCache>
            </c:numRef>
          </c:val>
          <c:extLst>
            <c:ext xmlns:c16="http://schemas.microsoft.com/office/drawing/2014/chart" uri="{C3380CC4-5D6E-409C-BE32-E72D297353CC}">
              <c16:uniqueId val="{00000000-F9F2-4D6A-9288-E3059F4B4CBA}"/>
            </c:ext>
          </c:extLst>
        </c:ser>
        <c:ser>
          <c:idx val="1"/>
          <c:order val="1"/>
          <c:tx>
            <c:strRef>
              <c:f>Ratios!$E$1</c:f>
              <c:strCache>
                <c:ptCount val="1"/>
                <c:pt idx="0">
                  <c:v>2023</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Ratios!$B$2:$B$15</c:f>
              <c:strCache>
                <c:ptCount val="14"/>
                <c:pt idx="0">
                  <c:v>Gross Profit Margin</c:v>
                </c:pt>
                <c:pt idx="1">
                  <c:v>Net Profit Margin</c:v>
                </c:pt>
                <c:pt idx="2">
                  <c:v>Return on Equity (ROE)</c:v>
                </c:pt>
                <c:pt idx="3">
                  <c:v>Current Ratio</c:v>
                </c:pt>
                <c:pt idx="4">
                  <c:v>Quick Ratio</c:v>
                </c:pt>
                <c:pt idx="5">
                  <c:v>Cash Ratio</c:v>
                </c:pt>
                <c:pt idx="6">
                  <c:v>Inventory Turnover (Days)</c:v>
                </c:pt>
                <c:pt idx="7">
                  <c:v>Receivables Turnover (Days)</c:v>
                </c:pt>
                <c:pt idx="8">
                  <c:v>Asset Turnover</c:v>
                </c:pt>
                <c:pt idx="9">
                  <c:v>Debt-to-Equity Ratio</c:v>
                </c:pt>
                <c:pt idx="10">
                  <c:v>Gearing Ratio</c:v>
                </c:pt>
                <c:pt idx="11">
                  <c:v>Earnings Per Share (EPS)</c:v>
                </c:pt>
                <c:pt idx="12">
                  <c:v>Dividend Payout Ratio</c:v>
                </c:pt>
                <c:pt idx="13">
                  <c:v>Operating Cash Flow Ratio</c:v>
                </c:pt>
              </c:strCache>
            </c:strRef>
          </c:cat>
          <c:val>
            <c:numRef>
              <c:f>Ratios!$E$2:$E$15</c:f>
              <c:numCache>
                <c:formatCode>0.00</c:formatCode>
                <c:ptCount val="14"/>
                <c:pt idx="0">
                  <c:v>18.581032055178191</c:v>
                </c:pt>
                <c:pt idx="1">
                  <c:v>4.9875552400412495</c:v>
                </c:pt>
                <c:pt idx="2">
                  <c:v>21.641666258134812</c:v>
                </c:pt>
                <c:pt idx="3">
                  <c:v>0.66595468724657536</c:v>
                </c:pt>
                <c:pt idx="4">
                  <c:v>0.47269220268552636</c:v>
                </c:pt>
                <c:pt idx="5">
                  <c:v>0.24047260901826309</c:v>
                </c:pt>
                <c:pt idx="6">
                  <c:v>65.257100053508481</c:v>
                </c:pt>
                <c:pt idx="7">
                  <c:v>37.490488636954119</c:v>
                </c:pt>
                <c:pt idx="8">
                  <c:v>0.88634746404177944</c:v>
                </c:pt>
                <c:pt idx="9">
                  <c:v>3.5164038737113841</c:v>
                </c:pt>
                <c:pt idx="10">
                  <c:v>0.23758030256630991</c:v>
                </c:pt>
                <c:pt idx="11">
                  <c:v>3.4426783176713269</c:v>
                </c:pt>
                <c:pt idx="12">
                  <c:v>15.907639812055924</c:v>
                </c:pt>
                <c:pt idx="13">
                  <c:v>1.4267087299432671E-2</c:v>
                </c:pt>
              </c:numCache>
            </c:numRef>
          </c:val>
          <c:extLst>
            <c:ext xmlns:c16="http://schemas.microsoft.com/office/drawing/2014/chart" uri="{C3380CC4-5D6E-409C-BE32-E72D297353CC}">
              <c16:uniqueId val="{00000001-F9F2-4D6A-9288-E3059F4B4CBA}"/>
            </c:ext>
          </c:extLst>
        </c:ser>
        <c:ser>
          <c:idx val="2"/>
          <c:order val="2"/>
          <c:tx>
            <c:strRef>
              <c:f>Ratios!$F$1</c:f>
              <c:strCache>
                <c:ptCount val="1"/>
                <c:pt idx="0">
                  <c:v>2022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Ratios!$B$2:$B$15</c:f>
              <c:strCache>
                <c:ptCount val="14"/>
                <c:pt idx="0">
                  <c:v>Gross Profit Margin</c:v>
                </c:pt>
                <c:pt idx="1">
                  <c:v>Net Profit Margin</c:v>
                </c:pt>
                <c:pt idx="2">
                  <c:v>Return on Equity (ROE)</c:v>
                </c:pt>
                <c:pt idx="3">
                  <c:v>Current Ratio</c:v>
                </c:pt>
                <c:pt idx="4">
                  <c:v>Quick Ratio</c:v>
                </c:pt>
                <c:pt idx="5">
                  <c:v>Cash Ratio</c:v>
                </c:pt>
                <c:pt idx="6">
                  <c:v>Inventory Turnover (Days)</c:v>
                </c:pt>
                <c:pt idx="7">
                  <c:v>Receivables Turnover (Days)</c:v>
                </c:pt>
                <c:pt idx="8">
                  <c:v>Asset Turnover</c:v>
                </c:pt>
                <c:pt idx="9">
                  <c:v>Debt-to-Equity Ratio</c:v>
                </c:pt>
                <c:pt idx="10">
                  <c:v>Gearing Ratio</c:v>
                </c:pt>
                <c:pt idx="11">
                  <c:v>Earnings Per Share (EPS)</c:v>
                </c:pt>
                <c:pt idx="12">
                  <c:v>Dividend Payout Ratio</c:v>
                </c:pt>
                <c:pt idx="13">
                  <c:v>Operating Cash Flow Ratio</c:v>
                </c:pt>
              </c:strCache>
            </c:strRef>
          </c:cat>
          <c:val>
            <c:numRef>
              <c:f>Ratios!$F$2:$F$15</c:f>
              <c:numCache>
                <c:formatCode>0.00</c:formatCode>
                <c:ptCount val="14"/>
                <c:pt idx="0">
                  <c:v>17.0364681456462</c:v>
                </c:pt>
                <c:pt idx="1">
                  <c:v>3.9198281160900494</c:v>
                </c:pt>
                <c:pt idx="2">
                  <c:v>14.971226648922642</c:v>
                </c:pt>
                <c:pt idx="3">
                  <c:v>0.72238618886600048</c:v>
                </c:pt>
                <c:pt idx="4">
                  <c:v>0.48507258530010933</c:v>
                </c:pt>
                <c:pt idx="5">
                  <c:v>0.15440858805552854</c:v>
                </c:pt>
                <c:pt idx="6">
                  <c:v>82.071747441728576</c:v>
                </c:pt>
                <c:pt idx="7">
                  <c:v>33.420693033674304</c:v>
                </c:pt>
                <c:pt idx="8">
                  <c:v>0.85866456141961955</c:v>
                </c:pt>
                <c:pt idx="9">
                  <c:v>3.0683854448210521</c:v>
                </c:pt>
                <c:pt idx="10">
                  <c:v>0.11234764546405125</c:v>
                </c:pt>
                <c:pt idx="11">
                  <c:v>1.9053700137551581</c:v>
                </c:pt>
                <c:pt idx="12">
                  <c:v>12.726879756992206</c:v>
                </c:pt>
                <c:pt idx="13">
                  <c:v>0.42249873997494142</c:v>
                </c:pt>
              </c:numCache>
            </c:numRef>
          </c:val>
          <c:extLst>
            <c:ext xmlns:c16="http://schemas.microsoft.com/office/drawing/2014/chart" uri="{C3380CC4-5D6E-409C-BE32-E72D297353CC}">
              <c16:uniqueId val="{00000002-F9F2-4D6A-9288-E3059F4B4CBA}"/>
            </c:ext>
          </c:extLst>
        </c:ser>
        <c:ser>
          <c:idx val="3"/>
          <c:order val="3"/>
          <c:tx>
            <c:strRef>
              <c:f>Ratios!$G$1</c:f>
              <c:strCache>
                <c:ptCount val="1"/>
                <c:pt idx="0">
                  <c:v>2021</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Ratios!$B$2:$B$15</c:f>
              <c:strCache>
                <c:ptCount val="14"/>
                <c:pt idx="0">
                  <c:v>Gross Profit Margin</c:v>
                </c:pt>
                <c:pt idx="1">
                  <c:v>Net Profit Margin</c:v>
                </c:pt>
                <c:pt idx="2">
                  <c:v>Return on Equity (ROE)</c:v>
                </c:pt>
                <c:pt idx="3">
                  <c:v>Current Ratio</c:v>
                </c:pt>
                <c:pt idx="4">
                  <c:v>Quick Ratio</c:v>
                </c:pt>
                <c:pt idx="5">
                  <c:v>Cash Ratio</c:v>
                </c:pt>
                <c:pt idx="6">
                  <c:v>Inventory Turnover (Days)</c:v>
                </c:pt>
                <c:pt idx="7">
                  <c:v>Receivables Turnover (Days)</c:v>
                </c:pt>
                <c:pt idx="8">
                  <c:v>Asset Turnover</c:v>
                </c:pt>
                <c:pt idx="9">
                  <c:v>Debt-to-Equity Ratio</c:v>
                </c:pt>
                <c:pt idx="10">
                  <c:v>Gearing Ratio</c:v>
                </c:pt>
                <c:pt idx="11">
                  <c:v>Earnings Per Share (EPS)</c:v>
                </c:pt>
                <c:pt idx="12">
                  <c:v>Dividend Payout Ratio</c:v>
                </c:pt>
                <c:pt idx="13">
                  <c:v>Operating Cash Flow Ratio</c:v>
                </c:pt>
              </c:strCache>
            </c:strRef>
          </c:cat>
          <c:val>
            <c:numRef>
              <c:f>Ratios!$G$2:$G$15</c:f>
              <c:numCache>
                <c:formatCode>0.00</c:formatCode>
                <c:ptCount val="14"/>
                <c:pt idx="0">
                  <c:v>11.184368277890199</c:v>
                </c:pt>
                <c:pt idx="1">
                  <c:v>1.4411685668519758</c:v>
                </c:pt>
                <c:pt idx="2">
                  <c:v>3.2031119577556972</c:v>
                </c:pt>
                <c:pt idx="3" formatCode="#,##0.00">
                  <c:v>0.96968105416183525</c:v>
                </c:pt>
                <c:pt idx="4" formatCode="#,##0.00">
                  <c:v>0.71659416668188325</c:v>
                </c:pt>
                <c:pt idx="5" formatCode="#,##0.00">
                  <c:v>0.29082727949334314</c:v>
                </c:pt>
                <c:pt idx="6" formatCode="#,##0.00">
                  <c:v>84.173882743845851</c:v>
                </c:pt>
                <c:pt idx="7">
                  <c:v>61.483674451780907</c:v>
                </c:pt>
                <c:pt idx="8">
                  <c:v>0.71438167890287785</c:v>
                </c:pt>
                <c:pt idx="9">
                  <c:v>1.8373772494163201</c:v>
                </c:pt>
                <c:pt idx="10">
                  <c:v>0.24446216716972335</c:v>
                </c:pt>
                <c:pt idx="11">
                  <c:v>0.35562162793413521</c:v>
                </c:pt>
                <c:pt idx="12">
                  <c:v>11.102378955973375</c:v>
                </c:pt>
                <c:pt idx="13">
                  <c:v>0.38216681105719319</c:v>
                </c:pt>
              </c:numCache>
            </c:numRef>
          </c:val>
          <c:extLst>
            <c:ext xmlns:c16="http://schemas.microsoft.com/office/drawing/2014/chart" uri="{C3380CC4-5D6E-409C-BE32-E72D297353CC}">
              <c16:uniqueId val="{00000003-F9F2-4D6A-9288-E3059F4B4CBA}"/>
            </c:ext>
          </c:extLst>
        </c:ser>
        <c:ser>
          <c:idx val="4"/>
          <c:order val="4"/>
          <c:tx>
            <c:strRef>
              <c:f>Ratios!$H$1</c:f>
              <c:strCache>
                <c:ptCount val="1"/>
                <c:pt idx="0">
                  <c:v>2020</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Ratios!$B$2:$B$15</c:f>
              <c:strCache>
                <c:ptCount val="14"/>
                <c:pt idx="0">
                  <c:v>Gross Profit Margin</c:v>
                </c:pt>
                <c:pt idx="1">
                  <c:v>Net Profit Margin</c:v>
                </c:pt>
                <c:pt idx="2">
                  <c:v>Return on Equity (ROE)</c:v>
                </c:pt>
                <c:pt idx="3">
                  <c:v>Current Ratio</c:v>
                </c:pt>
                <c:pt idx="4">
                  <c:v>Quick Ratio</c:v>
                </c:pt>
                <c:pt idx="5">
                  <c:v>Cash Ratio</c:v>
                </c:pt>
                <c:pt idx="6">
                  <c:v>Inventory Turnover (Days)</c:v>
                </c:pt>
                <c:pt idx="7">
                  <c:v>Receivables Turnover (Days)</c:v>
                </c:pt>
                <c:pt idx="8">
                  <c:v>Asset Turnover</c:v>
                </c:pt>
                <c:pt idx="9">
                  <c:v>Debt-to-Equity Ratio</c:v>
                </c:pt>
                <c:pt idx="10">
                  <c:v>Gearing Ratio</c:v>
                </c:pt>
                <c:pt idx="11">
                  <c:v>Earnings Per Share (EPS)</c:v>
                </c:pt>
                <c:pt idx="12">
                  <c:v>Dividend Payout Ratio</c:v>
                </c:pt>
                <c:pt idx="13">
                  <c:v>Operating Cash Flow Ratio</c:v>
                </c:pt>
              </c:strCache>
            </c:strRef>
          </c:cat>
          <c:val>
            <c:numRef>
              <c:f>Ratios!$H$2:$H$15</c:f>
              <c:numCache>
                <c:formatCode>0.00</c:formatCode>
                <c:ptCount val="14"/>
                <c:pt idx="0">
                  <c:v>17.751831533814631</c:v>
                </c:pt>
                <c:pt idx="1">
                  <c:v>2.7590340221004888</c:v>
                </c:pt>
                <c:pt idx="2">
                  <c:v>7.4449600886333958</c:v>
                </c:pt>
                <c:pt idx="3" formatCode="#,##0.00">
                  <c:v>1.0486176845071087</c:v>
                </c:pt>
                <c:pt idx="4" formatCode="#,##0.00">
                  <c:v>0.75362423637631759</c:v>
                </c:pt>
                <c:pt idx="5" formatCode="#,##0.00">
                  <c:v>0.12908398156110903</c:v>
                </c:pt>
                <c:pt idx="6" formatCode="#,##0.00">
                  <c:v>90.787219910307741</c:v>
                </c:pt>
                <c:pt idx="7">
                  <c:v>93.487054964728287</c:v>
                </c:pt>
                <c:pt idx="8">
                  <c:v>0.76346248789177729</c:v>
                </c:pt>
                <c:pt idx="9">
                  <c:v>2.1187761109054173</c:v>
                </c:pt>
                <c:pt idx="10">
                  <c:v>0.44304009101477371</c:v>
                </c:pt>
                <c:pt idx="11">
                  <c:v>0.49002048374030782</c:v>
                </c:pt>
                <c:pt idx="12">
                  <c:v>6.5819088068510592</c:v>
                </c:pt>
                <c:pt idx="13">
                  <c:v>0.22776987195498563</c:v>
                </c:pt>
              </c:numCache>
            </c:numRef>
          </c:val>
          <c:extLst>
            <c:ext xmlns:c16="http://schemas.microsoft.com/office/drawing/2014/chart" uri="{C3380CC4-5D6E-409C-BE32-E72D297353CC}">
              <c16:uniqueId val="{00000004-F9F2-4D6A-9288-E3059F4B4CBA}"/>
            </c:ext>
          </c:extLst>
        </c:ser>
        <c:dLbls>
          <c:showLegendKey val="0"/>
          <c:showVal val="0"/>
          <c:showCatName val="0"/>
          <c:showSerName val="0"/>
          <c:showPercent val="0"/>
          <c:showBubbleSize val="0"/>
        </c:dLbls>
        <c:gapWidth val="100"/>
        <c:overlap val="-24"/>
        <c:axId val="1066202288"/>
        <c:axId val="1066226288"/>
      </c:barChart>
      <c:catAx>
        <c:axId val="10662022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66226288"/>
        <c:crosses val="autoZero"/>
        <c:auto val="1"/>
        <c:lblAlgn val="ctr"/>
        <c:lblOffset val="100"/>
        <c:noMultiLvlLbl val="0"/>
      </c:catAx>
      <c:valAx>
        <c:axId val="1066226288"/>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6620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726CF-7E4B-4565-8CBD-B147CE5072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6918</Words>
  <Characters>39434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Darshil Vaddoriya</cp:lastModifiedBy>
  <cp:revision>2</cp:revision>
  <dcterms:created xsi:type="dcterms:W3CDTF">2026-04-23T07:41:00Z</dcterms:created>
  <dcterms:modified xsi:type="dcterms:W3CDTF">2026-04-23T07:41:00Z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42074ae4-429a-453a-b378-15d45cd97a5b</vt:lpwstr>
  </property>
</Properties>
</file>